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C3B81">
      <w:pPr>
        <w:pStyle w:val="18"/>
        <w:ind w:firstLine="420"/>
      </w:pPr>
      <w:bookmarkStart w:id="219" w:name="_GoBack"/>
      <w:bookmarkEnd w:id="219"/>
    </w:p>
    <w:p w14:paraId="7376F9CA">
      <w:pPr>
        <w:jc w:val="center"/>
        <w:rPr>
          <w:rFonts w:ascii="宋体" w:hAnsi="宋体"/>
          <w:b/>
          <w:bCs/>
          <w:sz w:val="28"/>
          <w:szCs w:val="30"/>
        </w:rPr>
      </w:pPr>
    </w:p>
    <w:p w14:paraId="5E2FF773">
      <w:pPr>
        <w:jc w:val="center"/>
        <w:rPr>
          <w:rFonts w:ascii="宋体" w:hAnsi="宋体"/>
          <w:b/>
          <w:bCs/>
          <w:sz w:val="48"/>
          <w:szCs w:val="30"/>
        </w:rPr>
      </w:pPr>
      <w:r>
        <w:rPr>
          <w:rFonts w:ascii="宋体" w:hAnsi="宋体"/>
          <w:b/>
          <w:bCs/>
          <w:sz w:val="48"/>
          <w:szCs w:val="30"/>
        </w:rPr>
        <w:t>南方益稳稳健增利债券型证券投资基金2025年年度报告</w:t>
      </w:r>
    </w:p>
    <w:p w14:paraId="1F10B6A0">
      <w:pPr>
        <w:jc w:val="center"/>
        <w:rPr>
          <w:rFonts w:ascii="宋体" w:hAnsi="宋体"/>
          <w:b/>
          <w:bCs/>
          <w:sz w:val="48"/>
          <w:szCs w:val="30"/>
        </w:rPr>
      </w:pPr>
      <w:bookmarkStart w:id="0" w:name="OLE_LINK1"/>
      <w:bookmarkStart w:id="1" w:name="OLE_LINK2"/>
    </w:p>
    <w:p w14:paraId="24A486BB">
      <w:pPr>
        <w:jc w:val="center"/>
        <w:rPr>
          <w:rFonts w:ascii="宋体" w:hAnsi="宋体"/>
          <w:b/>
          <w:bCs/>
          <w:sz w:val="28"/>
          <w:szCs w:val="30"/>
        </w:rPr>
      </w:pPr>
    </w:p>
    <w:bookmarkEnd w:id="0"/>
    <w:bookmarkEnd w:id="1"/>
    <w:p w14:paraId="05504B2F">
      <w:pPr>
        <w:jc w:val="center"/>
        <w:rPr>
          <w:rFonts w:ascii="宋体" w:hAnsi="宋体"/>
          <w:b/>
          <w:bCs/>
          <w:sz w:val="28"/>
          <w:szCs w:val="30"/>
        </w:rPr>
      </w:pPr>
      <w:r>
        <w:rPr>
          <w:rFonts w:ascii="宋体" w:hAnsi="宋体"/>
          <w:b/>
          <w:bCs/>
          <w:sz w:val="28"/>
          <w:szCs w:val="30"/>
        </w:rPr>
        <w:t>2025年12月31日</w:t>
      </w:r>
    </w:p>
    <w:p w14:paraId="0244ECFA">
      <w:pPr>
        <w:jc w:val="center"/>
        <w:rPr>
          <w:rFonts w:ascii="宋体" w:hAnsi="宋体"/>
          <w:sz w:val="28"/>
          <w:szCs w:val="30"/>
        </w:rPr>
      </w:pPr>
    </w:p>
    <w:p w14:paraId="2FCB4E76">
      <w:pPr>
        <w:jc w:val="center"/>
        <w:rPr>
          <w:rFonts w:ascii="宋体" w:hAnsi="宋体"/>
          <w:sz w:val="28"/>
          <w:szCs w:val="30"/>
        </w:rPr>
      </w:pPr>
    </w:p>
    <w:p w14:paraId="46527038">
      <w:pPr>
        <w:jc w:val="center"/>
        <w:rPr>
          <w:rFonts w:ascii="宋体" w:hAnsi="宋体"/>
          <w:sz w:val="28"/>
          <w:szCs w:val="30"/>
        </w:rPr>
      </w:pPr>
    </w:p>
    <w:p w14:paraId="60887857">
      <w:pPr>
        <w:jc w:val="center"/>
        <w:rPr>
          <w:rFonts w:ascii="宋体" w:hAnsi="宋体"/>
          <w:sz w:val="28"/>
          <w:szCs w:val="30"/>
        </w:rPr>
      </w:pPr>
    </w:p>
    <w:p w14:paraId="1B5334AE">
      <w:pPr>
        <w:jc w:val="center"/>
        <w:rPr>
          <w:rFonts w:ascii="宋体" w:hAnsi="宋体"/>
          <w:sz w:val="28"/>
          <w:szCs w:val="30"/>
        </w:rPr>
      </w:pPr>
    </w:p>
    <w:p w14:paraId="7ACDB960">
      <w:pPr>
        <w:jc w:val="center"/>
        <w:rPr>
          <w:rFonts w:ascii="宋体" w:hAnsi="宋体"/>
          <w:sz w:val="28"/>
          <w:szCs w:val="30"/>
        </w:rPr>
      </w:pPr>
    </w:p>
    <w:p w14:paraId="65C199C4">
      <w:pPr>
        <w:jc w:val="center"/>
        <w:rPr>
          <w:rFonts w:ascii="宋体" w:hAnsi="宋体"/>
          <w:sz w:val="28"/>
          <w:szCs w:val="30"/>
        </w:rPr>
      </w:pPr>
    </w:p>
    <w:p w14:paraId="40939BFD">
      <w:pPr>
        <w:jc w:val="center"/>
        <w:rPr>
          <w:rFonts w:ascii="宋体" w:hAnsi="宋体"/>
          <w:sz w:val="28"/>
          <w:szCs w:val="30"/>
        </w:rPr>
      </w:pPr>
    </w:p>
    <w:p w14:paraId="3471823E">
      <w:pPr>
        <w:jc w:val="center"/>
        <w:rPr>
          <w:rFonts w:ascii="宋体" w:hAnsi="宋体"/>
          <w:sz w:val="28"/>
          <w:szCs w:val="30"/>
        </w:rPr>
      </w:pPr>
    </w:p>
    <w:p w14:paraId="1F9279DB">
      <w:pPr>
        <w:jc w:val="center"/>
        <w:rPr>
          <w:rFonts w:ascii="宋体" w:hAnsi="宋体"/>
          <w:sz w:val="28"/>
          <w:szCs w:val="30"/>
        </w:rPr>
      </w:pPr>
    </w:p>
    <w:p w14:paraId="2E79E6B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ED5AA16">
      <w:pPr>
        <w:ind w:firstLine="1687" w:firstLineChars="600"/>
        <w:rPr>
          <w:rFonts w:ascii="宋体" w:hAnsi="宋体"/>
          <w:b/>
          <w:bCs/>
          <w:sz w:val="28"/>
          <w:szCs w:val="30"/>
        </w:rPr>
      </w:pPr>
      <w:r>
        <w:rPr>
          <w:rFonts w:hint="eastAsia" w:ascii="宋体" w:hAnsi="宋体"/>
          <w:b/>
          <w:bCs/>
          <w:sz w:val="28"/>
          <w:szCs w:val="30"/>
        </w:rPr>
        <w:t>基金托管人：广发银行股份有限公司</w:t>
      </w:r>
    </w:p>
    <w:p w14:paraId="04EE8189">
      <w:pPr>
        <w:ind w:firstLine="1687" w:firstLineChars="600"/>
        <w:rPr>
          <w:rFonts w:ascii="宋体" w:hAnsi="宋体"/>
          <w:b/>
          <w:bCs/>
          <w:sz w:val="28"/>
          <w:szCs w:val="30"/>
        </w:rPr>
      </w:pPr>
      <w:r>
        <w:rPr>
          <w:rFonts w:hint="eastAsia" w:ascii="宋体" w:hAnsi="宋体"/>
          <w:b/>
          <w:bCs/>
          <w:sz w:val="28"/>
          <w:szCs w:val="30"/>
        </w:rPr>
        <w:t>送出日期：2026年3月31日</w:t>
      </w:r>
    </w:p>
    <w:p w14:paraId="29EAB99E">
      <w:pPr>
        <w:ind w:firstLine="1687" w:firstLineChars="600"/>
        <w:rPr>
          <w:rFonts w:ascii="宋体" w:hAnsi="宋体"/>
          <w:b/>
          <w:bCs/>
          <w:sz w:val="28"/>
          <w:szCs w:val="30"/>
        </w:rPr>
      </w:pPr>
    </w:p>
    <w:p w14:paraId="3FDA096A">
      <w:pPr>
        <w:snapToGrid w:val="0"/>
        <w:spacing w:line="360" w:lineRule="auto"/>
        <w:jc w:val="left"/>
      </w:pPr>
      <w:r>
        <w:br w:type="page"/>
      </w:r>
    </w:p>
    <w:p w14:paraId="302CA072"/>
    <w:p w14:paraId="100CEB09">
      <w:pPr>
        <w:pStyle w:val="26"/>
      </w:pPr>
      <w:bookmarkStart w:id="2" w:name="_Toc5061"/>
      <w:r>
        <w:t>重要提示及目录</w:t>
      </w:r>
      <w:bookmarkEnd w:id="2"/>
    </w:p>
    <w:p w14:paraId="249FB6D8">
      <w:pPr>
        <w:pStyle w:val="23"/>
      </w:pPr>
      <w:bookmarkStart w:id="3" w:name="_Toc7244"/>
      <w:r>
        <w:t>重要提示</w:t>
      </w:r>
      <w:bookmarkEnd w:id="3"/>
    </w:p>
    <w:p w14:paraId="2DAE0E7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2F0270C">
      <w:pPr>
        <w:pStyle w:val="18"/>
        <w:rPr>
          <w:rFonts w:hint="eastAsia"/>
        </w:rPr>
      </w:pPr>
      <w:r>
        <w:rPr>
          <w:rFonts w:hint="eastAsia"/>
        </w:rPr>
        <w:t>本年度报告已经三分之二以上独立董事签字同意，并由董事长签发。</w:t>
      </w:r>
    </w:p>
    <w:p w14:paraId="2D3ED20A">
      <w:pPr>
        <w:pStyle w:val="18"/>
        <w:rPr>
          <w:rFonts w:hint="eastAsia"/>
        </w:rPr>
      </w:pPr>
      <w:r>
        <w:rPr>
          <w:rFonts w:hint="eastAsia"/>
        </w:rPr>
        <w:t>基金托管人广发银行股份有限公司根据本基金合同规定，于2026年3月27日复核了本报告中的财务指标、净值表现、利润分配情况、财务会计报告、投资组合报告等内容，保证复核内容不存在虚假记载、误导性陈述或者重大遗漏。</w:t>
      </w:r>
    </w:p>
    <w:p w14:paraId="6E3A8469">
      <w:pPr>
        <w:pStyle w:val="18"/>
        <w:rPr>
          <w:rFonts w:hint="eastAsia"/>
        </w:rPr>
      </w:pPr>
      <w:r>
        <w:rPr>
          <w:rFonts w:hint="eastAsia"/>
        </w:rPr>
        <w:t>基金管理人承诺以诚实信用、勤勉尽责的原则管理和运用基金资产，但不保证基金一定盈利。</w:t>
      </w:r>
    </w:p>
    <w:p w14:paraId="29B9B535">
      <w:pPr>
        <w:pStyle w:val="18"/>
        <w:rPr>
          <w:rFonts w:hint="eastAsia"/>
        </w:rPr>
      </w:pPr>
      <w:r>
        <w:rPr>
          <w:rFonts w:hint="eastAsia"/>
        </w:rPr>
        <w:t>基金的过往业绩并不代表其未来表现。投资有风险，投资者在作出投资决策前应仔细阅读本基金的招募说明书及其更新。</w:t>
      </w:r>
    </w:p>
    <w:p w14:paraId="5CF21836">
      <w:pPr>
        <w:pStyle w:val="18"/>
        <w:rPr>
          <w:rFonts w:hint="eastAsia"/>
        </w:rPr>
      </w:pPr>
      <w:r>
        <w:rPr>
          <w:rFonts w:hint="eastAsia"/>
        </w:rPr>
        <w:t>本报告期自2025年8月6日（基金合同生效日）起至12月31日止。</w:t>
      </w:r>
    </w:p>
    <w:p w14:paraId="09BB2744">
      <w:pPr>
        <w:pStyle w:val="23"/>
        <w:pageBreakBefore/>
      </w:pPr>
      <w:bookmarkStart w:id="4" w:name="_Toc27060"/>
      <w:r>
        <w:t>目录</w:t>
      </w:r>
      <w:bookmarkEnd w:id="4"/>
    </w:p>
    <w:sdt>
      <w:sdtPr>
        <w:rPr>
          <w:rFonts w:ascii="宋体" w:hAnsi="宋体" w:eastAsia="宋体"/>
          <w:color w:val="DBDBDB"/>
          <w:sz w:val="21"/>
          <w:szCs w:val="24"/>
          <w:lang w:val="en-US" w:eastAsia="zh-CN" w:bidi="ar-SA"/>
        </w:rPr>
        <w:id w:val="75355"/>
        <w:docPartObj>
          <w:docPartGallery w:val="Table of Contents"/>
          <w:docPartUnique/>
        </w:docPartObj>
      </w:sdtPr>
      <w:sdtEndPr>
        <w:rPr>
          <w:rFonts w:ascii="宋体" w:hAnsi="宋体" w:eastAsia="宋体"/>
          <w:b/>
          <w:color w:val="DBDBDB"/>
          <w:sz w:val="21"/>
          <w:szCs w:val="24"/>
          <w:lang w:val="en-US" w:eastAsia="zh-CN" w:bidi="ar-SA"/>
        </w:rPr>
      </w:sdtEndPr>
      <w:sdtContent>
        <w:p w14:paraId="72E52E28">
          <w:pPr>
            <w:pStyle w:val="61"/>
            <w:spacing w:before="0" w:beforeLines="0" w:after="0" w:afterLines="0" w:line="240" w:lineRule="auto"/>
            <w:ind w:left="0" w:leftChars="0" w:right="0" w:rightChars="0" w:firstLine="0" w:firstLineChars="0"/>
            <w:jc w:val="center"/>
            <w:rPr>
              <w:b/>
            </w:rPr>
          </w:pPr>
          <w:r>
            <w:rPr>
              <w:b/>
              <w:lang w:val="zh-CN"/>
            </w:rPr>
            <w:t>目录</w:t>
          </w:r>
        </w:p>
        <w:p w14:paraId="7E4CDF6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_Toc5061 </w:instrText>
          </w:r>
          <w:r>
            <w:fldChar w:fldCharType="separate"/>
          </w:r>
          <w:r>
            <w:rPr>
              <w:rFonts w:hint="eastAsia"/>
            </w:rPr>
            <w:t xml:space="preserve">§1 </w:t>
          </w:r>
          <w:r>
            <w:t>重要提示及目录</w:t>
          </w:r>
          <w:r>
            <w:tab/>
          </w:r>
          <w:r>
            <w:fldChar w:fldCharType="begin"/>
          </w:r>
          <w:r>
            <w:instrText xml:space="preserve"> PAGEREF _Toc5061 \h </w:instrText>
          </w:r>
          <w:r>
            <w:fldChar w:fldCharType="separate"/>
          </w:r>
          <w:r>
            <w:t>1</w:t>
          </w:r>
          <w:r>
            <w:fldChar w:fldCharType="end"/>
          </w:r>
          <w:r>
            <w:fldChar w:fldCharType="end"/>
          </w:r>
        </w:p>
        <w:p w14:paraId="1705D29E">
          <w:pPr>
            <w:pStyle w:val="10"/>
            <w:tabs>
              <w:tab w:val="right" w:leader="dot" w:pos="8306"/>
            </w:tabs>
          </w:pPr>
          <w:r>
            <w:fldChar w:fldCharType="begin"/>
          </w:r>
          <w:r>
            <w:instrText xml:space="preserve"> HYPERLINK \l _Toc7244 </w:instrText>
          </w:r>
          <w:r>
            <w:fldChar w:fldCharType="separate"/>
          </w:r>
          <w:r>
            <w:rPr>
              <w:rFonts w:hint="eastAsia"/>
            </w:rPr>
            <w:t xml:space="preserve">1.1 </w:t>
          </w:r>
          <w:r>
            <w:t>重要提示</w:t>
          </w:r>
          <w:r>
            <w:tab/>
          </w:r>
          <w:r>
            <w:fldChar w:fldCharType="begin"/>
          </w:r>
          <w:r>
            <w:instrText xml:space="preserve"> PAGEREF _Toc7244 \h </w:instrText>
          </w:r>
          <w:r>
            <w:fldChar w:fldCharType="separate"/>
          </w:r>
          <w:r>
            <w:t>1</w:t>
          </w:r>
          <w:r>
            <w:fldChar w:fldCharType="end"/>
          </w:r>
          <w:r>
            <w:fldChar w:fldCharType="end"/>
          </w:r>
        </w:p>
        <w:p w14:paraId="78234C54">
          <w:pPr>
            <w:pStyle w:val="10"/>
            <w:tabs>
              <w:tab w:val="right" w:leader="dot" w:pos="8306"/>
            </w:tabs>
          </w:pPr>
          <w:r>
            <w:fldChar w:fldCharType="begin"/>
          </w:r>
          <w:r>
            <w:instrText xml:space="preserve"> HYPERLINK \l _Toc27060 </w:instrText>
          </w:r>
          <w:r>
            <w:fldChar w:fldCharType="separate"/>
          </w:r>
          <w:r>
            <w:rPr>
              <w:rFonts w:hint="eastAsia"/>
            </w:rPr>
            <w:t xml:space="preserve">1.2 </w:t>
          </w:r>
          <w:r>
            <w:t>目录</w:t>
          </w:r>
          <w:r>
            <w:tab/>
          </w:r>
          <w:r>
            <w:fldChar w:fldCharType="begin"/>
          </w:r>
          <w:r>
            <w:instrText xml:space="preserve"> PAGEREF _Toc27060 \h </w:instrText>
          </w:r>
          <w:r>
            <w:fldChar w:fldCharType="separate"/>
          </w:r>
          <w:r>
            <w:t>2</w:t>
          </w:r>
          <w:r>
            <w:fldChar w:fldCharType="end"/>
          </w:r>
          <w:r>
            <w:fldChar w:fldCharType="end"/>
          </w:r>
        </w:p>
        <w:p w14:paraId="62622365">
          <w:pPr>
            <w:pStyle w:val="8"/>
            <w:tabs>
              <w:tab w:val="right" w:leader="dot" w:pos="8306"/>
            </w:tabs>
          </w:pPr>
          <w:r>
            <w:fldChar w:fldCharType="begin"/>
          </w:r>
          <w:r>
            <w:instrText xml:space="preserve"> HYPERLINK \l _Toc7479 </w:instrText>
          </w:r>
          <w:r>
            <w:fldChar w:fldCharType="separate"/>
          </w:r>
          <w:r>
            <w:rPr>
              <w:rFonts w:hint="eastAsia"/>
            </w:rPr>
            <w:t xml:space="preserve">§2 </w:t>
          </w:r>
          <w:r>
            <w:t>基金简介</w:t>
          </w:r>
          <w:r>
            <w:tab/>
          </w:r>
          <w:r>
            <w:fldChar w:fldCharType="begin"/>
          </w:r>
          <w:r>
            <w:instrText xml:space="preserve"> PAGEREF _Toc7479 \h </w:instrText>
          </w:r>
          <w:r>
            <w:fldChar w:fldCharType="separate"/>
          </w:r>
          <w:r>
            <w:t>4</w:t>
          </w:r>
          <w:r>
            <w:fldChar w:fldCharType="end"/>
          </w:r>
          <w:r>
            <w:fldChar w:fldCharType="end"/>
          </w:r>
        </w:p>
        <w:p w14:paraId="0F115148">
          <w:pPr>
            <w:pStyle w:val="10"/>
            <w:tabs>
              <w:tab w:val="right" w:leader="dot" w:pos="8306"/>
            </w:tabs>
          </w:pPr>
          <w:r>
            <w:fldChar w:fldCharType="begin"/>
          </w:r>
          <w:r>
            <w:instrText xml:space="preserve"> HYPERLINK \l _Toc32109 </w:instrText>
          </w:r>
          <w:r>
            <w:fldChar w:fldCharType="separate"/>
          </w:r>
          <w:r>
            <w:rPr>
              <w:rFonts w:hint="eastAsia"/>
            </w:rPr>
            <w:t xml:space="preserve">2.1 </w:t>
          </w:r>
          <w:r>
            <w:t>基金基本情况</w:t>
          </w:r>
          <w:r>
            <w:tab/>
          </w:r>
          <w:r>
            <w:fldChar w:fldCharType="begin"/>
          </w:r>
          <w:r>
            <w:instrText xml:space="preserve"> PAGEREF _Toc32109 \h </w:instrText>
          </w:r>
          <w:r>
            <w:fldChar w:fldCharType="separate"/>
          </w:r>
          <w:r>
            <w:t>4</w:t>
          </w:r>
          <w:r>
            <w:fldChar w:fldCharType="end"/>
          </w:r>
          <w:r>
            <w:fldChar w:fldCharType="end"/>
          </w:r>
        </w:p>
        <w:p w14:paraId="37DEE0F4">
          <w:pPr>
            <w:pStyle w:val="10"/>
            <w:tabs>
              <w:tab w:val="right" w:leader="dot" w:pos="8306"/>
            </w:tabs>
          </w:pPr>
          <w:r>
            <w:fldChar w:fldCharType="begin"/>
          </w:r>
          <w:r>
            <w:instrText xml:space="preserve"> HYPERLINK \l _Toc17083 </w:instrText>
          </w:r>
          <w:r>
            <w:fldChar w:fldCharType="separate"/>
          </w:r>
          <w:r>
            <w:rPr>
              <w:rFonts w:hint="eastAsia"/>
            </w:rPr>
            <w:t xml:space="preserve">2.2 </w:t>
          </w:r>
          <w:r>
            <w:t>基金产品说明</w:t>
          </w:r>
          <w:r>
            <w:tab/>
          </w:r>
          <w:r>
            <w:fldChar w:fldCharType="begin"/>
          </w:r>
          <w:r>
            <w:instrText xml:space="preserve"> PAGEREF _Toc17083 \h </w:instrText>
          </w:r>
          <w:r>
            <w:fldChar w:fldCharType="separate"/>
          </w:r>
          <w:r>
            <w:t>4</w:t>
          </w:r>
          <w:r>
            <w:fldChar w:fldCharType="end"/>
          </w:r>
          <w:r>
            <w:fldChar w:fldCharType="end"/>
          </w:r>
        </w:p>
        <w:p w14:paraId="7330BA54">
          <w:pPr>
            <w:pStyle w:val="10"/>
            <w:tabs>
              <w:tab w:val="right" w:leader="dot" w:pos="8306"/>
            </w:tabs>
          </w:pPr>
          <w:r>
            <w:fldChar w:fldCharType="begin"/>
          </w:r>
          <w:r>
            <w:instrText xml:space="preserve"> HYPERLINK \l _Toc32367 </w:instrText>
          </w:r>
          <w:r>
            <w:fldChar w:fldCharType="separate"/>
          </w:r>
          <w:r>
            <w:rPr>
              <w:rFonts w:hint="eastAsia"/>
            </w:rPr>
            <w:t xml:space="preserve">2.3 </w:t>
          </w:r>
          <w:r>
            <w:t>基金管理人和基金托管人</w:t>
          </w:r>
          <w:r>
            <w:tab/>
          </w:r>
          <w:r>
            <w:fldChar w:fldCharType="begin"/>
          </w:r>
          <w:r>
            <w:instrText xml:space="preserve"> PAGEREF _Toc32367 \h </w:instrText>
          </w:r>
          <w:r>
            <w:fldChar w:fldCharType="separate"/>
          </w:r>
          <w:r>
            <w:t>4</w:t>
          </w:r>
          <w:r>
            <w:fldChar w:fldCharType="end"/>
          </w:r>
          <w:r>
            <w:fldChar w:fldCharType="end"/>
          </w:r>
        </w:p>
        <w:p w14:paraId="305FAEE6">
          <w:pPr>
            <w:pStyle w:val="10"/>
            <w:tabs>
              <w:tab w:val="right" w:leader="dot" w:pos="8306"/>
            </w:tabs>
          </w:pPr>
          <w:r>
            <w:fldChar w:fldCharType="begin"/>
          </w:r>
          <w:r>
            <w:instrText xml:space="preserve"> HYPERLINK \l _Toc12329 </w:instrText>
          </w:r>
          <w:r>
            <w:fldChar w:fldCharType="separate"/>
          </w:r>
          <w:r>
            <w:rPr>
              <w:rFonts w:hint="eastAsia"/>
            </w:rPr>
            <w:t xml:space="preserve">2.4 </w:t>
          </w:r>
          <w:r>
            <w:t>信息披露方式</w:t>
          </w:r>
          <w:r>
            <w:tab/>
          </w:r>
          <w:r>
            <w:fldChar w:fldCharType="begin"/>
          </w:r>
          <w:r>
            <w:instrText xml:space="preserve"> PAGEREF _Toc12329 \h </w:instrText>
          </w:r>
          <w:r>
            <w:fldChar w:fldCharType="separate"/>
          </w:r>
          <w:r>
            <w:t>5</w:t>
          </w:r>
          <w:r>
            <w:fldChar w:fldCharType="end"/>
          </w:r>
          <w:r>
            <w:fldChar w:fldCharType="end"/>
          </w:r>
        </w:p>
        <w:p w14:paraId="307EBEEC">
          <w:pPr>
            <w:pStyle w:val="10"/>
            <w:tabs>
              <w:tab w:val="right" w:leader="dot" w:pos="8306"/>
            </w:tabs>
          </w:pPr>
          <w:r>
            <w:fldChar w:fldCharType="begin"/>
          </w:r>
          <w:r>
            <w:instrText xml:space="preserve"> HYPERLINK \l _Toc5483 </w:instrText>
          </w:r>
          <w:r>
            <w:fldChar w:fldCharType="separate"/>
          </w:r>
          <w:r>
            <w:rPr>
              <w:rFonts w:hint="eastAsia"/>
            </w:rPr>
            <w:t xml:space="preserve">2.5 </w:t>
          </w:r>
          <w:r>
            <w:t>其他相关资料</w:t>
          </w:r>
          <w:r>
            <w:tab/>
          </w:r>
          <w:r>
            <w:fldChar w:fldCharType="begin"/>
          </w:r>
          <w:r>
            <w:instrText xml:space="preserve"> PAGEREF _Toc5483 \h </w:instrText>
          </w:r>
          <w:r>
            <w:fldChar w:fldCharType="separate"/>
          </w:r>
          <w:r>
            <w:t>5</w:t>
          </w:r>
          <w:r>
            <w:fldChar w:fldCharType="end"/>
          </w:r>
          <w:r>
            <w:fldChar w:fldCharType="end"/>
          </w:r>
        </w:p>
        <w:p w14:paraId="6B3E6858">
          <w:pPr>
            <w:pStyle w:val="8"/>
            <w:tabs>
              <w:tab w:val="right" w:leader="dot" w:pos="8306"/>
            </w:tabs>
          </w:pPr>
          <w:r>
            <w:fldChar w:fldCharType="begin"/>
          </w:r>
          <w:r>
            <w:instrText xml:space="preserve"> HYPERLINK \l _Toc15238 </w:instrText>
          </w:r>
          <w:r>
            <w:fldChar w:fldCharType="separate"/>
          </w:r>
          <w:r>
            <w:rPr>
              <w:rFonts w:hint="eastAsia"/>
            </w:rPr>
            <w:t xml:space="preserve">§3 </w:t>
          </w:r>
          <w:r>
            <w:t>主要财务指标和基金净值表现</w:t>
          </w:r>
          <w:r>
            <w:tab/>
          </w:r>
          <w:r>
            <w:fldChar w:fldCharType="begin"/>
          </w:r>
          <w:r>
            <w:instrText xml:space="preserve"> PAGEREF _Toc15238 \h </w:instrText>
          </w:r>
          <w:r>
            <w:fldChar w:fldCharType="separate"/>
          </w:r>
          <w:r>
            <w:t>5</w:t>
          </w:r>
          <w:r>
            <w:fldChar w:fldCharType="end"/>
          </w:r>
          <w:r>
            <w:fldChar w:fldCharType="end"/>
          </w:r>
        </w:p>
        <w:p w14:paraId="1359378D">
          <w:pPr>
            <w:pStyle w:val="10"/>
            <w:tabs>
              <w:tab w:val="right" w:leader="dot" w:pos="8306"/>
            </w:tabs>
          </w:pPr>
          <w:r>
            <w:fldChar w:fldCharType="begin"/>
          </w:r>
          <w:r>
            <w:instrText xml:space="preserve"> HYPERLINK \l _Toc14336 </w:instrText>
          </w:r>
          <w:r>
            <w:fldChar w:fldCharType="separate"/>
          </w:r>
          <w:r>
            <w:rPr>
              <w:rFonts w:hint="eastAsia"/>
            </w:rPr>
            <w:t xml:space="preserve">3.1 </w:t>
          </w:r>
          <w:r>
            <w:t>主要会计数据和财务指标</w:t>
          </w:r>
          <w:r>
            <w:tab/>
          </w:r>
          <w:r>
            <w:fldChar w:fldCharType="begin"/>
          </w:r>
          <w:r>
            <w:instrText xml:space="preserve"> PAGEREF _Toc14336 \h </w:instrText>
          </w:r>
          <w:r>
            <w:fldChar w:fldCharType="separate"/>
          </w:r>
          <w:r>
            <w:t>5</w:t>
          </w:r>
          <w:r>
            <w:fldChar w:fldCharType="end"/>
          </w:r>
          <w:r>
            <w:fldChar w:fldCharType="end"/>
          </w:r>
        </w:p>
        <w:p w14:paraId="07E3C375">
          <w:pPr>
            <w:pStyle w:val="10"/>
            <w:tabs>
              <w:tab w:val="right" w:leader="dot" w:pos="8306"/>
            </w:tabs>
          </w:pPr>
          <w:r>
            <w:fldChar w:fldCharType="begin"/>
          </w:r>
          <w:r>
            <w:instrText xml:space="preserve"> HYPERLINK \l _Toc25824 </w:instrText>
          </w:r>
          <w:r>
            <w:fldChar w:fldCharType="separate"/>
          </w:r>
          <w:r>
            <w:rPr>
              <w:rFonts w:hint="eastAsia"/>
            </w:rPr>
            <w:t xml:space="preserve">3.2 </w:t>
          </w:r>
          <w:r>
            <w:t>基金净值表现</w:t>
          </w:r>
          <w:r>
            <w:tab/>
          </w:r>
          <w:r>
            <w:fldChar w:fldCharType="begin"/>
          </w:r>
          <w:r>
            <w:instrText xml:space="preserve"> PAGEREF _Toc25824 \h </w:instrText>
          </w:r>
          <w:r>
            <w:fldChar w:fldCharType="separate"/>
          </w:r>
          <w:r>
            <w:t>6</w:t>
          </w:r>
          <w:r>
            <w:fldChar w:fldCharType="end"/>
          </w:r>
          <w:r>
            <w:fldChar w:fldCharType="end"/>
          </w:r>
        </w:p>
        <w:p w14:paraId="0896FBAF">
          <w:pPr>
            <w:pStyle w:val="10"/>
            <w:tabs>
              <w:tab w:val="right" w:leader="dot" w:pos="8306"/>
            </w:tabs>
          </w:pPr>
          <w:r>
            <w:fldChar w:fldCharType="begin"/>
          </w:r>
          <w:r>
            <w:instrText xml:space="preserve"> HYPERLINK \l _Toc27466 </w:instrText>
          </w:r>
          <w:r>
            <w:fldChar w:fldCharType="separate"/>
          </w:r>
          <w:r>
            <w:rPr>
              <w:rFonts w:hint="eastAsia"/>
            </w:rPr>
            <w:t xml:space="preserve">3.3 </w:t>
          </w:r>
          <w:r>
            <w:t>过去三年基金的利润分配情况</w:t>
          </w:r>
          <w:r>
            <w:tab/>
          </w:r>
          <w:r>
            <w:fldChar w:fldCharType="begin"/>
          </w:r>
          <w:r>
            <w:instrText xml:space="preserve"> PAGEREF _Toc27466 \h </w:instrText>
          </w:r>
          <w:r>
            <w:fldChar w:fldCharType="separate"/>
          </w:r>
          <w:r>
            <w:t>9</w:t>
          </w:r>
          <w:r>
            <w:fldChar w:fldCharType="end"/>
          </w:r>
          <w:r>
            <w:fldChar w:fldCharType="end"/>
          </w:r>
        </w:p>
        <w:p w14:paraId="1B2B40D2">
          <w:pPr>
            <w:pStyle w:val="8"/>
            <w:tabs>
              <w:tab w:val="right" w:leader="dot" w:pos="8306"/>
            </w:tabs>
          </w:pPr>
          <w:r>
            <w:fldChar w:fldCharType="begin"/>
          </w:r>
          <w:r>
            <w:instrText xml:space="preserve"> HYPERLINK \l _Toc5401 </w:instrText>
          </w:r>
          <w:r>
            <w:fldChar w:fldCharType="separate"/>
          </w:r>
          <w:r>
            <w:rPr>
              <w:rFonts w:hint="eastAsia"/>
            </w:rPr>
            <w:t xml:space="preserve">§4 </w:t>
          </w:r>
          <w:r>
            <w:t>管理人报告</w:t>
          </w:r>
          <w:r>
            <w:tab/>
          </w:r>
          <w:r>
            <w:fldChar w:fldCharType="begin"/>
          </w:r>
          <w:r>
            <w:instrText xml:space="preserve"> PAGEREF _Toc5401 \h </w:instrText>
          </w:r>
          <w:r>
            <w:fldChar w:fldCharType="separate"/>
          </w:r>
          <w:r>
            <w:t>10</w:t>
          </w:r>
          <w:r>
            <w:fldChar w:fldCharType="end"/>
          </w:r>
          <w:r>
            <w:fldChar w:fldCharType="end"/>
          </w:r>
        </w:p>
        <w:p w14:paraId="5F45B6B0">
          <w:pPr>
            <w:pStyle w:val="10"/>
            <w:tabs>
              <w:tab w:val="right" w:leader="dot" w:pos="8306"/>
            </w:tabs>
          </w:pPr>
          <w:r>
            <w:fldChar w:fldCharType="begin"/>
          </w:r>
          <w:r>
            <w:instrText xml:space="preserve"> HYPERLINK \l _Toc29682 </w:instrText>
          </w:r>
          <w:r>
            <w:fldChar w:fldCharType="separate"/>
          </w:r>
          <w:r>
            <w:rPr>
              <w:rFonts w:hint="eastAsia"/>
            </w:rPr>
            <w:t xml:space="preserve">4.1 </w:t>
          </w:r>
          <w:r>
            <w:t>基金管理人及基金经理情况</w:t>
          </w:r>
          <w:r>
            <w:tab/>
          </w:r>
          <w:r>
            <w:fldChar w:fldCharType="begin"/>
          </w:r>
          <w:r>
            <w:instrText xml:space="preserve"> PAGEREF _Toc29682 \h </w:instrText>
          </w:r>
          <w:r>
            <w:fldChar w:fldCharType="separate"/>
          </w:r>
          <w:r>
            <w:t>10</w:t>
          </w:r>
          <w:r>
            <w:fldChar w:fldCharType="end"/>
          </w:r>
          <w:r>
            <w:fldChar w:fldCharType="end"/>
          </w:r>
        </w:p>
        <w:p w14:paraId="022D85DA">
          <w:pPr>
            <w:pStyle w:val="10"/>
            <w:tabs>
              <w:tab w:val="right" w:leader="dot" w:pos="8306"/>
            </w:tabs>
          </w:pPr>
          <w:r>
            <w:fldChar w:fldCharType="begin"/>
          </w:r>
          <w:r>
            <w:instrText xml:space="preserve"> HYPERLINK \l _Toc18504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_Toc18504 \h </w:instrText>
          </w:r>
          <w:r>
            <w:fldChar w:fldCharType="separate"/>
          </w:r>
          <w:r>
            <w:t>11</w:t>
          </w:r>
          <w:r>
            <w:fldChar w:fldCharType="end"/>
          </w:r>
          <w:r>
            <w:fldChar w:fldCharType="end"/>
          </w:r>
        </w:p>
        <w:p w14:paraId="1350A8C9">
          <w:pPr>
            <w:pStyle w:val="10"/>
            <w:tabs>
              <w:tab w:val="right" w:leader="dot" w:pos="8306"/>
            </w:tabs>
          </w:pPr>
          <w:r>
            <w:fldChar w:fldCharType="begin"/>
          </w:r>
          <w:r>
            <w:instrText xml:space="preserve"> HYPERLINK \l _Toc10137 </w:instrText>
          </w:r>
          <w:r>
            <w:fldChar w:fldCharType="separate"/>
          </w:r>
          <w:r>
            <w:rPr>
              <w:rFonts w:hint="eastAsia"/>
            </w:rPr>
            <w:t xml:space="preserve">4.3 </w:t>
          </w:r>
          <w:r>
            <w:t>管理人对报告期内公平交易情况的专项说明</w:t>
          </w:r>
          <w:r>
            <w:tab/>
          </w:r>
          <w:r>
            <w:fldChar w:fldCharType="begin"/>
          </w:r>
          <w:r>
            <w:instrText xml:space="preserve"> PAGEREF _Toc10137 \h </w:instrText>
          </w:r>
          <w:r>
            <w:fldChar w:fldCharType="separate"/>
          </w:r>
          <w:r>
            <w:t>12</w:t>
          </w:r>
          <w:r>
            <w:fldChar w:fldCharType="end"/>
          </w:r>
          <w:r>
            <w:fldChar w:fldCharType="end"/>
          </w:r>
        </w:p>
        <w:p w14:paraId="62A3DA88">
          <w:pPr>
            <w:pStyle w:val="10"/>
            <w:tabs>
              <w:tab w:val="right" w:leader="dot" w:pos="8306"/>
            </w:tabs>
          </w:pPr>
          <w:r>
            <w:fldChar w:fldCharType="begin"/>
          </w:r>
          <w:r>
            <w:instrText xml:space="preserve"> HYPERLINK \l _Toc10205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_Toc10205 \h </w:instrText>
          </w:r>
          <w:r>
            <w:fldChar w:fldCharType="separate"/>
          </w:r>
          <w:r>
            <w:t>12</w:t>
          </w:r>
          <w:r>
            <w:fldChar w:fldCharType="end"/>
          </w:r>
          <w:r>
            <w:fldChar w:fldCharType="end"/>
          </w:r>
        </w:p>
        <w:p w14:paraId="4667CEE1">
          <w:pPr>
            <w:pStyle w:val="10"/>
            <w:tabs>
              <w:tab w:val="right" w:leader="dot" w:pos="8306"/>
            </w:tabs>
          </w:pPr>
          <w:r>
            <w:fldChar w:fldCharType="begin"/>
          </w:r>
          <w:r>
            <w:instrText xml:space="preserve"> HYPERLINK \l _Toc29405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_Toc29405 \h </w:instrText>
          </w:r>
          <w:r>
            <w:fldChar w:fldCharType="separate"/>
          </w:r>
          <w:r>
            <w:t>13</w:t>
          </w:r>
          <w:r>
            <w:fldChar w:fldCharType="end"/>
          </w:r>
          <w:r>
            <w:fldChar w:fldCharType="end"/>
          </w:r>
        </w:p>
        <w:p w14:paraId="5ADAF5A7">
          <w:pPr>
            <w:pStyle w:val="10"/>
            <w:tabs>
              <w:tab w:val="right" w:leader="dot" w:pos="8306"/>
            </w:tabs>
          </w:pPr>
          <w:r>
            <w:fldChar w:fldCharType="begin"/>
          </w:r>
          <w:r>
            <w:instrText xml:space="preserve"> HYPERLINK \l _Toc31530 </w:instrText>
          </w:r>
          <w:r>
            <w:fldChar w:fldCharType="separate"/>
          </w:r>
          <w:r>
            <w:rPr>
              <w:rFonts w:hint="eastAsia"/>
            </w:rPr>
            <w:t xml:space="preserve">4.6 </w:t>
          </w:r>
          <w:r>
            <w:t>管理人内部有关本基金的监察稽核工作情况</w:t>
          </w:r>
          <w:r>
            <w:tab/>
          </w:r>
          <w:r>
            <w:fldChar w:fldCharType="begin"/>
          </w:r>
          <w:r>
            <w:instrText xml:space="preserve"> PAGEREF _Toc31530 \h </w:instrText>
          </w:r>
          <w:r>
            <w:fldChar w:fldCharType="separate"/>
          </w:r>
          <w:r>
            <w:t>15</w:t>
          </w:r>
          <w:r>
            <w:fldChar w:fldCharType="end"/>
          </w:r>
          <w:r>
            <w:fldChar w:fldCharType="end"/>
          </w:r>
        </w:p>
        <w:p w14:paraId="0F75942A">
          <w:pPr>
            <w:pStyle w:val="10"/>
            <w:tabs>
              <w:tab w:val="right" w:leader="dot" w:pos="8306"/>
            </w:tabs>
          </w:pPr>
          <w:r>
            <w:fldChar w:fldCharType="begin"/>
          </w:r>
          <w:r>
            <w:instrText xml:space="preserve"> HYPERLINK \l _Toc18696 </w:instrText>
          </w:r>
          <w:r>
            <w:fldChar w:fldCharType="separate"/>
          </w:r>
          <w:r>
            <w:rPr>
              <w:rFonts w:hint="eastAsia"/>
            </w:rPr>
            <w:t xml:space="preserve">4.7 </w:t>
          </w:r>
          <w:r>
            <w:t>管理人对报告期内基金估值程序等事项的说明</w:t>
          </w:r>
          <w:r>
            <w:tab/>
          </w:r>
          <w:r>
            <w:fldChar w:fldCharType="begin"/>
          </w:r>
          <w:r>
            <w:instrText xml:space="preserve"> PAGEREF _Toc18696 \h </w:instrText>
          </w:r>
          <w:r>
            <w:fldChar w:fldCharType="separate"/>
          </w:r>
          <w:r>
            <w:t>16</w:t>
          </w:r>
          <w:r>
            <w:fldChar w:fldCharType="end"/>
          </w:r>
          <w:r>
            <w:fldChar w:fldCharType="end"/>
          </w:r>
        </w:p>
        <w:p w14:paraId="553D7FF6">
          <w:pPr>
            <w:pStyle w:val="10"/>
            <w:tabs>
              <w:tab w:val="right" w:leader="dot" w:pos="8306"/>
            </w:tabs>
          </w:pPr>
          <w:r>
            <w:fldChar w:fldCharType="begin"/>
          </w:r>
          <w:r>
            <w:instrText xml:space="preserve"> HYPERLINK \l _Toc4071 </w:instrText>
          </w:r>
          <w:r>
            <w:fldChar w:fldCharType="separate"/>
          </w:r>
          <w:r>
            <w:rPr>
              <w:rFonts w:hint="eastAsia"/>
            </w:rPr>
            <w:t xml:space="preserve">4.8 </w:t>
          </w:r>
          <w:r>
            <w:t>管理人对报告期内基金利润分配情况的说明</w:t>
          </w:r>
          <w:r>
            <w:tab/>
          </w:r>
          <w:r>
            <w:fldChar w:fldCharType="begin"/>
          </w:r>
          <w:r>
            <w:instrText xml:space="preserve"> PAGEREF _Toc4071 \h </w:instrText>
          </w:r>
          <w:r>
            <w:fldChar w:fldCharType="separate"/>
          </w:r>
          <w:r>
            <w:t>16</w:t>
          </w:r>
          <w:r>
            <w:fldChar w:fldCharType="end"/>
          </w:r>
          <w:r>
            <w:fldChar w:fldCharType="end"/>
          </w:r>
        </w:p>
        <w:p w14:paraId="7BC1EE57">
          <w:pPr>
            <w:pStyle w:val="10"/>
            <w:tabs>
              <w:tab w:val="right" w:leader="dot" w:pos="8306"/>
            </w:tabs>
          </w:pPr>
          <w:r>
            <w:fldChar w:fldCharType="begin"/>
          </w:r>
          <w:r>
            <w:instrText xml:space="preserve"> HYPERLINK \l _Toc7075 </w:instrText>
          </w:r>
          <w:r>
            <w:fldChar w:fldCharType="separate"/>
          </w:r>
          <w:r>
            <w:rPr>
              <w:rFonts w:hint="eastAsia"/>
            </w:rPr>
            <w:t xml:space="preserve">4.9 </w:t>
          </w:r>
          <w:r>
            <w:t>报告期内基金持有人数或基金资产净值预警说明</w:t>
          </w:r>
          <w:r>
            <w:tab/>
          </w:r>
          <w:r>
            <w:fldChar w:fldCharType="begin"/>
          </w:r>
          <w:r>
            <w:instrText xml:space="preserve"> PAGEREF _Toc7075 \h </w:instrText>
          </w:r>
          <w:r>
            <w:fldChar w:fldCharType="separate"/>
          </w:r>
          <w:r>
            <w:t>17</w:t>
          </w:r>
          <w:r>
            <w:fldChar w:fldCharType="end"/>
          </w:r>
          <w:r>
            <w:fldChar w:fldCharType="end"/>
          </w:r>
        </w:p>
        <w:p w14:paraId="1EE8F5C2">
          <w:pPr>
            <w:pStyle w:val="8"/>
            <w:tabs>
              <w:tab w:val="right" w:leader="dot" w:pos="8306"/>
            </w:tabs>
          </w:pPr>
          <w:r>
            <w:fldChar w:fldCharType="begin"/>
          </w:r>
          <w:r>
            <w:instrText xml:space="preserve"> HYPERLINK \l _Toc19542 </w:instrText>
          </w:r>
          <w:r>
            <w:fldChar w:fldCharType="separate"/>
          </w:r>
          <w:r>
            <w:rPr>
              <w:rFonts w:hint="eastAsia"/>
            </w:rPr>
            <w:t xml:space="preserve">§5 </w:t>
          </w:r>
          <w:r>
            <w:t>托管人报告</w:t>
          </w:r>
          <w:r>
            <w:tab/>
          </w:r>
          <w:r>
            <w:fldChar w:fldCharType="begin"/>
          </w:r>
          <w:r>
            <w:instrText xml:space="preserve"> PAGEREF _Toc19542 \h </w:instrText>
          </w:r>
          <w:r>
            <w:fldChar w:fldCharType="separate"/>
          </w:r>
          <w:r>
            <w:t>17</w:t>
          </w:r>
          <w:r>
            <w:fldChar w:fldCharType="end"/>
          </w:r>
          <w:r>
            <w:fldChar w:fldCharType="end"/>
          </w:r>
        </w:p>
        <w:p w14:paraId="53315909">
          <w:pPr>
            <w:pStyle w:val="10"/>
            <w:tabs>
              <w:tab w:val="right" w:leader="dot" w:pos="8306"/>
            </w:tabs>
          </w:pPr>
          <w:r>
            <w:fldChar w:fldCharType="begin"/>
          </w:r>
          <w:r>
            <w:instrText xml:space="preserve"> HYPERLINK \l _Toc8121 </w:instrText>
          </w:r>
          <w:r>
            <w:fldChar w:fldCharType="separate"/>
          </w:r>
          <w:r>
            <w:rPr>
              <w:rFonts w:hint="eastAsia"/>
            </w:rPr>
            <w:t xml:space="preserve">5.1 </w:t>
          </w:r>
          <w:r>
            <w:t>报告期内本基金托管人遵规守信情况声明</w:t>
          </w:r>
          <w:r>
            <w:tab/>
          </w:r>
          <w:r>
            <w:fldChar w:fldCharType="begin"/>
          </w:r>
          <w:r>
            <w:instrText xml:space="preserve"> PAGEREF _Toc8121 \h </w:instrText>
          </w:r>
          <w:r>
            <w:fldChar w:fldCharType="separate"/>
          </w:r>
          <w:r>
            <w:t>17</w:t>
          </w:r>
          <w:r>
            <w:fldChar w:fldCharType="end"/>
          </w:r>
          <w:r>
            <w:fldChar w:fldCharType="end"/>
          </w:r>
        </w:p>
        <w:p w14:paraId="3D98F7BD">
          <w:pPr>
            <w:pStyle w:val="10"/>
            <w:tabs>
              <w:tab w:val="right" w:leader="dot" w:pos="8306"/>
            </w:tabs>
          </w:pPr>
          <w:r>
            <w:fldChar w:fldCharType="begin"/>
          </w:r>
          <w:r>
            <w:instrText xml:space="preserve"> HYPERLINK \l _Toc4491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_Toc4491 \h </w:instrText>
          </w:r>
          <w:r>
            <w:fldChar w:fldCharType="separate"/>
          </w:r>
          <w:r>
            <w:t>17</w:t>
          </w:r>
          <w:r>
            <w:fldChar w:fldCharType="end"/>
          </w:r>
          <w:r>
            <w:fldChar w:fldCharType="end"/>
          </w:r>
        </w:p>
        <w:p w14:paraId="1F81D0F2">
          <w:pPr>
            <w:pStyle w:val="10"/>
            <w:tabs>
              <w:tab w:val="right" w:leader="dot" w:pos="8306"/>
            </w:tabs>
          </w:pPr>
          <w:r>
            <w:fldChar w:fldCharType="begin"/>
          </w:r>
          <w:r>
            <w:instrText xml:space="preserve"> HYPERLINK \l _Toc25301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_Toc25301 \h </w:instrText>
          </w:r>
          <w:r>
            <w:fldChar w:fldCharType="separate"/>
          </w:r>
          <w:r>
            <w:t>17</w:t>
          </w:r>
          <w:r>
            <w:fldChar w:fldCharType="end"/>
          </w:r>
          <w:r>
            <w:fldChar w:fldCharType="end"/>
          </w:r>
        </w:p>
        <w:p w14:paraId="2C60C755">
          <w:pPr>
            <w:pStyle w:val="8"/>
            <w:tabs>
              <w:tab w:val="right" w:leader="dot" w:pos="8306"/>
            </w:tabs>
          </w:pPr>
          <w:r>
            <w:fldChar w:fldCharType="begin"/>
          </w:r>
          <w:r>
            <w:instrText xml:space="preserve"> HYPERLINK \l _Toc31402 </w:instrText>
          </w:r>
          <w:r>
            <w:fldChar w:fldCharType="separate"/>
          </w:r>
          <w:r>
            <w:rPr>
              <w:rFonts w:hint="eastAsia"/>
            </w:rPr>
            <w:t xml:space="preserve">§6 </w:t>
          </w:r>
          <w:r>
            <w:t>审计报告</w:t>
          </w:r>
          <w:r>
            <w:tab/>
          </w:r>
          <w:r>
            <w:fldChar w:fldCharType="begin"/>
          </w:r>
          <w:r>
            <w:instrText xml:space="preserve"> PAGEREF _Toc31402 \h </w:instrText>
          </w:r>
          <w:r>
            <w:fldChar w:fldCharType="separate"/>
          </w:r>
          <w:r>
            <w:t>17</w:t>
          </w:r>
          <w:r>
            <w:fldChar w:fldCharType="end"/>
          </w:r>
          <w:r>
            <w:fldChar w:fldCharType="end"/>
          </w:r>
        </w:p>
        <w:p w14:paraId="76849F7C">
          <w:pPr>
            <w:pStyle w:val="10"/>
            <w:tabs>
              <w:tab w:val="right" w:leader="dot" w:pos="8306"/>
            </w:tabs>
          </w:pPr>
          <w:r>
            <w:fldChar w:fldCharType="begin"/>
          </w:r>
          <w:r>
            <w:instrText xml:space="preserve"> HYPERLINK \l _Toc20548 </w:instrText>
          </w:r>
          <w:r>
            <w:fldChar w:fldCharType="separate"/>
          </w:r>
          <w:r>
            <w:rPr>
              <w:rFonts w:hint="eastAsia"/>
            </w:rPr>
            <w:t xml:space="preserve">6.1 </w:t>
          </w:r>
          <w:r>
            <w:t>审计报告基本信息</w:t>
          </w:r>
          <w:r>
            <w:tab/>
          </w:r>
          <w:r>
            <w:fldChar w:fldCharType="begin"/>
          </w:r>
          <w:r>
            <w:instrText xml:space="preserve"> PAGEREF _Toc20548 \h </w:instrText>
          </w:r>
          <w:r>
            <w:fldChar w:fldCharType="separate"/>
          </w:r>
          <w:r>
            <w:t>17</w:t>
          </w:r>
          <w:r>
            <w:fldChar w:fldCharType="end"/>
          </w:r>
          <w:r>
            <w:fldChar w:fldCharType="end"/>
          </w:r>
        </w:p>
        <w:p w14:paraId="3DD1F68C">
          <w:pPr>
            <w:pStyle w:val="10"/>
            <w:tabs>
              <w:tab w:val="right" w:leader="dot" w:pos="8306"/>
            </w:tabs>
          </w:pPr>
          <w:r>
            <w:fldChar w:fldCharType="begin"/>
          </w:r>
          <w:r>
            <w:instrText xml:space="preserve"> HYPERLINK \l _Toc30617 </w:instrText>
          </w:r>
          <w:r>
            <w:fldChar w:fldCharType="separate"/>
          </w:r>
          <w:r>
            <w:rPr>
              <w:rFonts w:hint="eastAsia"/>
            </w:rPr>
            <w:t xml:space="preserve">6.2 </w:t>
          </w:r>
          <w:r>
            <w:t>审计报告的基本内容</w:t>
          </w:r>
          <w:r>
            <w:tab/>
          </w:r>
          <w:r>
            <w:fldChar w:fldCharType="begin"/>
          </w:r>
          <w:r>
            <w:instrText xml:space="preserve"> PAGEREF _Toc30617 \h </w:instrText>
          </w:r>
          <w:r>
            <w:fldChar w:fldCharType="separate"/>
          </w:r>
          <w:r>
            <w:t>18</w:t>
          </w:r>
          <w:r>
            <w:fldChar w:fldCharType="end"/>
          </w:r>
          <w:r>
            <w:fldChar w:fldCharType="end"/>
          </w:r>
        </w:p>
        <w:p w14:paraId="481C9C22">
          <w:pPr>
            <w:pStyle w:val="8"/>
            <w:tabs>
              <w:tab w:val="right" w:leader="dot" w:pos="8306"/>
            </w:tabs>
          </w:pPr>
          <w:r>
            <w:fldChar w:fldCharType="begin"/>
          </w:r>
          <w:r>
            <w:instrText xml:space="preserve"> HYPERLINK \l _Toc19164 </w:instrText>
          </w:r>
          <w:r>
            <w:fldChar w:fldCharType="separate"/>
          </w:r>
          <w:r>
            <w:rPr>
              <w:rFonts w:hint="eastAsia"/>
            </w:rPr>
            <w:t xml:space="preserve">§7 </w:t>
          </w:r>
          <w:r>
            <w:t>年度财务报表</w:t>
          </w:r>
          <w:r>
            <w:tab/>
          </w:r>
          <w:r>
            <w:fldChar w:fldCharType="begin"/>
          </w:r>
          <w:r>
            <w:instrText xml:space="preserve"> PAGEREF _Toc19164 \h </w:instrText>
          </w:r>
          <w:r>
            <w:fldChar w:fldCharType="separate"/>
          </w:r>
          <w:r>
            <w:t>20</w:t>
          </w:r>
          <w:r>
            <w:fldChar w:fldCharType="end"/>
          </w:r>
          <w:r>
            <w:fldChar w:fldCharType="end"/>
          </w:r>
        </w:p>
        <w:p w14:paraId="0D05F84C">
          <w:pPr>
            <w:pStyle w:val="10"/>
            <w:tabs>
              <w:tab w:val="right" w:leader="dot" w:pos="8306"/>
            </w:tabs>
          </w:pPr>
          <w:r>
            <w:fldChar w:fldCharType="begin"/>
          </w:r>
          <w:r>
            <w:instrText xml:space="preserve"> HYPERLINK \l _Toc28734 </w:instrText>
          </w:r>
          <w:r>
            <w:fldChar w:fldCharType="separate"/>
          </w:r>
          <w:r>
            <w:rPr>
              <w:rFonts w:hint="eastAsia"/>
            </w:rPr>
            <w:t xml:space="preserve">7.1 </w:t>
          </w:r>
          <w:r>
            <w:t>资产负债表</w:t>
          </w:r>
          <w:r>
            <w:tab/>
          </w:r>
          <w:r>
            <w:fldChar w:fldCharType="begin"/>
          </w:r>
          <w:r>
            <w:instrText xml:space="preserve"> PAGEREF _Toc28734 \h </w:instrText>
          </w:r>
          <w:r>
            <w:fldChar w:fldCharType="separate"/>
          </w:r>
          <w:r>
            <w:t>20</w:t>
          </w:r>
          <w:r>
            <w:fldChar w:fldCharType="end"/>
          </w:r>
          <w:r>
            <w:fldChar w:fldCharType="end"/>
          </w:r>
        </w:p>
        <w:p w14:paraId="32DA85FA">
          <w:pPr>
            <w:pStyle w:val="10"/>
            <w:tabs>
              <w:tab w:val="right" w:leader="dot" w:pos="8306"/>
            </w:tabs>
          </w:pPr>
          <w:r>
            <w:fldChar w:fldCharType="begin"/>
          </w:r>
          <w:r>
            <w:instrText xml:space="preserve"> HYPERLINK \l _Toc29130 </w:instrText>
          </w:r>
          <w:r>
            <w:fldChar w:fldCharType="separate"/>
          </w:r>
          <w:r>
            <w:rPr>
              <w:rFonts w:hint="eastAsia"/>
            </w:rPr>
            <w:t xml:space="preserve">7.2 </w:t>
          </w:r>
          <w:r>
            <w:t>利润表</w:t>
          </w:r>
          <w:r>
            <w:tab/>
          </w:r>
          <w:r>
            <w:fldChar w:fldCharType="begin"/>
          </w:r>
          <w:r>
            <w:instrText xml:space="preserve"> PAGEREF _Toc29130 \h </w:instrText>
          </w:r>
          <w:r>
            <w:fldChar w:fldCharType="separate"/>
          </w:r>
          <w:r>
            <w:t>21</w:t>
          </w:r>
          <w:r>
            <w:fldChar w:fldCharType="end"/>
          </w:r>
          <w:r>
            <w:fldChar w:fldCharType="end"/>
          </w:r>
        </w:p>
        <w:p w14:paraId="77BF8228">
          <w:pPr>
            <w:pStyle w:val="10"/>
            <w:tabs>
              <w:tab w:val="right" w:leader="dot" w:pos="8306"/>
            </w:tabs>
          </w:pPr>
          <w:r>
            <w:fldChar w:fldCharType="begin"/>
          </w:r>
          <w:r>
            <w:instrText xml:space="preserve"> HYPERLINK \l _Toc27262 </w:instrText>
          </w:r>
          <w:r>
            <w:fldChar w:fldCharType="separate"/>
          </w:r>
          <w:r>
            <w:rPr>
              <w:rFonts w:hint="eastAsia"/>
            </w:rPr>
            <w:t xml:space="preserve">7.3 </w:t>
          </w:r>
          <w:r>
            <w:t>净资产变动表</w:t>
          </w:r>
          <w:r>
            <w:tab/>
          </w:r>
          <w:r>
            <w:fldChar w:fldCharType="begin"/>
          </w:r>
          <w:r>
            <w:instrText xml:space="preserve"> PAGEREF _Toc27262 \h </w:instrText>
          </w:r>
          <w:r>
            <w:fldChar w:fldCharType="separate"/>
          </w:r>
          <w:r>
            <w:t>22</w:t>
          </w:r>
          <w:r>
            <w:fldChar w:fldCharType="end"/>
          </w:r>
          <w:r>
            <w:fldChar w:fldCharType="end"/>
          </w:r>
        </w:p>
        <w:p w14:paraId="3C95851B">
          <w:pPr>
            <w:pStyle w:val="10"/>
            <w:tabs>
              <w:tab w:val="right" w:leader="dot" w:pos="8306"/>
            </w:tabs>
          </w:pPr>
          <w:r>
            <w:fldChar w:fldCharType="begin"/>
          </w:r>
          <w:r>
            <w:instrText xml:space="preserve"> HYPERLINK \l _Toc20739 </w:instrText>
          </w:r>
          <w:r>
            <w:fldChar w:fldCharType="separate"/>
          </w:r>
          <w:r>
            <w:rPr>
              <w:rFonts w:hint="eastAsia"/>
            </w:rPr>
            <w:t xml:space="preserve">7.4 </w:t>
          </w:r>
          <w:r>
            <w:t>报表附注</w:t>
          </w:r>
          <w:r>
            <w:tab/>
          </w:r>
          <w:r>
            <w:fldChar w:fldCharType="begin"/>
          </w:r>
          <w:r>
            <w:instrText xml:space="preserve"> PAGEREF _Toc20739 \h </w:instrText>
          </w:r>
          <w:r>
            <w:fldChar w:fldCharType="separate"/>
          </w:r>
          <w:r>
            <w:t>23</w:t>
          </w:r>
          <w:r>
            <w:fldChar w:fldCharType="end"/>
          </w:r>
          <w:r>
            <w:fldChar w:fldCharType="end"/>
          </w:r>
        </w:p>
        <w:p w14:paraId="667FFDA8">
          <w:pPr>
            <w:pStyle w:val="8"/>
            <w:tabs>
              <w:tab w:val="right" w:leader="dot" w:pos="8306"/>
            </w:tabs>
          </w:pPr>
          <w:r>
            <w:fldChar w:fldCharType="begin"/>
          </w:r>
          <w:r>
            <w:instrText xml:space="preserve"> HYPERLINK \l _Toc4482 </w:instrText>
          </w:r>
          <w:r>
            <w:fldChar w:fldCharType="separate"/>
          </w:r>
          <w:r>
            <w:rPr>
              <w:rFonts w:hint="eastAsia"/>
            </w:rPr>
            <w:t xml:space="preserve">§8 </w:t>
          </w:r>
          <w:r>
            <w:t>投资组合报告</w:t>
          </w:r>
          <w:r>
            <w:tab/>
          </w:r>
          <w:r>
            <w:fldChar w:fldCharType="begin"/>
          </w:r>
          <w:r>
            <w:instrText xml:space="preserve"> PAGEREF _Toc4482 \h </w:instrText>
          </w:r>
          <w:r>
            <w:fldChar w:fldCharType="separate"/>
          </w:r>
          <w:r>
            <w:t>50</w:t>
          </w:r>
          <w:r>
            <w:fldChar w:fldCharType="end"/>
          </w:r>
          <w:r>
            <w:fldChar w:fldCharType="end"/>
          </w:r>
        </w:p>
        <w:p w14:paraId="44DEBBD2">
          <w:pPr>
            <w:pStyle w:val="10"/>
            <w:tabs>
              <w:tab w:val="right" w:leader="dot" w:pos="8306"/>
            </w:tabs>
          </w:pPr>
          <w:r>
            <w:fldChar w:fldCharType="begin"/>
          </w:r>
          <w:r>
            <w:instrText xml:space="preserve"> HYPERLINK \l _Toc526 </w:instrText>
          </w:r>
          <w:r>
            <w:fldChar w:fldCharType="separate"/>
          </w:r>
          <w:r>
            <w:rPr>
              <w:rFonts w:hint="eastAsia"/>
            </w:rPr>
            <w:t xml:space="preserve">8.1 </w:t>
          </w:r>
          <w:r>
            <w:t>期末基金资产组合情况</w:t>
          </w:r>
          <w:r>
            <w:tab/>
          </w:r>
          <w:r>
            <w:fldChar w:fldCharType="begin"/>
          </w:r>
          <w:r>
            <w:instrText xml:space="preserve"> PAGEREF _Toc526 \h </w:instrText>
          </w:r>
          <w:r>
            <w:fldChar w:fldCharType="separate"/>
          </w:r>
          <w:r>
            <w:t>50</w:t>
          </w:r>
          <w:r>
            <w:fldChar w:fldCharType="end"/>
          </w:r>
          <w:r>
            <w:fldChar w:fldCharType="end"/>
          </w:r>
        </w:p>
        <w:p w14:paraId="62291775">
          <w:pPr>
            <w:pStyle w:val="10"/>
            <w:tabs>
              <w:tab w:val="right" w:leader="dot" w:pos="8306"/>
            </w:tabs>
          </w:pPr>
          <w:r>
            <w:fldChar w:fldCharType="begin"/>
          </w:r>
          <w:r>
            <w:instrText xml:space="preserve"> HYPERLINK \l _Toc12230 </w:instrText>
          </w:r>
          <w:r>
            <w:fldChar w:fldCharType="separate"/>
          </w:r>
          <w:r>
            <w:rPr>
              <w:rFonts w:hint="eastAsia"/>
            </w:rPr>
            <w:t xml:space="preserve">8.2 </w:t>
          </w:r>
          <w:r>
            <w:t>报告期末按行业分类的股票投资组合</w:t>
          </w:r>
          <w:r>
            <w:tab/>
          </w:r>
          <w:r>
            <w:fldChar w:fldCharType="begin"/>
          </w:r>
          <w:r>
            <w:instrText xml:space="preserve"> PAGEREF _Toc12230 \h </w:instrText>
          </w:r>
          <w:r>
            <w:fldChar w:fldCharType="separate"/>
          </w:r>
          <w:r>
            <w:t>50</w:t>
          </w:r>
          <w:r>
            <w:fldChar w:fldCharType="end"/>
          </w:r>
          <w:r>
            <w:fldChar w:fldCharType="end"/>
          </w:r>
        </w:p>
        <w:p w14:paraId="0DF38398">
          <w:pPr>
            <w:pStyle w:val="10"/>
            <w:tabs>
              <w:tab w:val="right" w:leader="dot" w:pos="8306"/>
            </w:tabs>
          </w:pPr>
          <w:r>
            <w:fldChar w:fldCharType="begin"/>
          </w:r>
          <w:r>
            <w:instrText xml:space="preserve"> HYPERLINK \l _Toc10296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_Toc10296 \h </w:instrText>
          </w:r>
          <w:r>
            <w:fldChar w:fldCharType="separate"/>
          </w:r>
          <w:r>
            <w:t>52</w:t>
          </w:r>
          <w:r>
            <w:fldChar w:fldCharType="end"/>
          </w:r>
          <w:r>
            <w:fldChar w:fldCharType="end"/>
          </w:r>
        </w:p>
        <w:p w14:paraId="30128600">
          <w:pPr>
            <w:pStyle w:val="10"/>
            <w:tabs>
              <w:tab w:val="right" w:leader="dot" w:pos="8306"/>
            </w:tabs>
          </w:pPr>
          <w:r>
            <w:fldChar w:fldCharType="begin"/>
          </w:r>
          <w:r>
            <w:instrText xml:space="preserve"> HYPERLINK \l _Toc31487 </w:instrText>
          </w:r>
          <w:r>
            <w:fldChar w:fldCharType="separate"/>
          </w:r>
          <w:r>
            <w:rPr>
              <w:rFonts w:hint="eastAsia"/>
            </w:rPr>
            <w:t xml:space="preserve">8.4 </w:t>
          </w:r>
          <w:r>
            <w:t>报告期内股票投资组合的重大变动</w:t>
          </w:r>
          <w:r>
            <w:tab/>
          </w:r>
          <w:r>
            <w:fldChar w:fldCharType="begin"/>
          </w:r>
          <w:r>
            <w:instrText xml:space="preserve"> PAGEREF _Toc31487 \h </w:instrText>
          </w:r>
          <w:r>
            <w:fldChar w:fldCharType="separate"/>
          </w:r>
          <w:r>
            <w:t>53</w:t>
          </w:r>
          <w:r>
            <w:fldChar w:fldCharType="end"/>
          </w:r>
          <w:r>
            <w:fldChar w:fldCharType="end"/>
          </w:r>
        </w:p>
        <w:p w14:paraId="7FC85166">
          <w:pPr>
            <w:pStyle w:val="10"/>
            <w:tabs>
              <w:tab w:val="right" w:leader="dot" w:pos="8306"/>
            </w:tabs>
          </w:pPr>
          <w:r>
            <w:fldChar w:fldCharType="begin"/>
          </w:r>
          <w:r>
            <w:instrText xml:space="preserve"> HYPERLINK \l _Toc19331 </w:instrText>
          </w:r>
          <w:r>
            <w:fldChar w:fldCharType="separate"/>
          </w:r>
          <w:r>
            <w:rPr>
              <w:rFonts w:hint="eastAsia"/>
            </w:rPr>
            <w:t xml:space="preserve">8.5 </w:t>
          </w:r>
          <w:r>
            <w:t>期末按债券品种分类的债券投资组合</w:t>
          </w:r>
          <w:r>
            <w:tab/>
          </w:r>
          <w:r>
            <w:fldChar w:fldCharType="begin"/>
          </w:r>
          <w:r>
            <w:instrText xml:space="preserve"> PAGEREF _Toc19331 \h </w:instrText>
          </w:r>
          <w:r>
            <w:fldChar w:fldCharType="separate"/>
          </w:r>
          <w:r>
            <w:t>55</w:t>
          </w:r>
          <w:r>
            <w:fldChar w:fldCharType="end"/>
          </w:r>
          <w:r>
            <w:fldChar w:fldCharType="end"/>
          </w:r>
        </w:p>
        <w:p w14:paraId="3FF9F5E3">
          <w:pPr>
            <w:pStyle w:val="10"/>
            <w:tabs>
              <w:tab w:val="right" w:leader="dot" w:pos="8306"/>
            </w:tabs>
          </w:pPr>
          <w:r>
            <w:fldChar w:fldCharType="begin"/>
          </w:r>
          <w:r>
            <w:instrText xml:space="preserve"> HYPERLINK \l _Toc18399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_Toc18399 \h </w:instrText>
          </w:r>
          <w:r>
            <w:fldChar w:fldCharType="separate"/>
          </w:r>
          <w:r>
            <w:t>55</w:t>
          </w:r>
          <w:r>
            <w:fldChar w:fldCharType="end"/>
          </w:r>
          <w:r>
            <w:fldChar w:fldCharType="end"/>
          </w:r>
        </w:p>
        <w:p w14:paraId="679A8DA9">
          <w:pPr>
            <w:pStyle w:val="10"/>
            <w:tabs>
              <w:tab w:val="right" w:leader="dot" w:pos="8306"/>
            </w:tabs>
          </w:pPr>
          <w:r>
            <w:fldChar w:fldCharType="begin"/>
          </w:r>
          <w:r>
            <w:instrText xml:space="preserve"> HYPERLINK \l _Toc28606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_Toc28606 \h </w:instrText>
          </w:r>
          <w:r>
            <w:fldChar w:fldCharType="separate"/>
          </w:r>
          <w:r>
            <w:t>55</w:t>
          </w:r>
          <w:r>
            <w:fldChar w:fldCharType="end"/>
          </w:r>
          <w:r>
            <w:fldChar w:fldCharType="end"/>
          </w:r>
        </w:p>
        <w:p w14:paraId="1E434175">
          <w:pPr>
            <w:pStyle w:val="10"/>
            <w:tabs>
              <w:tab w:val="right" w:leader="dot" w:pos="8306"/>
            </w:tabs>
          </w:pPr>
          <w:r>
            <w:fldChar w:fldCharType="begin"/>
          </w:r>
          <w:r>
            <w:instrText xml:space="preserve"> HYPERLINK \l _Toc11578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_Toc11578 \h </w:instrText>
          </w:r>
          <w:r>
            <w:fldChar w:fldCharType="separate"/>
          </w:r>
          <w:r>
            <w:t>55</w:t>
          </w:r>
          <w:r>
            <w:fldChar w:fldCharType="end"/>
          </w:r>
          <w:r>
            <w:fldChar w:fldCharType="end"/>
          </w:r>
        </w:p>
        <w:p w14:paraId="00083405">
          <w:pPr>
            <w:pStyle w:val="10"/>
            <w:tabs>
              <w:tab w:val="right" w:leader="dot" w:pos="8306"/>
            </w:tabs>
          </w:pPr>
          <w:r>
            <w:fldChar w:fldCharType="begin"/>
          </w:r>
          <w:r>
            <w:instrText xml:space="preserve"> HYPERLINK \l _Toc29098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_Toc29098 \h </w:instrText>
          </w:r>
          <w:r>
            <w:fldChar w:fldCharType="separate"/>
          </w:r>
          <w:r>
            <w:t>56</w:t>
          </w:r>
          <w:r>
            <w:fldChar w:fldCharType="end"/>
          </w:r>
          <w:r>
            <w:fldChar w:fldCharType="end"/>
          </w:r>
        </w:p>
        <w:p w14:paraId="480F96BA">
          <w:pPr>
            <w:pStyle w:val="10"/>
            <w:tabs>
              <w:tab w:val="right" w:leader="dot" w:pos="8306"/>
            </w:tabs>
          </w:pPr>
          <w:r>
            <w:fldChar w:fldCharType="begin"/>
          </w:r>
          <w:r>
            <w:instrText xml:space="preserve"> HYPERLINK \l _Toc6432 </w:instrText>
          </w:r>
          <w:r>
            <w:fldChar w:fldCharType="separate"/>
          </w:r>
          <w:r>
            <w:rPr>
              <w:rFonts w:hint="eastAsia"/>
            </w:rPr>
            <w:t xml:space="preserve">8.10 </w:t>
          </w:r>
          <w:r>
            <w:t>本基金投资股指期货的投资政策</w:t>
          </w:r>
          <w:r>
            <w:tab/>
          </w:r>
          <w:r>
            <w:fldChar w:fldCharType="begin"/>
          </w:r>
          <w:r>
            <w:instrText xml:space="preserve"> PAGEREF _Toc6432 \h </w:instrText>
          </w:r>
          <w:r>
            <w:fldChar w:fldCharType="separate"/>
          </w:r>
          <w:r>
            <w:t>56</w:t>
          </w:r>
          <w:r>
            <w:fldChar w:fldCharType="end"/>
          </w:r>
          <w:r>
            <w:fldChar w:fldCharType="end"/>
          </w:r>
        </w:p>
        <w:p w14:paraId="224D8F60">
          <w:pPr>
            <w:pStyle w:val="10"/>
            <w:tabs>
              <w:tab w:val="right" w:leader="dot" w:pos="8306"/>
            </w:tabs>
          </w:pPr>
          <w:r>
            <w:fldChar w:fldCharType="begin"/>
          </w:r>
          <w:r>
            <w:instrText xml:space="preserve"> HYPERLINK \l _Toc16930 </w:instrText>
          </w:r>
          <w:r>
            <w:fldChar w:fldCharType="separate"/>
          </w:r>
          <w:r>
            <w:rPr>
              <w:rFonts w:hint="eastAsia"/>
            </w:rPr>
            <w:t xml:space="preserve">8.11 </w:t>
          </w:r>
          <w:r>
            <w:t>报告期末本基金投资的国债期货交易情况说明</w:t>
          </w:r>
          <w:r>
            <w:tab/>
          </w:r>
          <w:r>
            <w:fldChar w:fldCharType="begin"/>
          </w:r>
          <w:r>
            <w:instrText xml:space="preserve"> PAGEREF _Toc16930 \h </w:instrText>
          </w:r>
          <w:r>
            <w:fldChar w:fldCharType="separate"/>
          </w:r>
          <w:r>
            <w:t>56</w:t>
          </w:r>
          <w:r>
            <w:fldChar w:fldCharType="end"/>
          </w:r>
          <w:r>
            <w:fldChar w:fldCharType="end"/>
          </w:r>
        </w:p>
        <w:p w14:paraId="0199855D">
          <w:pPr>
            <w:pStyle w:val="10"/>
            <w:tabs>
              <w:tab w:val="right" w:leader="dot" w:pos="8306"/>
            </w:tabs>
          </w:pPr>
          <w:r>
            <w:fldChar w:fldCharType="begin"/>
          </w:r>
          <w:r>
            <w:instrText xml:space="preserve"> HYPERLINK \l _Toc12252 </w:instrText>
          </w:r>
          <w:r>
            <w:fldChar w:fldCharType="separate"/>
          </w:r>
          <w:r>
            <w:rPr>
              <w:rFonts w:hint="eastAsia"/>
            </w:rPr>
            <w:t xml:space="preserve">8.12 </w:t>
          </w:r>
          <w:r>
            <w:t>本报告期投资基金情况</w:t>
          </w:r>
          <w:r>
            <w:tab/>
          </w:r>
          <w:r>
            <w:fldChar w:fldCharType="begin"/>
          </w:r>
          <w:r>
            <w:instrText xml:space="preserve"> PAGEREF _Toc12252 \h </w:instrText>
          </w:r>
          <w:r>
            <w:fldChar w:fldCharType="separate"/>
          </w:r>
          <w:r>
            <w:t>56</w:t>
          </w:r>
          <w:r>
            <w:fldChar w:fldCharType="end"/>
          </w:r>
          <w:r>
            <w:fldChar w:fldCharType="end"/>
          </w:r>
        </w:p>
        <w:p w14:paraId="77760A79">
          <w:pPr>
            <w:pStyle w:val="10"/>
            <w:tabs>
              <w:tab w:val="right" w:leader="dot" w:pos="8306"/>
            </w:tabs>
          </w:pPr>
          <w:r>
            <w:fldChar w:fldCharType="begin"/>
          </w:r>
          <w:r>
            <w:instrText xml:space="preserve"> HYPERLINK \l _Toc6042 </w:instrText>
          </w:r>
          <w:r>
            <w:fldChar w:fldCharType="separate"/>
          </w:r>
          <w:r>
            <w:rPr>
              <w:rFonts w:hint="eastAsia"/>
            </w:rPr>
            <w:t xml:space="preserve">8.13 </w:t>
          </w:r>
          <w:r>
            <w:t>投资组合报告附注</w:t>
          </w:r>
          <w:r>
            <w:tab/>
          </w:r>
          <w:r>
            <w:fldChar w:fldCharType="begin"/>
          </w:r>
          <w:r>
            <w:instrText xml:space="preserve"> PAGEREF _Toc6042 \h </w:instrText>
          </w:r>
          <w:r>
            <w:fldChar w:fldCharType="separate"/>
          </w:r>
          <w:r>
            <w:t>57</w:t>
          </w:r>
          <w:r>
            <w:fldChar w:fldCharType="end"/>
          </w:r>
          <w:r>
            <w:fldChar w:fldCharType="end"/>
          </w:r>
        </w:p>
        <w:p w14:paraId="514DA922">
          <w:pPr>
            <w:pStyle w:val="8"/>
            <w:tabs>
              <w:tab w:val="right" w:leader="dot" w:pos="8306"/>
            </w:tabs>
          </w:pPr>
          <w:r>
            <w:fldChar w:fldCharType="begin"/>
          </w:r>
          <w:r>
            <w:instrText xml:space="preserve"> HYPERLINK \l _Toc19465 </w:instrText>
          </w:r>
          <w:r>
            <w:fldChar w:fldCharType="separate"/>
          </w:r>
          <w:r>
            <w:rPr>
              <w:rFonts w:hint="eastAsia"/>
            </w:rPr>
            <w:t xml:space="preserve">§9 </w:t>
          </w:r>
          <w:r>
            <w:t>基金份额持有人信息</w:t>
          </w:r>
          <w:r>
            <w:tab/>
          </w:r>
          <w:r>
            <w:fldChar w:fldCharType="begin"/>
          </w:r>
          <w:r>
            <w:instrText xml:space="preserve"> PAGEREF _Toc19465 \h </w:instrText>
          </w:r>
          <w:r>
            <w:fldChar w:fldCharType="separate"/>
          </w:r>
          <w:r>
            <w:t>58</w:t>
          </w:r>
          <w:r>
            <w:fldChar w:fldCharType="end"/>
          </w:r>
          <w:r>
            <w:fldChar w:fldCharType="end"/>
          </w:r>
        </w:p>
        <w:p w14:paraId="381EE021">
          <w:pPr>
            <w:pStyle w:val="10"/>
            <w:tabs>
              <w:tab w:val="right" w:leader="dot" w:pos="8306"/>
            </w:tabs>
          </w:pPr>
          <w:r>
            <w:fldChar w:fldCharType="begin"/>
          </w:r>
          <w:r>
            <w:instrText xml:space="preserve"> HYPERLINK \l _Toc12400 </w:instrText>
          </w:r>
          <w:r>
            <w:fldChar w:fldCharType="separate"/>
          </w:r>
          <w:r>
            <w:rPr>
              <w:rFonts w:hint="eastAsia"/>
            </w:rPr>
            <w:t xml:space="preserve">9.1 </w:t>
          </w:r>
          <w:r>
            <w:t>期末基金份额持有人户数及持有人结构</w:t>
          </w:r>
          <w:r>
            <w:tab/>
          </w:r>
          <w:r>
            <w:fldChar w:fldCharType="begin"/>
          </w:r>
          <w:r>
            <w:instrText xml:space="preserve"> PAGEREF _Toc12400 \h </w:instrText>
          </w:r>
          <w:r>
            <w:fldChar w:fldCharType="separate"/>
          </w:r>
          <w:r>
            <w:t>58</w:t>
          </w:r>
          <w:r>
            <w:fldChar w:fldCharType="end"/>
          </w:r>
          <w:r>
            <w:fldChar w:fldCharType="end"/>
          </w:r>
        </w:p>
        <w:p w14:paraId="6A7262CF">
          <w:pPr>
            <w:pStyle w:val="10"/>
            <w:tabs>
              <w:tab w:val="right" w:leader="dot" w:pos="8306"/>
            </w:tabs>
          </w:pPr>
          <w:r>
            <w:fldChar w:fldCharType="begin"/>
          </w:r>
          <w:r>
            <w:instrText xml:space="preserve"> HYPERLINK \l _Toc28689 </w:instrText>
          </w:r>
          <w:r>
            <w:fldChar w:fldCharType="separate"/>
          </w:r>
          <w:r>
            <w:rPr>
              <w:rFonts w:hint="eastAsia"/>
            </w:rPr>
            <w:t xml:space="preserve">9.2 </w:t>
          </w:r>
          <w:r>
            <w:t>期末基金管理人的从业人员持有本基金的情况</w:t>
          </w:r>
          <w:r>
            <w:tab/>
          </w:r>
          <w:r>
            <w:fldChar w:fldCharType="begin"/>
          </w:r>
          <w:r>
            <w:instrText xml:space="preserve"> PAGEREF _Toc28689 \h </w:instrText>
          </w:r>
          <w:r>
            <w:fldChar w:fldCharType="separate"/>
          </w:r>
          <w:r>
            <w:t>58</w:t>
          </w:r>
          <w:r>
            <w:fldChar w:fldCharType="end"/>
          </w:r>
          <w:r>
            <w:fldChar w:fldCharType="end"/>
          </w:r>
        </w:p>
        <w:p w14:paraId="22073AAF">
          <w:pPr>
            <w:pStyle w:val="10"/>
            <w:tabs>
              <w:tab w:val="right" w:leader="dot" w:pos="8306"/>
            </w:tabs>
          </w:pPr>
          <w:r>
            <w:fldChar w:fldCharType="begin"/>
          </w:r>
          <w:r>
            <w:instrText xml:space="preserve"> HYPERLINK \l _Toc21728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_Toc21728 \h </w:instrText>
          </w:r>
          <w:r>
            <w:fldChar w:fldCharType="separate"/>
          </w:r>
          <w:r>
            <w:t>58</w:t>
          </w:r>
          <w:r>
            <w:fldChar w:fldCharType="end"/>
          </w:r>
          <w:r>
            <w:fldChar w:fldCharType="end"/>
          </w:r>
        </w:p>
        <w:p w14:paraId="7E22DC41">
          <w:pPr>
            <w:pStyle w:val="10"/>
            <w:tabs>
              <w:tab w:val="right" w:leader="dot" w:pos="8306"/>
            </w:tabs>
          </w:pPr>
          <w:r>
            <w:fldChar w:fldCharType="begin"/>
          </w:r>
          <w:r>
            <w:instrText xml:space="preserve"> HYPERLINK \l _Toc15565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_Toc15565 \h </w:instrText>
          </w:r>
          <w:r>
            <w:fldChar w:fldCharType="separate"/>
          </w:r>
          <w:r>
            <w:t>59</w:t>
          </w:r>
          <w:r>
            <w:fldChar w:fldCharType="end"/>
          </w:r>
          <w:r>
            <w:fldChar w:fldCharType="end"/>
          </w:r>
        </w:p>
        <w:p w14:paraId="15D19B46">
          <w:pPr>
            <w:pStyle w:val="8"/>
            <w:tabs>
              <w:tab w:val="right" w:leader="dot" w:pos="8306"/>
            </w:tabs>
          </w:pPr>
          <w:r>
            <w:fldChar w:fldCharType="begin"/>
          </w:r>
          <w:r>
            <w:instrText xml:space="preserve"> HYPERLINK \l _Toc32166 </w:instrText>
          </w:r>
          <w:r>
            <w:fldChar w:fldCharType="separate"/>
          </w:r>
          <w:r>
            <w:rPr>
              <w:rFonts w:hint="eastAsia"/>
            </w:rPr>
            <w:t xml:space="preserve">§10 </w:t>
          </w:r>
          <w:r>
            <w:t>开放式基金份额变动</w:t>
          </w:r>
          <w:r>
            <w:tab/>
          </w:r>
          <w:r>
            <w:fldChar w:fldCharType="begin"/>
          </w:r>
          <w:r>
            <w:instrText xml:space="preserve"> PAGEREF _Toc32166 \h </w:instrText>
          </w:r>
          <w:r>
            <w:fldChar w:fldCharType="separate"/>
          </w:r>
          <w:r>
            <w:t>59</w:t>
          </w:r>
          <w:r>
            <w:fldChar w:fldCharType="end"/>
          </w:r>
          <w:r>
            <w:fldChar w:fldCharType="end"/>
          </w:r>
        </w:p>
        <w:p w14:paraId="2F8DD646">
          <w:pPr>
            <w:pStyle w:val="8"/>
            <w:tabs>
              <w:tab w:val="right" w:leader="dot" w:pos="8306"/>
            </w:tabs>
          </w:pPr>
          <w:r>
            <w:fldChar w:fldCharType="begin"/>
          </w:r>
          <w:r>
            <w:instrText xml:space="preserve"> HYPERLINK \l _Toc24110 </w:instrText>
          </w:r>
          <w:r>
            <w:fldChar w:fldCharType="separate"/>
          </w:r>
          <w:r>
            <w:rPr>
              <w:rFonts w:hint="eastAsia"/>
            </w:rPr>
            <w:t xml:space="preserve">§11 </w:t>
          </w:r>
          <w:r>
            <w:t>重大事件揭示</w:t>
          </w:r>
          <w:r>
            <w:tab/>
          </w:r>
          <w:r>
            <w:fldChar w:fldCharType="begin"/>
          </w:r>
          <w:r>
            <w:instrText xml:space="preserve"> PAGEREF _Toc24110 \h </w:instrText>
          </w:r>
          <w:r>
            <w:fldChar w:fldCharType="separate"/>
          </w:r>
          <w:r>
            <w:t>59</w:t>
          </w:r>
          <w:r>
            <w:fldChar w:fldCharType="end"/>
          </w:r>
          <w:r>
            <w:fldChar w:fldCharType="end"/>
          </w:r>
        </w:p>
        <w:p w14:paraId="4DFDC7BD">
          <w:pPr>
            <w:pStyle w:val="10"/>
            <w:tabs>
              <w:tab w:val="right" w:leader="dot" w:pos="8306"/>
            </w:tabs>
          </w:pPr>
          <w:r>
            <w:fldChar w:fldCharType="begin"/>
          </w:r>
          <w:r>
            <w:instrText xml:space="preserve"> HYPERLINK \l _Toc27786 </w:instrText>
          </w:r>
          <w:r>
            <w:fldChar w:fldCharType="separate"/>
          </w:r>
          <w:r>
            <w:rPr>
              <w:rFonts w:hint="eastAsia"/>
            </w:rPr>
            <w:t xml:space="preserve">11.1 </w:t>
          </w:r>
          <w:r>
            <w:t>基金份额持有人大会决议</w:t>
          </w:r>
          <w:r>
            <w:tab/>
          </w:r>
          <w:r>
            <w:fldChar w:fldCharType="begin"/>
          </w:r>
          <w:r>
            <w:instrText xml:space="preserve"> PAGEREF _Toc27786 \h </w:instrText>
          </w:r>
          <w:r>
            <w:fldChar w:fldCharType="separate"/>
          </w:r>
          <w:r>
            <w:t>59</w:t>
          </w:r>
          <w:r>
            <w:fldChar w:fldCharType="end"/>
          </w:r>
          <w:r>
            <w:fldChar w:fldCharType="end"/>
          </w:r>
        </w:p>
        <w:p w14:paraId="6CDA4B1A">
          <w:pPr>
            <w:pStyle w:val="10"/>
            <w:tabs>
              <w:tab w:val="right" w:leader="dot" w:pos="8306"/>
            </w:tabs>
          </w:pPr>
          <w:r>
            <w:fldChar w:fldCharType="begin"/>
          </w:r>
          <w:r>
            <w:instrText xml:space="preserve"> HYPERLINK \l _Toc9741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_Toc9741 \h </w:instrText>
          </w:r>
          <w:r>
            <w:fldChar w:fldCharType="separate"/>
          </w:r>
          <w:r>
            <w:t>59</w:t>
          </w:r>
          <w:r>
            <w:fldChar w:fldCharType="end"/>
          </w:r>
          <w:r>
            <w:fldChar w:fldCharType="end"/>
          </w:r>
        </w:p>
        <w:p w14:paraId="65775239">
          <w:pPr>
            <w:pStyle w:val="10"/>
            <w:tabs>
              <w:tab w:val="right" w:leader="dot" w:pos="8306"/>
            </w:tabs>
          </w:pPr>
          <w:r>
            <w:fldChar w:fldCharType="begin"/>
          </w:r>
          <w:r>
            <w:instrText xml:space="preserve"> HYPERLINK \l _Toc11881 </w:instrText>
          </w:r>
          <w:r>
            <w:fldChar w:fldCharType="separate"/>
          </w:r>
          <w:r>
            <w:rPr>
              <w:rFonts w:hint="eastAsia"/>
            </w:rPr>
            <w:t xml:space="preserve">11.3 </w:t>
          </w:r>
          <w:r>
            <w:t>涉及基金管理人、基金财产、基金托管业务的诉讼</w:t>
          </w:r>
          <w:r>
            <w:tab/>
          </w:r>
          <w:r>
            <w:fldChar w:fldCharType="begin"/>
          </w:r>
          <w:r>
            <w:instrText xml:space="preserve"> PAGEREF _Toc11881 \h </w:instrText>
          </w:r>
          <w:r>
            <w:fldChar w:fldCharType="separate"/>
          </w:r>
          <w:r>
            <w:t>59</w:t>
          </w:r>
          <w:r>
            <w:fldChar w:fldCharType="end"/>
          </w:r>
          <w:r>
            <w:fldChar w:fldCharType="end"/>
          </w:r>
        </w:p>
        <w:p w14:paraId="28EFD5CA">
          <w:pPr>
            <w:pStyle w:val="10"/>
            <w:tabs>
              <w:tab w:val="right" w:leader="dot" w:pos="8306"/>
            </w:tabs>
          </w:pPr>
          <w:r>
            <w:fldChar w:fldCharType="begin"/>
          </w:r>
          <w:r>
            <w:instrText xml:space="preserve"> HYPERLINK \l _Toc3734 </w:instrText>
          </w:r>
          <w:r>
            <w:fldChar w:fldCharType="separate"/>
          </w:r>
          <w:r>
            <w:rPr>
              <w:rFonts w:hint="eastAsia"/>
            </w:rPr>
            <w:t xml:space="preserve">11.4 </w:t>
          </w:r>
          <w:r>
            <w:t>基金投资策略的改变</w:t>
          </w:r>
          <w:r>
            <w:tab/>
          </w:r>
          <w:r>
            <w:fldChar w:fldCharType="begin"/>
          </w:r>
          <w:r>
            <w:instrText xml:space="preserve"> PAGEREF _Toc3734 \h </w:instrText>
          </w:r>
          <w:r>
            <w:fldChar w:fldCharType="separate"/>
          </w:r>
          <w:r>
            <w:t>60</w:t>
          </w:r>
          <w:r>
            <w:fldChar w:fldCharType="end"/>
          </w:r>
          <w:r>
            <w:fldChar w:fldCharType="end"/>
          </w:r>
        </w:p>
        <w:p w14:paraId="71803E0F">
          <w:pPr>
            <w:pStyle w:val="10"/>
            <w:tabs>
              <w:tab w:val="right" w:leader="dot" w:pos="8306"/>
            </w:tabs>
          </w:pPr>
          <w:r>
            <w:fldChar w:fldCharType="begin"/>
          </w:r>
          <w:r>
            <w:instrText xml:space="preserve"> HYPERLINK \l _Toc31359 </w:instrText>
          </w:r>
          <w:r>
            <w:fldChar w:fldCharType="separate"/>
          </w:r>
          <w:r>
            <w:rPr>
              <w:rFonts w:hint="eastAsia"/>
            </w:rPr>
            <w:t xml:space="preserve">11.5 </w:t>
          </w:r>
          <w:r>
            <w:t>本报告期持有的基金发生的重大影响事件</w:t>
          </w:r>
          <w:r>
            <w:tab/>
          </w:r>
          <w:r>
            <w:fldChar w:fldCharType="begin"/>
          </w:r>
          <w:r>
            <w:instrText xml:space="preserve"> PAGEREF _Toc31359 \h </w:instrText>
          </w:r>
          <w:r>
            <w:fldChar w:fldCharType="separate"/>
          </w:r>
          <w:r>
            <w:t>60</w:t>
          </w:r>
          <w:r>
            <w:fldChar w:fldCharType="end"/>
          </w:r>
          <w:r>
            <w:fldChar w:fldCharType="end"/>
          </w:r>
        </w:p>
        <w:p w14:paraId="3E2E1F76">
          <w:pPr>
            <w:pStyle w:val="10"/>
            <w:tabs>
              <w:tab w:val="right" w:leader="dot" w:pos="8306"/>
            </w:tabs>
          </w:pPr>
          <w:r>
            <w:fldChar w:fldCharType="begin"/>
          </w:r>
          <w:r>
            <w:instrText xml:space="preserve"> HYPERLINK \l _Toc26855 </w:instrText>
          </w:r>
          <w:r>
            <w:fldChar w:fldCharType="separate"/>
          </w:r>
          <w:r>
            <w:rPr>
              <w:rFonts w:hint="eastAsia"/>
            </w:rPr>
            <w:t xml:space="preserve">11.6 </w:t>
          </w:r>
          <w:r>
            <w:t>为基金进行审计的会计师事务所情况</w:t>
          </w:r>
          <w:r>
            <w:tab/>
          </w:r>
          <w:r>
            <w:fldChar w:fldCharType="begin"/>
          </w:r>
          <w:r>
            <w:instrText xml:space="preserve"> PAGEREF _Toc26855 \h </w:instrText>
          </w:r>
          <w:r>
            <w:fldChar w:fldCharType="separate"/>
          </w:r>
          <w:r>
            <w:t>60</w:t>
          </w:r>
          <w:r>
            <w:fldChar w:fldCharType="end"/>
          </w:r>
          <w:r>
            <w:fldChar w:fldCharType="end"/>
          </w:r>
        </w:p>
        <w:p w14:paraId="26AA79C2">
          <w:pPr>
            <w:pStyle w:val="10"/>
            <w:tabs>
              <w:tab w:val="right" w:leader="dot" w:pos="8306"/>
            </w:tabs>
          </w:pPr>
          <w:r>
            <w:fldChar w:fldCharType="begin"/>
          </w:r>
          <w:r>
            <w:instrText xml:space="preserve"> HYPERLINK \l _Toc16631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_Toc16631 \h </w:instrText>
          </w:r>
          <w:r>
            <w:fldChar w:fldCharType="separate"/>
          </w:r>
          <w:r>
            <w:t>60</w:t>
          </w:r>
          <w:r>
            <w:fldChar w:fldCharType="end"/>
          </w:r>
          <w:r>
            <w:fldChar w:fldCharType="end"/>
          </w:r>
        </w:p>
        <w:p w14:paraId="47552325">
          <w:pPr>
            <w:pStyle w:val="10"/>
            <w:tabs>
              <w:tab w:val="right" w:leader="dot" w:pos="8306"/>
            </w:tabs>
          </w:pPr>
          <w:r>
            <w:fldChar w:fldCharType="begin"/>
          </w:r>
          <w:r>
            <w:instrText xml:space="preserve"> HYPERLINK \l _Toc25054 </w:instrText>
          </w:r>
          <w:r>
            <w:fldChar w:fldCharType="separate"/>
          </w:r>
          <w:r>
            <w:rPr>
              <w:rFonts w:hint="eastAsia"/>
            </w:rPr>
            <w:t xml:space="preserve">11.8 </w:t>
          </w:r>
          <w:r>
            <w:t>基金租用证券公司交易单元的有关情况</w:t>
          </w:r>
          <w:r>
            <w:tab/>
          </w:r>
          <w:r>
            <w:fldChar w:fldCharType="begin"/>
          </w:r>
          <w:r>
            <w:instrText xml:space="preserve"> PAGEREF _Toc25054 \h </w:instrText>
          </w:r>
          <w:r>
            <w:fldChar w:fldCharType="separate"/>
          </w:r>
          <w:r>
            <w:t>61</w:t>
          </w:r>
          <w:r>
            <w:fldChar w:fldCharType="end"/>
          </w:r>
          <w:r>
            <w:fldChar w:fldCharType="end"/>
          </w:r>
        </w:p>
        <w:p w14:paraId="32F5CA1E">
          <w:pPr>
            <w:pStyle w:val="10"/>
            <w:tabs>
              <w:tab w:val="right" w:leader="dot" w:pos="8306"/>
            </w:tabs>
          </w:pPr>
          <w:r>
            <w:fldChar w:fldCharType="begin"/>
          </w:r>
          <w:r>
            <w:instrText xml:space="preserve"> HYPERLINK \l _Toc2834 </w:instrText>
          </w:r>
          <w:r>
            <w:fldChar w:fldCharType="separate"/>
          </w:r>
          <w:r>
            <w:rPr>
              <w:rFonts w:hint="eastAsia"/>
            </w:rPr>
            <w:t xml:space="preserve">11.9 </w:t>
          </w:r>
          <w:r>
            <w:t>其他重大事件</w:t>
          </w:r>
          <w:r>
            <w:tab/>
          </w:r>
          <w:r>
            <w:fldChar w:fldCharType="begin"/>
          </w:r>
          <w:r>
            <w:instrText xml:space="preserve"> PAGEREF _Toc2834 \h </w:instrText>
          </w:r>
          <w:r>
            <w:fldChar w:fldCharType="separate"/>
          </w:r>
          <w:r>
            <w:t>62</w:t>
          </w:r>
          <w:r>
            <w:fldChar w:fldCharType="end"/>
          </w:r>
          <w:r>
            <w:fldChar w:fldCharType="end"/>
          </w:r>
        </w:p>
        <w:p w14:paraId="6CF7E73B">
          <w:pPr>
            <w:pStyle w:val="8"/>
            <w:tabs>
              <w:tab w:val="right" w:leader="dot" w:pos="8306"/>
            </w:tabs>
          </w:pPr>
          <w:r>
            <w:fldChar w:fldCharType="begin"/>
          </w:r>
          <w:r>
            <w:instrText xml:space="preserve"> HYPERLINK \l _Toc5679 </w:instrText>
          </w:r>
          <w:r>
            <w:fldChar w:fldCharType="separate"/>
          </w:r>
          <w:r>
            <w:rPr>
              <w:rFonts w:hint="eastAsia"/>
            </w:rPr>
            <w:t xml:space="preserve">§12 </w:t>
          </w:r>
          <w:r>
            <w:t>影响投资者决策的其他重要信息</w:t>
          </w:r>
          <w:r>
            <w:tab/>
          </w:r>
          <w:r>
            <w:fldChar w:fldCharType="begin"/>
          </w:r>
          <w:r>
            <w:instrText xml:space="preserve"> PAGEREF _Toc5679 \h </w:instrText>
          </w:r>
          <w:r>
            <w:fldChar w:fldCharType="separate"/>
          </w:r>
          <w:r>
            <w:t>63</w:t>
          </w:r>
          <w:r>
            <w:fldChar w:fldCharType="end"/>
          </w:r>
          <w:r>
            <w:fldChar w:fldCharType="end"/>
          </w:r>
        </w:p>
        <w:p w14:paraId="4B3DF664">
          <w:pPr>
            <w:pStyle w:val="10"/>
            <w:tabs>
              <w:tab w:val="right" w:leader="dot" w:pos="8306"/>
            </w:tabs>
          </w:pPr>
          <w:r>
            <w:fldChar w:fldCharType="begin"/>
          </w:r>
          <w:r>
            <w:instrText xml:space="preserve"> HYPERLINK \l _Toc8541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_Toc8541 \h </w:instrText>
          </w:r>
          <w:r>
            <w:fldChar w:fldCharType="separate"/>
          </w:r>
          <w:r>
            <w:t>63</w:t>
          </w:r>
          <w:r>
            <w:fldChar w:fldCharType="end"/>
          </w:r>
          <w:r>
            <w:fldChar w:fldCharType="end"/>
          </w:r>
        </w:p>
        <w:p w14:paraId="049CA76D">
          <w:pPr>
            <w:pStyle w:val="10"/>
            <w:tabs>
              <w:tab w:val="right" w:leader="dot" w:pos="8306"/>
            </w:tabs>
          </w:pPr>
          <w:r>
            <w:fldChar w:fldCharType="begin"/>
          </w:r>
          <w:r>
            <w:instrText xml:space="preserve"> HYPERLINK \l _Toc30767 </w:instrText>
          </w:r>
          <w:r>
            <w:fldChar w:fldCharType="separate"/>
          </w:r>
          <w:r>
            <w:rPr>
              <w:rFonts w:hint="eastAsia"/>
            </w:rPr>
            <w:t xml:space="preserve">12.2 </w:t>
          </w:r>
          <w:r>
            <w:t>影响投资者决策的其他重要信息</w:t>
          </w:r>
          <w:r>
            <w:tab/>
          </w:r>
          <w:r>
            <w:fldChar w:fldCharType="begin"/>
          </w:r>
          <w:r>
            <w:instrText xml:space="preserve"> PAGEREF _Toc30767 \h </w:instrText>
          </w:r>
          <w:r>
            <w:fldChar w:fldCharType="separate"/>
          </w:r>
          <w:r>
            <w:t>63</w:t>
          </w:r>
          <w:r>
            <w:fldChar w:fldCharType="end"/>
          </w:r>
          <w:r>
            <w:fldChar w:fldCharType="end"/>
          </w:r>
        </w:p>
        <w:p w14:paraId="40382D9B">
          <w:pPr>
            <w:pStyle w:val="8"/>
            <w:tabs>
              <w:tab w:val="right" w:leader="dot" w:pos="8306"/>
            </w:tabs>
          </w:pPr>
          <w:r>
            <w:fldChar w:fldCharType="begin"/>
          </w:r>
          <w:r>
            <w:instrText xml:space="preserve"> HYPERLINK \l _Toc20694 </w:instrText>
          </w:r>
          <w:r>
            <w:fldChar w:fldCharType="separate"/>
          </w:r>
          <w:r>
            <w:rPr>
              <w:rFonts w:hint="eastAsia"/>
            </w:rPr>
            <w:t xml:space="preserve">§13 </w:t>
          </w:r>
          <w:r>
            <w:t>备查文件目录</w:t>
          </w:r>
          <w:r>
            <w:tab/>
          </w:r>
          <w:r>
            <w:fldChar w:fldCharType="begin"/>
          </w:r>
          <w:r>
            <w:instrText xml:space="preserve"> PAGEREF _Toc20694 \h </w:instrText>
          </w:r>
          <w:r>
            <w:fldChar w:fldCharType="separate"/>
          </w:r>
          <w:r>
            <w:t>63</w:t>
          </w:r>
          <w:r>
            <w:fldChar w:fldCharType="end"/>
          </w:r>
          <w:r>
            <w:fldChar w:fldCharType="end"/>
          </w:r>
        </w:p>
        <w:p w14:paraId="3CC705CC">
          <w:pPr>
            <w:pStyle w:val="10"/>
            <w:tabs>
              <w:tab w:val="right" w:leader="dot" w:pos="8306"/>
            </w:tabs>
          </w:pPr>
          <w:r>
            <w:fldChar w:fldCharType="begin"/>
          </w:r>
          <w:r>
            <w:instrText xml:space="preserve"> HYPERLINK \l _Toc7420 </w:instrText>
          </w:r>
          <w:r>
            <w:fldChar w:fldCharType="separate"/>
          </w:r>
          <w:r>
            <w:rPr>
              <w:rFonts w:hint="eastAsia"/>
            </w:rPr>
            <w:t xml:space="preserve">13.1 </w:t>
          </w:r>
          <w:r>
            <w:t>备查文件目录</w:t>
          </w:r>
          <w:r>
            <w:tab/>
          </w:r>
          <w:r>
            <w:fldChar w:fldCharType="begin"/>
          </w:r>
          <w:r>
            <w:instrText xml:space="preserve"> PAGEREF _Toc7420 \h </w:instrText>
          </w:r>
          <w:r>
            <w:fldChar w:fldCharType="separate"/>
          </w:r>
          <w:r>
            <w:t>63</w:t>
          </w:r>
          <w:r>
            <w:fldChar w:fldCharType="end"/>
          </w:r>
          <w:r>
            <w:fldChar w:fldCharType="end"/>
          </w:r>
        </w:p>
        <w:p w14:paraId="5017BF3D">
          <w:pPr>
            <w:pStyle w:val="10"/>
            <w:tabs>
              <w:tab w:val="right" w:leader="dot" w:pos="8306"/>
            </w:tabs>
          </w:pPr>
          <w:r>
            <w:fldChar w:fldCharType="begin"/>
          </w:r>
          <w:r>
            <w:instrText xml:space="preserve"> HYPERLINK \l _Toc11754 </w:instrText>
          </w:r>
          <w:r>
            <w:fldChar w:fldCharType="separate"/>
          </w:r>
          <w:r>
            <w:rPr>
              <w:rFonts w:hint="eastAsia"/>
            </w:rPr>
            <w:t xml:space="preserve">13.2 </w:t>
          </w:r>
          <w:r>
            <w:t>存放地点</w:t>
          </w:r>
          <w:r>
            <w:tab/>
          </w:r>
          <w:r>
            <w:fldChar w:fldCharType="begin"/>
          </w:r>
          <w:r>
            <w:instrText xml:space="preserve"> PAGEREF _Toc11754 \h </w:instrText>
          </w:r>
          <w:r>
            <w:fldChar w:fldCharType="separate"/>
          </w:r>
          <w:r>
            <w:t>63</w:t>
          </w:r>
          <w:r>
            <w:fldChar w:fldCharType="end"/>
          </w:r>
          <w:r>
            <w:fldChar w:fldCharType="end"/>
          </w:r>
        </w:p>
        <w:p w14:paraId="4CF392CD">
          <w:pPr>
            <w:pStyle w:val="10"/>
            <w:tabs>
              <w:tab w:val="right" w:leader="dot" w:pos="8306"/>
            </w:tabs>
          </w:pPr>
          <w:r>
            <w:fldChar w:fldCharType="begin"/>
          </w:r>
          <w:r>
            <w:instrText xml:space="preserve"> HYPERLINK \l _Toc29676 </w:instrText>
          </w:r>
          <w:r>
            <w:fldChar w:fldCharType="separate"/>
          </w:r>
          <w:r>
            <w:rPr>
              <w:rFonts w:hint="eastAsia"/>
            </w:rPr>
            <w:t xml:space="preserve">13.3 </w:t>
          </w:r>
          <w:r>
            <w:t>查阅方式</w:t>
          </w:r>
          <w:r>
            <w:tab/>
          </w:r>
          <w:r>
            <w:fldChar w:fldCharType="begin"/>
          </w:r>
          <w:r>
            <w:instrText xml:space="preserve"> PAGEREF _Toc29676 \h </w:instrText>
          </w:r>
          <w:r>
            <w:fldChar w:fldCharType="separate"/>
          </w:r>
          <w:r>
            <w:t>63</w:t>
          </w:r>
          <w:r>
            <w:fldChar w:fldCharType="end"/>
          </w:r>
          <w:r>
            <w:fldChar w:fldCharType="end"/>
          </w:r>
        </w:p>
        <w:p w14:paraId="7ECCE162">
          <w:r>
            <w:fldChar w:fldCharType="end"/>
          </w:r>
        </w:p>
      </w:sdtContent>
    </w:sdt>
    <w:p w14:paraId="0CC4D994">
      <w:pPr>
        <w:pStyle w:val="26"/>
        <w:pageBreakBefore/>
      </w:pPr>
      <w:r>
        <w:t xml:space="preserve">  </w:t>
      </w:r>
      <w:bookmarkStart w:id="5" w:name="_Toc7479"/>
      <w:r>
        <w:t>基金简介</w:t>
      </w:r>
      <w:bookmarkEnd w:id="5"/>
      <w:r>
        <w:t xml:space="preserve"> </w:t>
      </w:r>
    </w:p>
    <w:p w14:paraId="05F25579">
      <w:pPr>
        <w:pStyle w:val="23"/>
      </w:pPr>
      <w:bookmarkStart w:id="6" w:name="_Toc3210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0F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2FE4B">
            <w:r>
              <w:rPr>
                <w:rFonts w:hint="eastAsia"/>
              </w:rPr>
              <w:t>基金名称</w:t>
            </w:r>
          </w:p>
        </w:tc>
        <w:tc>
          <w:tcPr>
            <w:tcW w:w="2768" w:type="dxa"/>
            <w:gridSpan w:val="2"/>
            <w:vAlign w:val="center"/>
          </w:tcPr>
          <w:p w14:paraId="7D2671ED">
            <w:r>
              <w:rPr>
                <w:rFonts w:hint="eastAsia"/>
              </w:rPr>
              <w:t>南方益稳稳健增利债券型证券投资基金</w:t>
            </w:r>
          </w:p>
        </w:tc>
      </w:tr>
      <w:tr w14:paraId="3AB0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9C53E">
            <w:r>
              <w:rPr>
                <w:rFonts w:hint="eastAsia"/>
              </w:rPr>
              <w:t>基金简称</w:t>
            </w:r>
          </w:p>
        </w:tc>
        <w:tc>
          <w:tcPr>
            <w:tcW w:w="2768" w:type="dxa"/>
            <w:gridSpan w:val="2"/>
            <w:vAlign w:val="center"/>
          </w:tcPr>
          <w:p w14:paraId="31D35D06">
            <w:r>
              <w:rPr>
                <w:rFonts w:hint="eastAsia"/>
              </w:rPr>
              <w:t>南方益稳稳健增利债券</w:t>
            </w:r>
          </w:p>
        </w:tc>
      </w:tr>
      <w:tr w14:paraId="0799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5B09C">
            <w:r>
              <w:rPr>
                <w:rFonts w:hint="eastAsia"/>
              </w:rPr>
              <w:t>基金主代码</w:t>
            </w:r>
          </w:p>
        </w:tc>
        <w:tc>
          <w:tcPr>
            <w:tcW w:w="2768" w:type="dxa"/>
            <w:gridSpan w:val="2"/>
            <w:vAlign w:val="center"/>
          </w:tcPr>
          <w:p w14:paraId="502D7B36">
            <w:r>
              <w:rPr>
                <w:rFonts w:hint="eastAsia"/>
              </w:rPr>
              <w:t>024937</w:t>
            </w:r>
          </w:p>
        </w:tc>
      </w:tr>
      <w:tr w14:paraId="7FD9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9B535C">
            <w:r>
              <w:rPr>
                <w:rFonts w:hint="eastAsia"/>
              </w:rPr>
              <w:t>交易代码</w:t>
            </w:r>
          </w:p>
        </w:tc>
        <w:tc>
          <w:tcPr>
            <w:tcW w:w="2768" w:type="dxa"/>
            <w:gridSpan w:val="2"/>
            <w:vAlign w:val="center"/>
          </w:tcPr>
          <w:p w14:paraId="5923A693">
            <w:r>
              <w:rPr>
                <w:rFonts w:hint="eastAsia"/>
              </w:rPr>
              <w:t>024937</w:t>
            </w:r>
          </w:p>
        </w:tc>
      </w:tr>
      <w:tr w14:paraId="1354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D136F2">
            <w:r>
              <w:rPr>
                <w:rFonts w:hint="eastAsia"/>
              </w:rPr>
              <w:t>基金运作方式</w:t>
            </w:r>
          </w:p>
        </w:tc>
        <w:tc>
          <w:tcPr>
            <w:tcW w:w="2768" w:type="dxa"/>
            <w:gridSpan w:val="2"/>
            <w:vAlign w:val="center"/>
          </w:tcPr>
          <w:p w14:paraId="3AE856C3">
            <w:r>
              <w:rPr>
                <w:rFonts w:hint="eastAsia"/>
              </w:rPr>
              <w:t>契约型开放式</w:t>
            </w:r>
          </w:p>
        </w:tc>
      </w:tr>
      <w:tr w14:paraId="0002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B2C30">
            <w:r>
              <w:rPr>
                <w:rFonts w:hint="eastAsia"/>
              </w:rPr>
              <w:t>基金合同生效日</w:t>
            </w:r>
          </w:p>
        </w:tc>
        <w:tc>
          <w:tcPr>
            <w:tcW w:w="2768" w:type="dxa"/>
            <w:gridSpan w:val="2"/>
            <w:vAlign w:val="center"/>
          </w:tcPr>
          <w:p w14:paraId="0AA51091">
            <w:r>
              <w:rPr>
                <w:rFonts w:hint="eastAsia"/>
              </w:rPr>
              <w:t>2025年8月6日</w:t>
            </w:r>
          </w:p>
        </w:tc>
      </w:tr>
      <w:tr w14:paraId="6C23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2AA6B">
            <w:r>
              <w:rPr>
                <w:rFonts w:hint="eastAsia"/>
              </w:rPr>
              <w:t>基金管理人</w:t>
            </w:r>
          </w:p>
        </w:tc>
        <w:tc>
          <w:tcPr>
            <w:tcW w:w="2768" w:type="dxa"/>
            <w:gridSpan w:val="2"/>
            <w:vAlign w:val="center"/>
          </w:tcPr>
          <w:p w14:paraId="7087C9C5">
            <w:r>
              <w:rPr>
                <w:rFonts w:hint="eastAsia"/>
              </w:rPr>
              <w:t>南方基金管理股份有限公司</w:t>
            </w:r>
          </w:p>
        </w:tc>
      </w:tr>
      <w:tr w14:paraId="2BF8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B46B3">
            <w:r>
              <w:rPr>
                <w:rFonts w:hint="eastAsia"/>
              </w:rPr>
              <w:t>基金托管人</w:t>
            </w:r>
          </w:p>
        </w:tc>
        <w:tc>
          <w:tcPr>
            <w:tcW w:w="2768" w:type="dxa"/>
            <w:gridSpan w:val="2"/>
            <w:vAlign w:val="center"/>
          </w:tcPr>
          <w:p w14:paraId="3CCBA5C7">
            <w:r>
              <w:rPr>
                <w:rFonts w:hint="eastAsia"/>
              </w:rPr>
              <w:t>广发银行股份有限公司</w:t>
            </w:r>
          </w:p>
        </w:tc>
      </w:tr>
      <w:tr w14:paraId="1986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165FC">
            <w:r>
              <w:rPr>
                <w:rFonts w:hint="eastAsia"/>
              </w:rPr>
              <w:t>报告期末基金份额总额</w:t>
            </w:r>
          </w:p>
        </w:tc>
        <w:tc>
          <w:tcPr>
            <w:tcW w:w="2768" w:type="dxa"/>
            <w:gridSpan w:val="2"/>
            <w:vAlign w:val="center"/>
          </w:tcPr>
          <w:p w14:paraId="7E6BB88C">
            <w:r>
              <w:rPr>
                <w:rFonts w:hint="eastAsia"/>
              </w:rPr>
              <w:t>3,165,890,304.87份</w:t>
            </w:r>
          </w:p>
        </w:tc>
      </w:tr>
      <w:tr w14:paraId="1667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063E2">
            <w:r>
              <w:rPr>
                <w:rFonts w:hint="eastAsia"/>
              </w:rPr>
              <w:t>基金合同存续期</w:t>
            </w:r>
          </w:p>
        </w:tc>
        <w:tc>
          <w:tcPr>
            <w:tcW w:w="2768" w:type="dxa"/>
            <w:gridSpan w:val="2"/>
            <w:vAlign w:val="center"/>
          </w:tcPr>
          <w:p w14:paraId="45F9B374">
            <w:r>
              <w:rPr>
                <w:rFonts w:hint="eastAsia"/>
              </w:rPr>
              <w:t>不定期</w:t>
            </w:r>
          </w:p>
        </w:tc>
      </w:tr>
      <w:tr w14:paraId="133D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81390">
            <w:r>
              <w:rPr>
                <w:rFonts w:hint="eastAsia"/>
              </w:rPr>
              <w:t>下属分级基金的基金简称</w:t>
            </w:r>
          </w:p>
        </w:tc>
        <w:tc>
          <w:tcPr>
            <w:tcW w:w="2768" w:type="dxa"/>
            <w:vAlign w:val="center"/>
          </w:tcPr>
          <w:p w14:paraId="011671AF">
            <w:r>
              <w:rPr>
                <w:rFonts w:hint="eastAsia"/>
              </w:rPr>
              <w:t>南方益稳稳健增利债券A</w:t>
            </w:r>
          </w:p>
        </w:tc>
        <w:tc>
          <w:tcPr>
            <w:tcW w:w="2768" w:type="dxa"/>
            <w:vAlign w:val="center"/>
          </w:tcPr>
          <w:p w14:paraId="41844B55">
            <w:r>
              <w:rPr>
                <w:rFonts w:hint="eastAsia"/>
              </w:rPr>
              <w:t>南方益稳稳健增利债券C</w:t>
            </w:r>
          </w:p>
        </w:tc>
      </w:tr>
      <w:tr w14:paraId="36DB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5B730">
            <w:r>
              <w:rPr>
                <w:rFonts w:hint="eastAsia"/>
              </w:rPr>
              <w:t>下属分级基金的交易代码</w:t>
            </w:r>
          </w:p>
        </w:tc>
        <w:tc>
          <w:tcPr>
            <w:tcW w:w="2768" w:type="dxa"/>
            <w:vAlign w:val="center"/>
          </w:tcPr>
          <w:p w14:paraId="657BDDE6">
            <w:r>
              <w:rPr>
                <w:rFonts w:hint="eastAsia"/>
              </w:rPr>
              <w:t>024937</w:t>
            </w:r>
          </w:p>
        </w:tc>
        <w:tc>
          <w:tcPr>
            <w:tcW w:w="2768" w:type="dxa"/>
            <w:vAlign w:val="center"/>
          </w:tcPr>
          <w:p w14:paraId="7FCA5D71">
            <w:r>
              <w:rPr>
                <w:rFonts w:hint="eastAsia"/>
              </w:rPr>
              <w:t>024938</w:t>
            </w:r>
          </w:p>
        </w:tc>
      </w:tr>
      <w:tr w14:paraId="3955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878E3F">
            <w:r>
              <w:rPr>
                <w:rFonts w:hint="eastAsia"/>
              </w:rPr>
              <w:t>报告期末下属分级基金的份额总额</w:t>
            </w:r>
          </w:p>
        </w:tc>
        <w:tc>
          <w:tcPr>
            <w:tcW w:w="2768" w:type="dxa"/>
            <w:vAlign w:val="center"/>
          </w:tcPr>
          <w:p w14:paraId="365D661B">
            <w:r>
              <w:rPr>
                <w:rFonts w:hint="eastAsia"/>
              </w:rPr>
              <w:t>850,892,763.91份</w:t>
            </w:r>
          </w:p>
        </w:tc>
        <w:tc>
          <w:tcPr>
            <w:tcW w:w="2768" w:type="dxa"/>
            <w:vAlign w:val="center"/>
          </w:tcPr>
          <w:p w14:paraId="197F51F4">
            <w:r>
              <w:rPr>
                <w:rFonts w:hint="eastAsia"/>
              </w:rPr>
              <w:t>2,314,997,540.96份</w:t>
            </w:r>
          </w:p>
        </w:tc>
      </w:tr>
    </w:tbl>
    <w:p w14:paraId="7EE21CFB">
      <w:pPr>
        <w:pStyle w:val="23"/>
      </w:pPr>
      <w:bookmarkStart w:id="7" w:name="_Toc1708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4DA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6FBA07">
            <w:r>
              <w:rPr>
                <w:rFonts w:hint="eastAsia"/>
              </w:rPr>
              <w:t>投资目标</w:t>
            </w:r>
          </w:p>
        </w:tc>
        <w:tc>
          <w:tcPr>
            <w:tcW w:w="6644" w:type="dxa"/>
            <w:vAlign w:val="center"/>
          </w:tcPr>
          <w:p w14:paraId="3A7EB504">
            <w:r>
              <w:rPr>
                <w:rFonts w:hint="eastAsia"/>
              </w:rPr>
              <w:t>本基金在严格控制风险的前提下，力争获得长期稳定的投资收益。</w:t>
            </w:r>
          </w:p>
        </w:tc>
      </w:tr>
      <w:tr w14:paraId="0022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BFBA1B">
            <w:r>
              <w:rPr>
                <w:rFonts w:hint="eastAsia"/>
              </w:rPr>
              <w:t>投资策略</w:t>
            </w:r>
          </w:p>
        </w:tc>
        <w:tc>
          <w:tcPr>
            <w:tcW w:w="6644" w:type="dxa"/>
            <w:vAlign w:val="center"/>
          </w:tcPr>
          <w:p w14:paraId="5553D744">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券投资策略；2、收益率曲线策略；3、放大策略；4、可转换债券和可交换债券投资策略；5、股票投资策略；6、港股投资策略；7、存托凭证投资策略；8、国债期货投资策略；9、信用衍生品投资策略；10、基金投资策略等。</w:t>
            </w:r>
          </w:p>
        </w:tc>
      </w:tr>
      <w:tr w14:paraId="0B14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3C92CB">
            <w:r>
              <w:rPr>
                <w:rFonts w:hint="eastAsia"/>
              </w:rPr>
              <w:t>业绩比较基准</w:t>
            </w:r>
          </w:p>
        </w:tc>
        <w:tc>
          <w:tcPr>
            <w:tcW w:w="6644" w:type="dxa"/>
            <w:vAlign w:val="center"/>
          </w:tcPr>
          <w:p w14:paraId="4B187C14">
            <w:r>
              <w:rPr>
                <w:rFonts w:hint="eastAsia"/>
              </w:rPr>
              <w:t>沪深300指数收益率×10%+中证港股通综合指数（人民币）收益率×5%+中债综合指数收益率×85%</w:t>
            </w:r>
          </w:p>
        </w:tc>
      </w:tr>
      <w:tr w14:paraId="42E1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522E43">
            <w:r>
              <w:rPr>
                <w:rFonts w:hint="eastAsia"/>
              </w:rPr>
              <w:t>风险收益特征</w:t>
            </w:r>
          </w:p>
        </w:tc>
        <w:tc>
          <w:tcPr>
            <w:tcW w:w="6644" w:type="dxa"/>
            <w:vAlign w:val="center"/>
          </w:tcPr>
          <w:p w14:paraId="202A3EE6">
            <w:pPr>
              <w:jc w:val="both"/>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FB2EBF3">
      <w:pPr>
        <w:pStyle w:val="23"/>
      </w:pPr>
      <w:bookmarkStart w:id="8" w:name="_Toc3236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94E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F2C9D6">
            <w:r>
              <w:rPr>
                <w:rFonts w:hint="eastAsia"/>
              </w:rPr>
              <w:t>项目</w:t>
            </w:r>
          </w:p>
        </w:tc>
        <w:tc>
          <w:tcPr>
            <w:tcW w:w="2270" w:type="dxa"/>
            <w:vAlign w:val="center"/>
          </w:tcPr>
          <w:p w14:paraId="4BB3F037">
            <w:r>
              <w:rPr>
                <w:rFonts w:hint="eastAsia"/>
              </w:rPr>
              <w:t>基金管理人</w:t>
            </w:r>
          </w:p>
        </w:tc>
        <w:tc>
          <w:tcPr>
            <w:tcW w:w="2990" w:type="dxa"/>
            <w:vAlign w:val="center"/>
          </w:tcPr>
          <w:p w14:paraId="32BB6258">
            <w:r>
              <w:rPr>
                <w:rFonts w:hint="eastAsia"/>
              </w:rPr>
              <w:t>基金托管人</w:t>
            </w:r>
          </w:p>
        </w:tc>
      </w:tr>
      <w:tr w14:paraId="4463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F054CD">
            <w:r>
              <w:rPr>
                <w:rFonts w:hint="eastAsia"/>
              </w:rPr>
              <w:t>名称</w:t>
            </w:r>
          </w:p>
        </w:tc>
        <w:tc>
          <w:tcPr>
            <w:tcW w:w="2270" w:type="dxa"/>
            <w:vAlign w:val="center"/>
          </w:tcPr>
          <w:p w14:paraId="6BB75E7F">
            <w:r>
              <w:rPr>
                <w:rFonts w:hint="eastAsia"/>
              </w:rPr>
              <w:t>南方基金管理股份有限公司</w:t>
            </w:r>
          </w:p>
        </w:tc>
        <w:tc>
          <w:tcPr>
            <w:tcW w:w="2990" w:type="dxa"/>
            <w:vAlign w:val="center"/>
          </w:tcPr>
          <w:p w14:paraId="435BBAB6">
            <w:r>
              <w:rPr>
                <w:rFonts w:hint="eastAsia"/>
              </w:rPr>
              <w:t>广发银行股份有限公司</w:t>
            </w:r>
          </w:p>
        </w:tc>
      </w:tr>
      <w:tr w14:paraId="29B3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95E5B4D">
            <w:r>
              <w:rPr>
                <w:rFonts w:hint="eastAsia"/>
              </w:rPr>
              <w:t>信息披露负责人</w:t>
            </w:r>
          </w:p>
        </w:tc>
        <w:tc>
          <w:tcPr>
            <w:tcW w:w="1384" w:type="dxa"/>
            <w:vAlign w:val="center"/>
          </w:tcPr>
          <w:p w14:paraId="578778CC">
            <w:r>
              <w:rPr>
                <w:rFonts w:hint="eastAsia"/>
              </w:rPr>
              <w:t>姓名</w:t>
            </w:r>
          </w:p>
        </w:tc>
        <w:tc>
          <w:tcPr>
            <w:tcW w:w="2270" w:type="dxa"/>
            <w:vAlign w:val="center"/>
          </w:tcPr>
          <w:p w14:paraId="15CFB303">
            <w:r>
              <w:rPr>
                <w:rFonts w:hint="eastAsia"/>
              </w:rPr>
              <w:t>鲍文革</w:t>
            </w:r>
          </w:p>
        </w:tc>
        <w:tc>
          <w:tcPr>
            <w:tcW w:w="2990" w:type="dxa"/>
            <w:vAlign w:val="center"/>
          </w:tcPr>
          <w:p w14:paraId="727727B2">
            <w:r>
              <w:rPr>
                <w:rFonts w:hint="eastAsia"/>
              </w:rPr>
              <w:t>顾洪峰</w:t>
            </w:r>
          </w:p>
        </w:tc>
      </w:tr>
      <w:tr w14:paraId="40D2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CBD902"/>
        </w:tc>
        <w:tc>
          <w:tcPr>
            <w:tcW w:w="1384" w:type="dxa"/>
            <w:vAlign w:val="center"/>
          </w:tcPr>
          <w:p w14:paraId="482833E7">
            <w:r>
              <w:rPr>
                <w:rFonts w:hint="eastAsia"/>
              </w:rPr>
              <w:t>联系电话</w:t>
            </w:r>
          </w:p>
        </w:tc>
        <w:tc>
          <w:tcPr>
            <w:tcW w:w="2270" w:type="dxa"/>
            <w:vAlign w:val="center"/>
          </w:tcPr>
          <w:p w14:paraId="56334C43">
            <w:r>
              <w:rPr>
                <w:rFonts w:hint="eastAsia"/>
              </w:rPr>
              <w:t>0755-82763888</w:t>
            </w:r>
          </w:p>
        </w:tc>
        <w:tc>
          <w:tcPr>
            <w:tcW w:w="2990" w:type="dxa"/>
            <w:vAlign w:val="center"/>
          </w:tcPr>
          <w:p w14:paraId="284D006A">
            <w:r>
              <w:rPr>
                <w:rFonts w:hint="eastAsia"/>
              </w:rPr>
              <w:t>010-65169885</w:t>
            </w:r>
          </w:p>
        </w:tc>
      </w:tr>
      <w:tr w14:paraId="7F09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10A380"/>
        </w:tc>
        <w:tc>
          <w:tcPr>
            <w:tcW w:w="1384" w:type="dxa"/>
            <w:vAlign w:val="center"/>
          </w:tcPr>
          <w:p w14:paraId="6B793FD5">
            <w:r>
              <w:rPr>
                <w:rFonts w:hint="eastAsia"/>
              </w:rPr>
              <w:t>电子邮箱</w:t>
            </w:r>
          </w:p>
        </w:tc>
        <w:tc>
          <w:tcPr>
            <w:tcW w:w="2270" w:type="dxa"/>
            <w:vAlign w:val="center"/>
          </w:tcPr>
          <w:p w14:paraId="69AE98F3">
            <w:r>
              <w:rPr>
                <w:rFonts w:hint="eastAsia"/>
              </w:rPr>
              <w:t>manager@southernfund.com</w:t>
            </w:r>
          </w:p>
        </w:tc>
        <w:tc>
          <w:tcPr>
            <w:tcW w:w="2990" w:type="dxa"/>
            <w:vAlign w:val="center"/>
          </w:tcPr>
          <w:p w14:paraId="600F4692">
            <w:r>
              <w:rPr>
                <w:rFonts w:hint="eastAsia"/>
              </w:rPr>
              <w:t>guhongfeng@cgbchina.com.cn</w:t>
            </w:r>
          </w:p>
        </w:tc>
      </w:tr>
      <w:tr w14:paraId="2E8D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9C3DE7">
            <w:r>
              <w:rPr>
                <w:rFonts w:hint="eastAsia"/>
              </w:rPr>
              <w:t>客户服务电话</w:t>
            </w:r>
          </w:p>
        </w:tc>
        <w:tc>
          <w:tcPr>
            <w:tcW w:w="2270" w:type="dxa"/>
            <w:vAlign w:val="center"/>
          </w:tcPr>
          <w:p w14:paraId="3DB02507">
            <w:r>
              <w:rPr>
                <w:rFonts w:hint="eastAsia"/>
              </w:rPr>
              <w:t>400-889-8899</w:t>
            </w:r>
          </w:p>
        </w:tc>
        <w:tc>
          <w:tcPr>
            <w:tcW w:w="2990" w:type="dxa"/>
            <w:vAlign w:val="center"/>
          </w:tcPr>
          <w:p w14:paraId="48C1EC74">
            <w:r>
              <w:rPr>
                <w:rFonts w:hint="eastAsia"/>
              </w:rPr>
              <w:t>4008308003</w:t>
            </w:r>
          </w:p>
        </w:tc>
      </w:tr>
      <w:tr w14:paraId="66CB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65A547">
            <w:r>
              <w:rPr>
                <w:rFonts w:hint="eastAsia"/>
              </w:rPr>
              <w:t>传真</w:t>
            </w:r>
          </w:p>
        </w:tc>
        <w:tc>
          <w:tcPr>
            <w:tcW w:w="2270" w:type="dxa"/>
            <w:vAlign w:val="center"/>
          </w:tcPr>
          <w:p w14:paraId="2E95151E">
            <w:r>
              <w:rPr>
                <w:rFonts w:hint="eastAsia"/>
              </w:rPr>
              <w:t>0755-82763889</w:t>
            </w:r>
          </w:p>
        </w:tc>
        <w:tc>
          <w:tcPr>
            <w:tcW w:w="2990" w:type="dxa"/>
            <w:vAlign w:val="center"/>
          </w:tcPr>
          <w:p w14:paraId="51EC9B90">
            <w:r>
              <w:rPr>
                <w:rFonts w:hint="eastAsia"/>
              </w:rPr>
              <w:t>010-65169555</w:t>
            </w:r>
          </w:p>
        </w:tc>
      </w:tr>
      <w:tr w14:paraId="2739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589F03">
            <w:r>
              <w:rPr>
                <w:rFonts w:hint="eastAsia"/>
              </w:rPr>
              <w:t>注册地址</w:t>
            </w:r>
          </w:p>
        </w:tc>
        <w:tc>
          <w:tcPr>
            <w:tcW w:w="2270" w:type="dxa"/>
            <w:vAlign w:val="center"/>
          </w:tcPr>
          <w:p w14:paraId="2EC56464">
            <w:r>
              <w:rPr>
                <w:rFonts w:hint="eastAsia"/>
              </w:rPr>
              <w:t>深圳市福田区莲花街道益田路5999号基金大厦32-42楼</w:t>
            </w:r>
          </w:p>
        </w:tc>
        <w:tc>
          <w:tcPr>
            <w:tcW w:w="2990" w:type="dxa"/>
            <w:vAlign w:val="center"/>
          </w:tcPr>
          <w:p w14:paraId="3A8D391B">
            <w:r>
              <w:rPr>
                <w:rFonts w:hint="eastAsia"/>
              </w:rPr>
              <w:t>广东省广州市越秀区东风东路713号</w:t>
            </w:r>
          </w:p>
        </w:tc>
      </w:tr>
      <w:tr w14:paraId="3029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EADA99">
            <w:r>
              <w:rPr>
                <w:rFonts w:hint="eastAsia"/>
              </w:rPr>
              <w:t>办公地址</w:t>
            </w:r>
          </w:p>
        </w:tc>
        <w:tc>
          <w:tcPr>
            <w:tcW w:w="2270" w:type="dxa"/>
            <w:vAlign w:val="center"/>
          </w:tcPr>
          <w:p w14:paraId="27A1A8BF">
            <w:r>
              <w:rPr>
                <w:rFonts w:hint="eastAsia"/>
              </w:rPr>
              <w:t>深圳市福田区莲花街道益田路5999号基金大厦32-42楼</w:t>
            </w:r>
          </w:p>
        </w:tc>
        <w:tc>
          <w:tcPr>
            <w:tcW w:w="2990" w:type="dxa"/>
            <w:vAlign w:val="center"/>
          </w:tcPr>
          <w:p w14:paraId="246F1646">
            <w:r>
              <w:rPr>
                <w:rFonts w:hint="eastAsia"/>
              </w:rPr>
              <w:t>北京市西城区金融大街十五号鑫茂大厦北楼4层</w:t>
            </w:r>
          </w:p>
        </w:tc>
      </w:tr>
      <w:tr w14:paraId="779D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AAE1E3">
            <w:r>
              <w:rPr>
                <w:rFonts w:hint="eastAsia"/>
              </w:rPr>
              <w:t>邮政编码</w:t>
            </w:r>
          </w:p>
        </w:tc>
        <w:tc>
          <w:tcPr>
            <w:tcW w:w="2270" w:type="dxa"/>
            <w:vAlign w:val="center"/>
          </w:tcPr>
          <w:p w14:paraId="6DCCA94F">
            <w:r>
              <w:rPr>
                <w:rFonts w:hint="eastAsia"/>
              </w:rPr>
              <w:t>518017</w:t>
            </w:r>
          </w:p>
        </w:tc>
        <w:tc>
          <w:tcPr>
            <w:tcW w:w="2990" w:type="dxa"/>
            <w:vAlign w:val="center"/>
          </w:tcPr>
          <w:p w14:paraId="7EF222C4">
            <w:r>
              <w:rPr>
                <w:rFonts w:hint="eastAsia"/>
              </w:rPr>
              <w:t>100032</w:t>
            </w:r>
          </w:p>
        </w:tc>
      </w:tr>
      <w:tr w14:paraId="2A97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5D59C9">
            <w:r>
              <w:rPr>
                <w:rFonts w:hint="eastAsia"/>
              </w:rPr>
              <w:t>法定代表人</w:t>
            </w:r>
          </w:p>
        </w:tc>
        <w:tc>
          <w:tcPr>
            <w:tcW w:w="2270" w:type="dxa"/>
            <w:vAlign w:val="center"/>
          </w:tcPr>
          <w:p w14:paraId="7B9DB123">
            <w:r>
              <w:rPr>
                <w:rFonts w:hint="eastAsia"/>
              </w:rPr>
              <w:t>周易</w:t>
            </w:r>
          </w:p>
        </w:tc>
        <w:tc>
          <w:tcPr>
            <w:tcW w:w="2990" w:type="dxa"/>
            <w:vAlign w:val="center"/>
          </w:tcPr>
          <w:p w14:paraId="5F5D217C">
            <w:r>
              <w:rPr>
                <w:rFonts w:hint="eastAsia"/>
              </w:rPr>
              <w:t>林朝晖</w:t>
            </w:r>
          </w:p>
        </w:tc>
      </w:tr>
    </w:tbl>
    <w:p w14:paraId="24B08E00">
      <w:pPr>
        <w:pStyle w:val="23"/>
      </w:pPr>
      <w:bookmarkStart w:id="9" w:name="_Toc1232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529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4941AE">
            <w:r>
              <w:rPr>
                <w:rFonts w:hint="eastAsia"/>
              </w:rPr>
              <w:t>本基金选定的信息披露报纸名称</w:t>
            </w:r>
          </w:p>
        </w:tc>
        <w:tc>
          <w:tcPr>
            <w:tcW w:w="3322" w:type="dxa"/>
            <w:vAlign w:val="center"/>
          </w:tcPr>
          <w:p w14:paraId="56227F14">
            <w:r>
              <w:rPr>
                <w:rFonts w:hint="eastAsia"/>
              </w:rPr>
              <w:t>中国证券报</w:t>
            </w:r>
          </w:p>
        </w:tc>
      </w:tr>
      <w:tr w14:paraId="4C71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6104BF">
            <w:r>
              <w:rPr>
                <w:rFonts w:hint="eastAsia"/>
              </w:rPr>
              <w:t>登载基金年度报告正文的管理人互联网网址</w:t>
            </w:r>
          </w:p>
        </w:tc>
        <w:tc>
          <w:tcPr>
            <w:tcW w:w="3322" w:type="dxa"/>
            <w:vAlign w:val="center"/>
          </w:tcPr>
          <w:p w14:paraId="50E12051">
            <w:r>
              <w:rPr>
                <w:rFonts w:hint="eastAsia"/>
              </w:rPr>
              <w:t>http://www.nffund.com</w:t>
            </w:r>
          </w:p>
        </w:tc>
      </w:tr>
      <w:tr w14:paraId="451E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1726BB">
            <w:r>
              <w:rPr>
                <w:rFonts w:hint="eastAsia"/>
              </w:rPr>
              <w:t>基金年度报告备置地点</w:t>
            </w:r>
          </w:p>
        </w:tc>
        <w:tc>
          <w:tcPr>
            <w:tcW w:w="3322" w:type="dxa"/>
            <w:vAlign w:val="center"/>
          </w:tcPr>
          <w:p w14:paraId="248D5607">
            <w:r>
              <w:rPr>
                <w:rFonts w:hint="eastAsia"/>
              </w:rPr>
              <w:t>基金管理人、基金托管人的办公地址、基金上市交易的证券交易所（如有）</w:t>
            </w:r>
          </w:p>
        </w:tc>
      </w:tr>
    </w:tbl>
    <w:p w14:paraId="1A4AF836">
      <w:pPr>
        <w:pStyle w:val="23"/>
      </w:pPr>
      <w:r>
        <w:t xml:space="preserve"> </w:t>
      </w:r>
      <w:bookmarkStart w:id="10" w:name="_Toc548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992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114EDAC">
            <w:pPr>
              <w:jc w:val="center"/>
            </w:pPr>
            <w:r>
              <w:rPr>
                <w:rFonts w:hint="eastAsia"/>
                <w:b/>
              </w:rPr>
              <w:t>项目</w:t>
            </w:r>
          </w:p>
        </w:tc>
        <w:tc>
          <w:tcPr>
            <w:tcW w:w="2907" w:type="dxa"/>
            <w:shd w:val="clear" w:color="auto" w:fill="BFBFBF"/>
            <w:vAlign w:val="center"/>
          </w:tcPr>
          <w:p w14:paraId="34E71889">
            <w:pPr>
              <w:jc w:val="center"/>
            </w:pPr>
            <w:r>
              <w:rPr>
                <w:rFonts w:hint="eastAsia"/>
                <w:b/>
              </w:rPr>
              <w:t>名称</w:t>
            </w:r>
          </w:p>
        </w:tc>
        <w:tc>
          <w:tcPr>
            <w:tcW w:w="3876" w:type="dxa"/>
            <w:shd w:val="clear" w:color="auto" w:fill="BFBFBF"/>
            <w:vAlign w:val="center"/>
          </w:tcPr>
          <w:p w14:paraId="651FA057">
            <w:pPr>
              <w:jc w:val="center"/>
            </w:pPr>
            <w:r>
              <w:rPr>
                <w:rFonts w:hint="eastAsia"/>
                <w:b/>
              </w:rPr>
              <w:t>办公地址</w:t>
            </w:r>
          </w:p>
        </w:tc>
      </w:tr>
      <w:tr w14:paraId="352B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F6ED630">
            <w:r>
              <w:rPr>
                <w:rFonts w:hint="eastAsia"/>
              </w:rPr>
              <w:t>会计师事务所</w:t>
            </w:r>
          </w:p>
        </w:tc>
        <w:tc>
          <w:tcPr>
            <w:tcW w:w="2907" w:type="dxa"/>
            <w:vAlign w:val="center"/>
          </w:tcPr>
          <w:p w14:paraId="56B20EC7">
            <w:r>
              <w:rPr>
                <w:rFonts w:hint="eastAsia"/>
              </w:rPr>
              <w:t>安永华明会计师事务所（特殊普通合伙）</w:t>
            </w:r>
          </w:p>
        </w:tc>
        <w:tc>
          <w:tcPr>
            <w:tcW w:w="3876" w:type="dxa"/>
            <w:vAlign w:val="center"/>
          </w:tcPr>
          <w:p w14:paraId="478C274D">
            <w:r>
              <w:rPr>
                <w:rFonts w:hint="eastAsia"/>
              </w:rPr>
              <w:t>北京市东城区东长安街1号东方广场安永大楼17层</w:t>
            </w:r>
          </w:p>
        </w:tc>
      </w:tr>
      <w:tr w14:paraId="68CB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890ABCA">
            <w:r>
              <w:rPr>
                <w:rFonts w:hint="eastAsia"/>
              </w:rPr>
              <w:t>注册登记机构</w:t>
            </w:r>
          </w:p>
        </w:tc>
        <w:tc>
          <w:tcPr>
            <w:tcW w:w="2907" w:type="dxa"/>
            <w:vAlign w:val="center"/>
          </w:tcPr>
          <w:p w14:paraId="25AC56B0">
            <w:r>
              <w:rPr>
                <w:rFonts w:hint="eastAsia"/>
              </w:rPr>
              <w:t>南方基金管理股份有限公司</w:t>
            </w:r>
          </w:p>
        </w:tc>
        <w:tc>
          <w:tcPr>
            <w:tcW w:w="3876" w:type="dxa"/>
            <w:vAlign w:val="center"/>
          </w:tcPr>
          <w:p w14:paraId="2F396DA4">
            <w:r>
              <w:rPr>
                <w:rFonts w:hint="eastAsia"/>
              </w:rPr>
              <w:t>深圳市福田区莲花街道益田路5999号基金大厦32-42楼</w:t>
            </w:r>
          </w:p>
        </w:tc>
      </w:tr>
    </w:tbl>
    <w:p w14:paraId="411A6FB6">
      <w:pPr>
        <w:pStyle w:val="26"/>
      </w:pPr>
      <w:bookmarkStart w:id="11" w:name="_Toc15238"/>
      <w:r>
        <w:t>主要财务指标和基金净值表现</w:t>
      </w:r>
      <w:bookmarkEnd w:id="11"/>
    </w:p>
    <w:p w14:paraId="46FADD20">
      <w:pPr>
        <w:pStyle w:val="23"/>
      </w:pPr>
      <w:bookmarkStart w:id="12" w:name="_Toc14336"/>
      <w:r>
        <w:t>主要会计数据和财务指标</w:t>
      </w:r>
      <w:bookmarkEnd w:id="12"/>
    </w:p>
    <w:p w14:paraId="0A6C0FF1">
      <w:pPr>
        <w:jc w:val="right"/>
        <w:rPr>
          <w:rFonts w:hint="eastAsia"/>
        </w:rPr>
      </w:pPr>
      <w:r>
        <w:rPr>
          <w:rFonts w:hint="eastAsia"/>
        </w:rPr>
        <w:t>单位：人民币元</w:t>
      </w:r>
    </w:p>
    <w:p w14:paraId="5AF211DB">
      <w:pPr>
        <w:pStyle w:val="18"/>
        <w:rPr>
          <w:rFonts w:hint="eastAsia"/>
        </w:rPr>
      </w:pPr>
      <w:r>
        <w:rPr>
          <w:rFonts w:hint="eastAsia"/>
        </w:rPr>
        <w:t>1、南方益稳稳健增利债券A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82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B460CC">
            <w:r>
              <w:rPr>
                <w:rFonts w:hint="eastAsia"/>
              </w:rPr>
              <w:t>3.1.1 期间数据和指标</w:t>
            </w:r>
          </w:p>
        </w:tc>
        <w:tc>
          <w:tcPr>
            <w:tcW w:w="4153" w:type="dxa"/>
            <w:vAlign w:val="center"/>
          </w:tcPr>
          <w:p w14:paraId="195CB7BD">
            <w:r>
              <w:rPr>
                <w:rFonts w:hint="eastAsia"/>
              </w:rPr>
              <w:t>2025年8月6日-2025年12月31日</w:t>
            </w:r>
          </w:p>
        </w:tc>
      </w:tr>
      <w:tr w14:paraId="5F2B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FB747E">
            <w:r>
              <w:rPr>
                <w:rFonts w:hint="eastAsia"/>
              </w:rPr>
              <w:t>本期已实现收益</w:t>
            </w:r>
          </w:p>
        </w:tc>
        <w:tc>
          <w:tcPr>
            <w:tcW w:w="4153" w:type="dxa"/>
            <w:vAlign w:val="center"/>
          </w:tcPr>
          <w:p w14:paraId="7B05CFD8">
            <w:pPr>
              <w:jc w:val="right"/>
            </w:pPr>
            <w:r>
              <w:rPr>
                <w:rFonts w:hint="eastAsia"/>
              </w:rPr>
              <w:t>6,615,657.15</w:t>
            </w:r>
          </w:p>
        </w:tc>
      </w:tr>
      <w:tr w14:paraId="5E2B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68F284">
            <w:r>
              <w:rPr>
                <w:rFonts w:hint="eastAsia"/>
              </w:rPr>
              <w:t>本期利润</w:t>
            </w:r>
          </w:p>
        </w:tc>
        <w:tc>
          <w:tcPr>
            <w:tcW w:w="4153" w:type="dxa"/>
            <w:vAlign w:val="center"/>
          </w:tcPr>
          <w:p w14:paraId="46EE827C">
            <w:pPr>
              <w:jc w:val="right"/>
            </w:pPr>
            <w:r>
              <w:rPr>
                <w:rFonts w:hint="eastAsia"/>
              </w:rPr>
              <w:t>11,447,601.67</w:t>
            </w:r>
          </w:p>
        </w:tc>
      </w:tr>
      <w:tr w14:paraId="0013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F39F8B">
            <w:r>
              <w:rPr>
                <w:rFonts w:hint="eastAsia"/>
              </w:rPr>
              <w:t>加权平均基金份额本期利润</w:t>
            </w:r>
          </w:p>
        </w:tc>
        <w:tc>
          <w:tcPr>
            <w:tcW w:w="4153" w:type="dxa"/>
            <w:vAlign w:val="center"/>
          </w:tcPr>
          <w:p w14:paraId="10557C50">
            <w:pPr>
              <w:jc w:val="right"/>
            </w:pPr>
            <w:r>
              <w:rPr>
                <w:rFonts w:hint="eastAsia"/>
              </w:rPr>
              <w:t>0.0155</w:t>
            </w:r>
          </w:p>
        </w:tc>
      </w:tr>
      <w:tr w14:paraId="5976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D6D3CB">
            <w:r>
              <w:rPr>
                <w:rFonts w:hint="eastAsia"/>
              </w:rPr>
              <w:t>本期加权平均净值利润率</w:t>
            </w:r>
          </w:p>
        </w:tc>
        <w:tc>
          <w:tcPr>
            <w:tcW w:w="4153" w:type="dxa"/>
            <w:vAlign w:val="center"/>
          </w:tcPr>
          <w:p w14:paraId="6F77E8C9">
            <w:pPr>
              <w:jc w:val="right"/>
            </w:pPr>
            <w:r>
              <w:rPr>
                <w:rFonts w:hint="eastAsia"/>
              </w:rPr>
              <w:t>1.54%</w:t>
            </w:r>
          </w:p>
        </w:tc>
      </w:tr>
      <w:tr w14:paraId="45ED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96F086">
            <w:r>
              <w:rPr>
                <w:rFonts w:hint="eastAsia"/>
              </w:rPr>
              <w:t>本期基金份额净值增长率</w:t>
            </w:r>
          </w:p>
        </w:tc>
        <w:tc>
          <w:tcPr>
            <w:tcW w:w="4153" w:type="dxa"/>
            <w:vAlign w:val="center"/>
          </w:tcPr>
          <w:p w14:paraId="00318ECC">
            <w:pPr>
              <w:jc w:val="right"/>
            </w:pPr>
            <w:r>
              <w:rPr>
                <w:rFonts w:hint="eastAsia"/>
              </w:rPr>
              <w:t>1.55%</w:t>
            </w:r>
          </w:p>
        </w:tc>
      </w:tr>
      <w:tr w14:paraId="40F0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3E5892">
            <w:r>
              <w:rPr>
                <w:rFonts w:hint="eastAsia"/>
              </w:rPr>
              <w:t>3.1.2 期末数据和指标</w:t>
            </w:r>
          </w:p>
        </w:tc>
        <w:tc>
          <w:tcPr>
            <w:tcW w:w="4153" w:type="dxa"/>
            <w:vAlign w:val="center"/>
          </w:tcPr>
          <w:p w14:paraId="1791D147">
            <w:r>
              <w:rPr>
                <w:rFonts w:hint="eastAsia"/>
              </w:rPr>
              <w:t>2025年末</w:t>
            </w:r>
          </w:p>
        </w:tc>
      </w:tr>
      <w:tr w14:paraId="00E1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BBEC5E">
            <w:r>
              <w:rPr>
                <w:rFonts w:hint="eastAsia"/>
              </w:rPr>
              <w:t>期末可供分配利润</w:t>
            </w:r>
          </w:p>
        </w:tc>
        <w:tc>
          <w:tcPr>
            <w:tcW w:w="4153" w:type="dxa"/>
            <w:vAlign w:val="center"/>
          </w:tcPr>
          <w:p w14:paraId="0A833091">
            <w:pPr>
              <w:jc w:val="right"/>
            </w:pPr>
            <w:r>
              <w:rPr>
                <w:rFonts w:hint="eastAsia"/>
              </w:rPr>
              <w:t>8,327,940.04</w:t>
            </w:r>
          </w:p>
        </w:tc>
      </w:tr>
      <w:tr w14:paraId="219A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16DDDC">
            <w:r>
              <w:rPr>
                <w:rFonts w:hint="eastAsia"/>
              </w:rPr>
              <w:t>期末可供分配基金份额利润</w:t>
            </w:r>
          </w:p>
        </w:tc>
        <w:tc>
          <w:tcPr>
            <w:tcW w:w="4153" w:type="dxa"/>
            <w:vAlign w:val="center"/>
          </w:tcPr>
          <w:p w14:paraId="6E7146B5">
            <w:pPr>
              <w:jc w:val="right"/>
            </w:pPr>
            <w:r>
              <w:rPr>
                <w:rFonts w:hint="eastAsia"/>
              </w:rPr>
              <w:t>0.0097</w:t>
            </w:r>
          </w:p>
        </w:tc>
      </w:tr>
      <w:tr w14:paraId="131D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BB286D">
            <w:r>
              <w:rPr>
                <w:rFonts w:hint="eastAsia"/>
              </w:rPr>
              <w:t>期末基金资产净值</w:t>
            </w:r>
          </w:p>
        </w:tc>
        <w:tc>
          <w:tcPr>
            <w:tcW w:w="4153" w:type="dxa"/>
            <w:vAlign w:val="center"/>
          </w:tcPr>
          <w:p w14:paraId="202DADD2">
            <w:pPr>
              <w:jc w:val="right"/>
            </w:pPr>
            <w:r>
              <w:rPr>
                <w:rFonts w:hint="eastAsia"/>
              </w:rPr>
              <w:t>864,073,289.40</w:t>
            </w:r>
          </w:p>
        </w:tc>
      </w:tr>
      <w:tr w14:paraId="246F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4C8AC5">
            <w:r>
              <w:rPr>
                <w:rFonts w:hint="eastAsia"/>
              </w:rPr>
              <w:t>期末基金份额净值</w:t>
            </w:r>
          </w:p>
        </w:tc>
        <w:tc>
          <w:tcPr>
            <w:tcW w:w="4153" w:type="dxa"/>
            <w:vAlign w:val="center"/>
          </w:tcPr>
          <w:p w14:paraId="19A20954">
            <w:pPr>
              <w:jc w:val="right"/>
            </w:pPr>
            <w:r>
              <w:rPr>
                <w:rFonts w:hint="eastAsia"/>
              </w:rPr>
              <w:t>1.0155</w:t>
            </w:r>
          </w:p>
        </w:tc>
      </w:tr>
      <w:tr w14:paraId="636B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9DB31C">
            <w:r>
              <w:rPr>
                <w:rFonts w:hint="eastAsia"/>
              </w:rPr>
              <w:t>3.1.3 累计期末指标</w:t>
            </w:r>
          </w:p>
        </w:tc>
        <w:tc>
          <w:tcPr>
            <w:tcW w:w="4153" w:type="dxa"/>
            <w:vAlign w:val="center"/>
          </w:tcPr>
          <w:p w14:paraId="092B5A48">
            <w:r>
              <w:rPr>
                <w:rFonts w:hint="eastAsia"/>
              </w:rPr>
              <w:t>2025年末</w:t>
            </w:r>
          </w:p>
        </w:tc>
      </w:tr>
      <w:tr w14:paraId="6947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E7E4FF">
            <w:r>
              <w:rPr>
                <w:rFonts w:hint="eastAsia"/>
              </w:rPr>
              <w:t>基金份额累计净值增长率</w:t>
            </w:r>
          </w:p>
        </w:tc>
        <w:tc>
          <w:tcPr>
            <w:tcW w:w="4153" w:type="dxa"/>
            <w:vAlign w:val="center"/>
          </w:tcPr>
          <w:p w14:paraId="0E09E179">
            <w:pPr>
              <w:jc w:val="right"/>
            </w:pPr>
            <w:r>
              <w:rPr>
                <w:rFonts w:hint="eastAsia"/>
              </w:rPr>
              <w:t>1.55%</w:t>
            </w:r>
          </w:p>
        </w:tc>
      </w:tr>
    </w:tbl>
    <w:p w14:paraId="40F23150">
      <w:pPr>
        <w:pStyle w:val="18"/>
        <w:rPr>
          <w:rFonts w:hint="eastAsia"/>
        </w:rPr>
      </w:pPr>
      <w:r>
        <w:rPr>
          <w:rFonts w:hint="eastAsia"/>
        </w:rPr>
        <w:t>2、南方益稳稳健增利债券C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A2F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E77E05">
            <w:r>
              <w:rPr>
                <w:rFonts w:hint="eastAsia"/>
              </w:rPr>
              <w:t>3.1.1 期间数据和指标</w:t>
            </w:r>
          </w:p>
        </w:tc>
        <w:tc>
          <w:tcPr>
            <w:tcW w:w="4153" w:type="dxa"/>
            <w:vAlign w:val="center"/>
          </w:tcPr>
          <w:p w14:paraId="6AD46ADD">
            <w:r>
              <w:rPr>
                <w:rFonts w:hint="eastAsia"/>
              </w:rPr>
              <w:t>2025年8月6日-2025年12月31日</w:t>
            </w:r>
          </w:p>
        </w:tc>
      </w:tr>
      <w:tr w14:paraId="0ACD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3CB07D">
            <w:r>
              <w:rPr>
                <w:rFonts w:hint="eastAsia"/>
              </w:rPr>
              <w:t>本期已实现收益</w:t>
            </w:r>
          </w:p>
        </w:tc>
        <w:tc>
          <w:tcPr>
            <w:tcW w:w="4153" w:type="dxa"/>
            <w:vAlign w:val="center"/>
          </w:tcPr>
          <w:p w14:paraId="7981C084">
            <w:pPr>
              <w:jc w:val="right"/>
            </w:pPr>
            <w:r>
              <w:rPr>
                <w:rFonts w:hint="eastAsia"/>
              </w:rPr>
              <w:t>27,979,955.75</w:t>
            </w:r>
          </w:p>
        </w:tc>
      </w:tr>
      <w:tr w14:paraId="3F8D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1BA817">
            <w:r>
              <w:rPr>
                <w:rFonts w:hint="eastAsia"/>
              </w:rPr>
              <w:t>本期利润</w:t>
            </w:r>
          </w:p>
        </w:tc>
        <w:tc>
          <w:tcPr>
            <w:tcW w:w="4153" w:type="dxa"/>
            <w:vAlign w:val="center"/>
          </w:tcPr>
          <w:p w14:paraId="37DB2AB1">
            <w:pPr>
              <w:jc w:val="right"/>
            </w:pPr>
            <w:r>
              <w:rPr>
                <w:rFonts w:hint="eastAsia"/>
              </w:rPr>
              <w:t>62,488,847.78</w:t>
            </w:r>
          </w:p>
        </w:tc>
      </w:tr>
      <w:tr w14:paraId="0E11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7EA919">
            <w:r>
              <w:rPr>
                <w:rFonts w:hint="eastAsia"/>
              </w:rPr>
              <w:t>加权平均基金份额本期利润</w:t>
            </w:r>
          </w:p>
        </w:tc>
        <w:tc>
          <w:tcPr>
            <w:tcW w:w="4153" w:type="dxa"/>
            <w:vAlign w:val="center"/>
          </w:tcPr>
          <w:p w14:paraId="1E83D895">
            <w:pPr>
              <w:jc w:val="right"/>
            </w:pPr>
            <w:r>
              <w:rPr>
                <w:rFonts w:hint="eastAsia"/>
              </w:rPr>
              <w:t>0.0173</w:t>
            </w:r>
          </w:p>
        </w:tc>
      </w:tr>
      <w:tr w14:paraId="628A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97F4C6">
            <w:r>
              <w:rPr>
                <w:rFonts w:hint="eastAsia"/>
              </w:rPr>
              <w:t>本期加权平均净值利润率</w:t>
            </w:r>
          </w:p>
        </w:tc>
        <w:tc>
          <w:tcPr>
            <w:tcW w:w="4153" w:type="dxa"/>
            <w:vAlign w:val="center"/>
          </w:tcPr>
          <w:p w14:paraId="19CF5767">
            <w:pPr>
              <w:jc w:val="right"/>
            </w:pPr>
            <w:r>
              <w:rPr>
                <w:rFonts w:hint="eastAsia"/>
              </w:rPr>
              <w:t>1.72%</w:t>
            </w:r>
          </w:p>
        </w:tc>
      </w:tr>
      <w:tr w14:paraId="225F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622973">
            <w:r>
              <w:rPr>
                <w:rFonts w:hint="eastAsia"/>
              </w:rPr>
              <w:t>本期基金份额净值增长率</w:t>
            </w:r>
          </w:p>
        </w:tc>
        <w:tc>
          <w:tcPr>
            <w:tcW w:w="4153" w:type="dxa"/>
            <w:vAlign w:val="center"/>
          </w:tcPr>
          <w:p w14:paraId="6C8DC3E7">
            <w:pPr>
              <w:jc w:val="right"/>
            </w:pPr>
            <w:r>
              <w:rPr>
                <w:rFonts w:hint="eastAsia"/>
              </w:rPr>
              <w:t>1.43%</w:t>
            </w:r>
          </w:p>
        </w:tc>
      </w:tr>
      <w:tr w14:paraId="1000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594639">
            <w:r>
              <w:rPr>
                <w:rFonts w:hint="eastAsia"/>
              </w:rPr>
              <w:t>3.1.2 期末数据和指标</w:t>
            </w:r>
          </w:p>
        </w:tc>
        <w:tc>
          <w:tcPr>
            <w:tcW w:w="4153" w:type="dxa"/>
            <w:vAlign w:val="center"/>
          </w:tcPr>
          <w:p w14:paraId="17B7BD2E">
            <w:r>
              <w:rPr>
                <w:rFonts w:hint="eastAsia"/>
              </w:rPr>
              <w:t>2025年末</w:t>
            </w:r>
          </w:p>
        </w:tc>
      </w:tr>
      <w:tr w14:paraId="1B90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596939">
            <w:r>
              <w:rPr>
                <w:rFonts w:hint="eastAsia"/>
              </w:rPr>
              <w:t>期末可供分配利润</w:t>
            </w:r>
          </w:p>
        </w:tc>
        <w:tc>
          <w:tcPr>
            <w:tcW w:w="4153" w:type="dxa"/>
            <w:vAlign w:val="center"/>
          </w:tcPr>
          <w:p w14:paraId="18138151">
            <w:pPr>
              <w:jc w:val="right"/>
            </w:pPr>
            <w:r>
              <w:rPr>
                <w:rFonts w:hint="eastAsia"/>
              </w:rPr>
              <w:t>19,845,642.70</w:t>
            </w:r>
          </w:p>
        </w:tc>
      </w:tr>
      <w:tr w14:paraId="4079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B58331">
            <w:r>
              <w:rPr>
                <w:rFonts w:hint="eastAsia"/>
              </w:rPr>
              <w:t>期末可供分配基金份额利润</w:t>
            </w:r>
          </w:p>
        </w:tc>
        <w:tc>
          <w:tcPr>
            <w:tcW w:w="4153" w:type="dxa"/>
            <w:vAlign w:val="center"/>
          </w:tcPr>
          <w:p w14:paraId="2D465C1B">
            <w:pPr>
              <w:jc w:val="right"/>
            </w:pPr>
            <w:r>
              <w:rPr>
                <w:rFonts w:hint="eastAsia"/>
              </w:rPr>
              <w:t>0.0085</w:t>
            </w:r>
          </w:p>
        </w:tc>
      </w:tr>
      <w:tr w14:paraId="238B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C88710">
            <w:r>
              <w:rPr>
                <w:rFonts w:hint="eastAsia"/>
              </w:rPr>
              <w:t>期末基金资产净值</w:t>
            </w:r>
          </w:p>
        </w:tc>
        <w:tc>
          <w:tcPr>
            <w:tcW w:w="4153" w:type="dxa"/>
            <w:vAlign w:val="center"/>
          </w:tcPr>
          <w:p w14:paraId="59D96DD7">
            <w:pPr>
              <w:jc w:val="right"/>
            </w:pPr>
            <w:r>
              <w:rPr>
                <w:rFonts w:hint="eastAsia"/>
              </w:rPr>
              <w:t>2,348,047,993.20</w:t>
            </w:r>
          </w:p>
        </w:tc>
      </w:tr>
      <w:tr w14:paraId="2E2D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8AD820">
            <w:r>
              <w:rPr>
                <w:rFonts w:hint="eastAsia"/>
              </w:rPr>
              <w:t>期末基金份额净值</w:t>
            </w:r>
          </w:p>
        </w:tc>
        <w:tc>
          <w:tcPr>
            <w:tcW w:w="4153" w:type="dxa"/>
            <w:vAlign w:val="center"/>
          </w:tcPr>
          <w:p w14:paraId="01C65C7A">
            <w:pPr>
              <w:jc w:val="right"/>
            </w:pPr>
            <w:r>
              <w:rPr>
                <w:rFonts w:hint="eastAsia"/>
              </w:rPr>
              <w:t>1.0143</w:t>
            </w:r>
          </w:p>
        </w:tc>
      </w:tr>
      <w:tr w14:paraId="1CA4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6EE281">
            <w:r>
              <w:rPr>
                <w:rFonts w:hint="eastAsia"/>
              </w:rPr>
              <w:t>3.1.3 累计期末指标</w:t>
            </w:r>
          </w:p>
        </w:tc>
        <w:tc>
          <w:tcPr>
            <w:tcW w:w="4153" w:type="dxa"/>
            <w:vAlign w:val="center"/>
          </w:tcPr>
          <w:p w14:paraId="38401358">
            <w:r>
              <w:rPr>
                <w:rFonts w:hint="eastAsia"/>
              </w:rPr>
              <w:t>2025年末</w:t>
            </w:r>
          </w:p>
        </w:tc>
      </w:tr>
      <w:tr w14:paraId="3C6B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C8E21E">
            <w:r>
              <w:rPr>
                <w:rFonts w:hint="eastAsia"/>
              </w:rPr>
              <w:t>基金份额累计净值增长率</w:t>
            </w:r>
          </w:p>
        </w:tc>
        <w:tc>
          <w:tcPr>
            <w:tcW w:w="4153" w:type="dxa"/>
            <w:vAlign w:val="center"/>
          </w:tcPr>
          <w:p w14:paraId="1C0BC2E2">
            <w:pPr>
              <w:jc w:val="right"/>
            </w:pPr>
            <w:r>
              <w:rPr>
                <w:rFonts w:hint="eastAsia"/>
              </w:rPr>
              <w:t>1.43%</w:t>
            </w:r>
          </w:p>
        </w:tc>
      </w:tr>
    </w:tbl>
    <w:p w14:paraId="5C1BBA70">
      <w:pPr>
        <w:pStyle w:val="47"/>
        <w:rPr>
          <w:rFonts w:hint="eastAsia"/>
        </w:rPr>
      </w:pPr>
      <w:r>
        <w:rPr>
          <w:rFonts w:hint="eastAsia"/>
        </w:rPr>
        <w:t>注：基金业绩指标不包括持有人认（申）购或交易基金的各项费用，计入费用后实际收益水平要低于所列数字；</w:t>
      </w:r>
    </w:p>
    <w:p w14:paraId="041C28D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39933E0">
      <w:pPr>
        <w:pStyle w:val="47"/>
        <w:rPr>
          <w:rFonts w:hint="eastAsia"/>
        </w:rPr>
      </w:pPr>
      <w:r>
        <w:tab/>
      </w:r>
      <w:r>
        <w:rPr>
          <w:rFonts w:hint="eastAsia"/>
        </w:rPr>
        <w:t>对期末可供分配利润，采用期末资产负债表中未分配利润与未分配利润中已实现部分的孰低数；</w:t>
      </w:r>
    </w:p>
    <w:p w14:paraId="485C7822">
      <w:pPr>
        <w:pStyle w:val="47"/>
        <w:rPr>
          <w:rFonts w:hint="eastAsia"/>
        </w:rPr>
      </w:pPr>
      <w:r>
        <w:tab/>
      </w:r>
      <w:r>
        <w:rPr>
          <w:rFonts w:hint="eastAsia"/>
        </w:rPr>
        <w:t>本基金合同生效日为2025年8月6日，基金合同生效日至本报告期末，本基金运作时间未满一年。</w:t>
      </w:r>
    </w:p>
    <w:p w14:paraId="54BD908B">
      <w:pPr>
        <w:pStyle w:val="23"/>
      </w:pPr>
      <w:bookmarkStart w:id="13" w:name="_Toc25824"/>
      <w:r>
        <w:t>基金净值表现</w:t>
      </w:r>
      <w:bookmarkEnd w:id="13"/>
      <w:r>
        <w:t xml:space="preserve"> </w:t>
      </w:r>
    </w:p>
    <w:p w14:paraId="6E85D0A5">
      <w:pPr>
        <w:pStyle w:val="28"/>
      </w:pPr>
      <w:bookmarkStart w:id="14" w:name="_Toc14"/>
      <w:r>
        <w:t xml:space="preserve">基金份额净值增长率及其与同期业绩比较基准收益率的比较 </w:t>
      </w:r>
      <w:bookmarkEnd w:id="14"/>
    </w:p>
    <w:p w14:paraId="65B62A82">
      <w:pPr>
        <w:pStyle w:val="18"/>
        <w:rPr>
          <w:rFonts w:hint="eastAsia"/>
        </w:rPr>
      </w:pPr>
      <w:r>
        <w:rPr>
          <w:rFonts w:hint="eastAsia"/>
        </w:rPr>
        <w:t>南方益稳稳健增利债券A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66C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0D8E89D">
            <w:pPr>
              <w:jc w:val="center"/>
            </w:pPr>
            <w:r>
              <w:rPr>
                <w:rFonts w:hint="eastAsia"/>
                <w:b/>
              </w:rPr>
              <w:t>阶段</w:t>
            </w:r>
          </w:p>
        </w:tc>
        <w:tc>
          <w:tcPr>
            <w:tcW w:w="1101" w:type="dxa"/>
            <w:shd w:val="clear" w:color="auto" w:fill="BFBFBF"/>
            <w:vAlign w:val="center"/>
          </w:tcPr>
          <w:p w14:paraId="70C78746">
            <w:pPr>
              <w:jc w:val="center"/>
            </w:pPr>
            <w:r>
              <w:rPr>
                <w:rFonts w:hint="eastAsia"/>
                <w:b/>
              </w:rPr>
              <w:t>份额净值增长率①</w:t>
            </w:r>
          </w:p>
        </w:tc>
        <w:tc>
          <w:tcPr>
            <w:tcW w:w="1101" w:type="dxa"/>
            <w:shd w:val="clear" w:color="auto" w:fill="BFBFBF"/>
            <w:vAlign w:val="center"/>
          </w:tcPr>
          <w:p w14:paraId="75EE0636">
            <w:pPr>
              <w:jc w:val="center"/>
            </w:pPr>
            <w:r>
              <w:rPr>
                <w:rFonts w:hint="eastAsia"/>
                <w:b/>
              </w:rPr>
              <w:t>份额净值增长率标准差②</w:t>
            </w:r>
          </w:p>
        </w:tc>
        <w:tc>
          <w:tcPr>
            <w:tcW w:w="1101" w:type="dxa"/>
            <w:shd w:val="clear" w:color="auto" w:fill="BFBFBF"/>
            <w:vAlign w:val="center"/>
          </w:tcPr>
          <w:p w14:paraId="656E6BF4">
            <w:pPr>
              <w:jc w:val="center"/>
            </w:pPr>
            <w:r>
              <w:rPr>
                <w:rFonts w:hint="eastAsia"/>
                <w:b/>
              </w:rPr>
              <w:t>业绩比较基准收益率③</w:t>
            </w:r>
          </w:p>
        </w:tc>
        <w:tc>
          <w:tcPr>
            <w:tcW w:w="1207" w:type="dxa"/>
            <w:shd w:val="clear" w:color="auto" w:fill="BFBFBF"/>
            <w:vAlign w:val="center"/>
          </w:tcPr>
          <w:p w14:paraId="04C36D0E">
            <w:pPr>
              <w:jc w:val="center"/>
            </w:pPr>
            <w:r>
              <w:rPr>
                <w:rFonts w:hint="eastAsia"/>
                <w:b/>
              </w:rPr>
              <w:t>业绩比较基准收益率标准差④</w:t>
            </w:r>
          </w:p>
        </w:tc>
        <w:tc>
          <w:tcPr>
            <w:tcW w:w="1251" w:type="dxa"/>
            <w:shd w:val="clear" w:color="auto" w:fill="BFBFBF"/>
            <w:vAlign w:val="center"/>
          </w:tcPr>
          <w:p w14:paraId="59C193DE">
            <w:pPr>
              <w:jc w:val="center"/>
            </w:pPr>
            <w:r>
              <w:rPr>
                <w:rFonts w:hint="eastAsia"/>
                <w:b/>
              </w:rPr>
              <w:t>①-③</w:t>
            </w:r>
          </w:p>
        </w:tc>
        <w:tc>
          <w:tcPr>
            <w:tcW w:w="1218" w:type="dxa"/>
            <w:shd w:val="clear" w:color="auto" w:fill="BFBFBF"/>
            <w:vAlign w:val="center"/>
          </w:tcPr>
          <w:p w14:paraId="532E501B">
            <w:pPr>
              <w:jc w:val="center"/>
            </w:pPr>
            <w:r>
              <w:rPr>
                <w:rFonts w:hint="eastAsia"/>
                <w:b/>
              </w:rPr>
              <w:t>②-④</w:t>
            </w:r>
          </w:p>
        </w:tc>
      </w:tr>
      <w:tr w14:paraId="2AFD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49F01C">
            <w:r>
              <w:rPr>
                <w:rFonts w:hint="eastAsia"/>
              </w:rPr>
              <w:t>过去三个月</w:t>
            </w:r>
          </w:p>
        </w:tc>
        <w:tc>
          <w:tcPr>
            <w:tcW w:w="1101" w:type="dxa"/>
            <w:vAlign w:val="center"/>
          </w:tcPr>
          <w:p w14:paraId="6F84EC76">
            <w:pPr>
              <w:jc w:val="right"/>
            </w:pPr>
            <w:r>
              <w:rPr>
                <w:rFonts w:hint="eastAsia"/>
              </w:rPr>
              <w:t>0.34%</w:t>
            </w:r>
          </w:p>
        </w:tc>
        <w:tc>
          <w:tcPr>
            <w:tcW w:w="1101" w:type="dxa"/>
            <w:vAlign w:val="center"/>
          </w:tcPr>
          <w:p w14:paraId="69F2A28B">
            <w:pPr>
              <w:jc w:val="right"/>
            </w:pPr>
            <w:r>
              <w:rPr>
                <w:rFonts w:hint="eastAsia"/>
              </w:rPr>
              <w:t>0.23%</w:t>
            </w:r>
          </w:p>
        </w:tc>
        <w:tc>
          <w:tcPr>
            <w:tcW w:w="1101" w:type="dxa"/>
            <w:vAlign w:val="center"/>
          </w:tcPr>
          <w:p w14:paraId="74F14539">
            <w:pPr>
              <w:jc w:val="right"/>
            </w:pPr>
            <w:r>
              <w:rPr>
                <w:rFonts w:hint="eastAsia"/>
              </w:rPr>
              <w:t>-0.32%</w:t>
            </w:r>
          </w:p>
        </w:tc>
        <w:tc>
          <w:tcPr>
            <w:tcW w:w="1207" w:type="dxa"/>
            <w:vAlign w:val="center"/>
          </w:tcPr>
          <w:p w14:paraId="37065A7D">
            <w:pPr>
              <w:jc w:val="right"/>
            </w:pPr>
            <w:r>
              <w:rPr>
                <w:rFonts w:hint="eastAsia"/>
              </w:rPr>
              <w:t>0.14%</w:t>
            </w:r>
          </w:p>
        </w:tc>
        <w:tc>
          <w:tcPr>
            <w:tcW w:w="1251" w:type="dxa"/>
            <w:vAlign w:val="center"/>
          </w:tcPr>
          <w:p w14:paraId="52AC31BE">
            <w:pPr>
              <w:jc w:val="right"/>
            </w:pPr>
            <w:r>
              <w:rPr>
                <w:rFonts w:hint="eastAsia"/>
              </w:rPr>
              <w:t>0.66%</w:t>
            </w:r>
          </w:p>
        </w:tc>
        <w:tc>
          <w:tcPr>
            <w:tcW w:w="1218" w:type="dxa"/>
            <w:vAlign w:val="center"/>
          </w:tcPr>
          <w:p w14:paraId="5BA61110">
            <w:pPr>
              <w:jc w:val="right"/>
            </w:pPr>
            <w:r>
              <w:rPr>
                <w:rFonts w:hint="eastAsia"/>
              </w:rPr>
              <w:t>0.09%</w:t>
            </w:r>
          </w:p>
        </w:tc>
      </w:tr>
      <w:tr w14:paraId="2FD4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45880A">
            <w:r>
              <w:rPr>
                <w:rFonts w:hint="eastAsia"/>
              </w:rPr>
              <w:t>自基金合同生效起至今</w:t>
            </w:r>
          </w:p>
        </w:tc>
        <w:tc>
          <w:tcPr>
            <w:tcW w:w="1101" w:type="dxa"/>
            <w:vAlign w:val="center"/>
          </w:tcPr>
          <w:p w14:paraId="64373962">
            <w:pPr>
              <w:jc w:val="right"/>
            </w:pPr>
            <w:r>
              <w:rPr>
                <w:rFonts w:hint="eastAsia"/>
              </w:rPr>
              <w:t>1.55%</w:t>
            </w:r>
          </w:p>
        </w:tc>
        <w:tc>
          <w:tcPr>
            <w:tcW w:w="1101" w:type="dxa"/>
            <w:vAlign w:val="center"/>
          </w:tcPr>
          <w:p w14:paraId="654C17A2">
            <w:pPr>
              <w:jc w:val="right"/>
            </w:pPr>
            <w:r>
              <w:rPr>
                <w:rFonts w:hint="eastAsia"/>
              </w:rPr>
              <w:t>0.19%</w:t>
            </w:r>
          </w:p>
        </w:tc>
        <w:tc>
          <w:tcPr>
            <w:tcW w:w="1101" w:type="dxa"/>
            <w:vAlign w:val="center"/>
          </w:tcPr>
          <w:p w14:paraId="3C398A11">
            <w:pPr>
              <w:jc w:val="right"/>
            </w:pPr>
            <w:r>
              <w:rPr>
                <w:rFonts w:hint="eastAsia"/>
              </w:rPr>
              <w:t>0.31%</w:t>
            </w:r>
          </w:p>
        </w:tc>
        <w:tc>
          <w:tcPr>
            <w:tcW w:w="1207" w:type="dxa"/>
            <w:vAlign w:val="center"/>
          </w:tcPr>
          <w:p w14:paraId="7E27F807">
            <w:pPr>
              <w:jc w:val="right"/>
            </w:pPr>
            <w:r>
              <w:rPr>
                <w:rFonts w:hint="eastAsia"/>
              </w:rPr>
              <w:t>0.14%</w:t>
            </w:r>
          </w:p>
        </w:tc>
        <w:tc>
          <w:tcPr>
            <w:tcW w:w="1251" w:type="dxa"/>
            <w:vAlign w:val="center"/>
          </w:tcPr>
          <w:p w14:paraId="776E6261">
            <w:pPr>
              <w:jc w:val="right"/>
            </w:pPr>
            <w:r>
              <w:rPr>
                <w:rFonts w:hint="eastAsia"/>
              </w:rPr>
              <w:t>1.24%</w:t>
            </w:r>
          </w:p>
        </w:tc>
        <w:tc>
          <w:tcPr>
            <w:tcW w:w="1218" w:type="dxa"/>
            <w:vAlign w:val="center"/>
          </w:tcPr>
          <w:p w14:paraId="5F659871">
            <w:pPr>
              <w:jc w:val="right"/>
            </w:pPr>
            <w:r>
              <w:rPr>
                <w:rFonts w:hint="eastAsia"/>
              </w:rPr>
              <w:t>0.05%</w:t>
            </w:r>
          </w:p>
        </w:tc>
      </w:tr>
    </w:tbl>
    <w:p w14:paraId="538441D2">
      <w:pPr>
        <w:pStyle w:val="18"/>
        <w:rPr>
          <w:rFonts w:hint="eastAsia"/>
        </w:rPr>
      </w:pPr>
      <w:r>
        <w:rPr>
          <w:rFonts w:hint="eastAsia"/>
        </w:rPr>
        <w:t>南方益稳稳健增利债券C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B39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8C1A0BE">
            <w:pPr>
              <w:jc w:val="center"/>
            </w:pPr>
            <w:r>
              <w:rPr>
                <w:rFonts w:hint="eastAsia"/>
                <w:b/>
              </w:rPr>
              <w:t>阶段</w:t>
            </w:r>
          </w:p>
        </w:tc>
        <w:tc>
          <w:tcPr>
            <w:tcW w:w="1101" w:type="dxa"/>
            <w:shd w:val="clear" w:color="auto" w:fill="BFBFBF"/>
            <w:vAlign w:val="center"/>
          </w:tcPr>
          <w:p w14:paraId="243C4A78">
            <w:pPr>
              <w:jc w:val="center"/>
            </w:pPr>
            <w:r>
              <w:rPr>
                <w:rFonts w:hint="eastAsia"/>
                <w:b/>
              </w:rPr>
              <w:t>份额净值增长率①</w:t>
            </w:r>
          </w:p>
        </w:tc>
        <w:tc>
          <w:tcPr>
            <w:tcW w:w="1101" w:type="dxa"/>
            <w:shd w:val="clear" w:color="auto" w:fill="BFBFBF"/>
            <w:vAlign w:val="center"/>
          </w:tcPr>
          <w:p w14:paraId="3E428359">
            <w:pPr>
              <w:jc w:val="center"/>
            </w:pPr>
            <w:r>
              <w:rPr>
                <w:rFonts w:hint="eastAsia"/>
                <w:b/>
              </w:rPr>
              <w:t>份额净值增长率标准差②</w:t>
            </w:r>
          </w:p>
        </w:tc>
        <w:tc>
          <w:tcPr>
            <w:tcW w:w="1101" w:type="dxa"/>
            <w:shd w:val="clear" w:color="auto" w:fill="BFBFBF"/>
            <w:vAlign w:val="center"/>
          </w:tcPr>
          <w:p w14:paraId="49BCA517">
            <w:pPr>
              <w:jc w:val="center"/>
            </w:pPr>
            <w:r>
              <w:rPr>
                <w:rFonts w:hint="eastAsia"/>
                <w:b/>
              </w:rPr>
              <w:t>业绩比较基准收益率③</w:t>
            </w:r>
          </w:p>
        </w:tc>
        <w:tc>
          <w:tcPr>
            <w:tcW w:w="1207" w:type="dxa"/>
            <w:shd w:val="clear" w:color="auto" w:fill="BFBFBF"/>
            <w:vAlign w:val="center"/>
          </w:tcPr>
          <w:p w14:paraId="1D7565F8">
            <w:pPr>
              <w:jc w:val="center"/>
            </w:pPr>
            <w:r>
              <w:rPr>
                <w:rFonts w:hint="eastAsia"/>
                <w:b/>
              </w:rPr>
              <w:t>业绩比较基准收益率标准差④</w:t>
            </w:r>
          </w:p>
        </w:tc>
        <w:tc>
          <w:tcPr>
            <w:tcW w:w="1251" w:type="dxa"/>
            <w:shd w:val="clear" w:color="auto" w:fill="BFBFBF"/>
            <w:vAlign w:val="center"/>
          </w:tcPr>
          <w:p w14:paraId="564B6F98">
            <w:pPr>
              <w:jc w:val="center"/>
            </w:pPr>
            <w:r>
              <w:rPr>
                <w:rFonts w:hint="eastAsia"/>
                <w:b/>
              </w:rPr>
              <w:t>①-③</w:t>
            </w:r>
          </w:p>
        </w:tc>
        <w:tc>
          <w:tcPr>
            <w:tcW w:w="1218" w:type="dxa"/>
            <w:shd w:val="clear" w:color="auto" w:fill="BFBFBF"/>
            <w:vAlign w:val="center"/>
          </w:tcPr>
          <w:p w14:paraId="3FCFE755">
            <w:pPr>
              <w:jc w:val="center"/>
            </w:pPr>
            <w:r>
              <w:rPr>
                <w:rFonts w:hint="eastAsia"/>
                <w:b/>
              </w:rPr>
              <w:t>②-④</w:t>
            </w:r>
          </w:p>
        </w:tc>
      </w:tr>
      <w:tr w14:paraId="4D18D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A8C4A4">
            <w:r>
              <w:rPr>
                <w:rFonts w:hint="eastAsia"/>
              </w:rPr>
              <w:t>过去三个月</w:t>
            </w:r>
          </w:p>
        </w:tc>
        <w:tc>
          <w:tcPr>
            <w:tcW w:w="1101" w:type="dxa"/>
            <w:vAlign w:val="center"/>
          </w:tcPr>
          <w:p w14:paraId="5C02E15C">
            <w:pPr>
              <w:jc w:val="right"/>
            </w:pPr>
            <w:r>
              <w:rPr>
                <w:rFonts w:hint="eastAsia"/>
              </w:rPr>
              <w:t>0.26%</w:t>
            </w:r>
          </w:p>
        </w:tc>
        <w:tc>
          <w:tcPr>
            <w:tcW w:w="1101" w:type="dxa"/>
            <w:vAlign w:val="center"/>
          </w:tcPr>
          <w:p w14:paraId="1B404046">
            <w:pPr>
              <w:jc w:val="right"/>
            </w:pPr>
            <w:r>
              <w:rPr>
                <w:rFonts w:hint="eastAsia"/>
              </w:rPr>
              <w:t>0.23%</w:t>
            </w:r>
          </w:p>
        </w:tc>
        <w:tc>
          <w:tcPr>
            <w:tcW w:w="1101" w:type="dxa"/>
            <w:vAlign w:val="center"/>
          </w:tcPr>
          <w:p w14:paraId="55179603">
            <w:pPr>
              <w:jc w:val="right"/>
            </w:pPr>
            <w:r>
              <w:rPr>
                <w:rFonts w:hint="eastAsia"/>
              </w:rPr>
              <w:t>-0.32%</w:t>
            </w:r>
          </w:p>
        </w:tc>
        <w:tc>
          <w:tcPr>
            <w:tcW w:w="1207" w:type="dxa"/>
            <w:vAlign w:val="center"/>
          </w:tcPr>
          <w:p w14:paraId="561C1B4E">
            <w:pPr>
              <w:jc w:val="right"/>
            </w:pPr>
            <w:r>
              <w:rPr>
                <w:rFonts w:hint="eastAsia"/>
              </w:rPr>
              <w:t>0.14%</w:t>
            </w:r>
          </w:p>
        </w:tc>
        <w:tc>
          <w:tcPr>
            <w:tcW w:w="1251" w:type="dxa"/>
            <w:vAlign w:val="center"/>
          </w:tcPr>
          <w:p w14:paraId="5D4133BD">
            <w:pPr>
              <w:jc w:val="right"/>
            </w:pPr>
            <w:r>
              <w:rPr>
                <w:rFonts w:hint="eastAsia"/>
              </w:rPr>
              <w:t>0.58%</w:t>
            </w:r>
          </w:p>
        </w:tc>
        <w:tc>
          <w:tcPr>
            <w:tcW w:w="1218" w:type="dxa"/>
            <w:vAlign w:val="center"/>
          </w:tcPr>
          <w:p w14:paraId="73CA33CD">
            <w:pPr>
              <w:jc w:val="right"/>
            </w:pPr>
            <w:r>
              <w:rPr>
                <w:rFonts w:hint="eastAsia"/>
              </w:rPr>
              <w:t>0.09%</w:t>
            </w:r>
          </w:p>
        </w:tc>
      </w:tr>
      <w:tr w14:paraId="114D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F9465F">
            <w:r>
              <w:rPr>
                <w:rFonts w:hint="eastAsia"/>
              </w:rPr>
              <w:t>自基金合同生效起至今</w:t>
            </w:r>
          </w:p>
        </w:tc>
        <w:tc>
          <w:tcPr>
            <w:tcW w:w="1101" w:type="dxa"/>
            <w:vAlign w:val="center"/>
          </w:tcPr>
          <w:p w14:paraId="2287AD62">
            <w:pPr>
              <w:jc w:val="right"/>
            </w:pPr>
            <w:r>
              <w:rPr>
                <w:rFonts w:hint="eastAsia"/>
              </w:rPr>
              <w:t>1.43%</w:t>
            </w:r>
          </w:p>
        </w:tc>
        <w:tc>
          <w:tcPr>
            <w:tcW w:w="1101" w:type="dxa"/>
            <w:vAlign w:val="center"/>
          </w:tcPr>
          <w:p w14:paraId="2BF6C130">
            <w:pPr>
              <w:jc w:val="right"/>
            </w:pPr>
            <w:r>
              <w:rPr>
                <w:rFonts w:hint="eastAsia"/>
              </w:rPr>
              <w:t>0.19%</w:t>
            </w:r>
          </w:p>
        </w:tc>
        <w:tc>
          <w:tcPr>
            <w:tcW w:w="1101" w:type="dxa"/>
            <w:vAlign w:val="center"/>
          </w:tcPr>
          <w:p w14:paraId="650A0578">
            <w:pPr>
              <w:jc w:val="right"/>
            </w:pPr>
            <w:r>
              <w:rPr>
                <w:rFonts w:hint="eastAsia"/>
              </w:rPr>
              <w:t>0.31%</w:t>
            </w:r>
          </w:p>
        </w:tc>
        <w:tc>
          <w:tcPr>
            <w:tcW w:w="1207" w:type="dxa"/>
            <w:vAlign w:val="center"/>
          </w:tcPr>
          <w:p w14:paraId="0AE7EDFB">
            <w:pPr>
              <w:jc w:val="right"/>
            </w:pPr>
            <w:r>
              <w:rPr>
                <w:rFonts w:hint="eastAsia"/>
              </w:rPr>
              <w:t>0.14%</w:t>
            </w:r>
          </w:p>
        </w:tc>
        <w:tc>
          <w:tcPr>
            <w:tcW w:w="1251" w:type="dxa"/>
            <w:vAlign w:val="center"/>
          </w:tcPr>
          <w:p w14:paraId="17DDD322">
            <w:pPr>
              <w:jc w:val="right"/>
            </w:pPr>
            <w:r>
              <w:rPr>
                <w:rFonts w:hint="eastAsia"/>
              </w:rPr>
              <w:t>1.12%</w:t>
            </w:r>
          </w:p>
        </w:tc>
        <w:tc>
          <w:tcPr>
            <w:tcW w:w="1218" w:type="dxa"/>
            <w:vAlign w:val="center"/>
          </w:tcPr>
          <w:p w14:paraId="329009C4">
            <w:pPr>
              <w:jc w:val="right"/>
            </w:pPr>
            <w:r>
              <w:rPr>
                <w:rFonts w:hint="eastAsia"/>
              </w:rPr>
              <w:t>0.05%</w:t>
            </w:r>
          </w:p>
        </w:tc>
      </w:tr>
    </w:tbl>
    <w:p w14:paraId="7F38B76E">
      <w:pPr>
        <w:pStyle w:val="28"/>
      </w:pPr>
      <w:bookmarkStart w:id="15" w:name="_Toc15"/>
      <w:r>
        <w:t>自基金合同生效以来基金份额累计净值增长率变动及其与同期业绩比较基准收益率变动的比较</w:t>
      </w:r>
      <w:bookmarkEnd w:id="15"/>
    </w:p>
    <w:p w14:paraId="0A435426">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522187CE">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12E9EAD5">
      <w:pPr>
        <w:pStyle w:val="47"/>
        <w:rPr>
          <w:rFonts w:hint="eastAsia"/>
        </w:rPr>
      </w:pPr>
      <w:r>
        <w:rPr>
          <w:rFonts w:hint="eastAsia"/>
        </w:rPr>
        <w:t>注：本基金合同于2025年8月6日生效，截至本报告期末基金成立未满一年；自基金成立日起6个月内为建仓期，截至报告期末建仓期尚未结束。</w:t>
      </w:r>
    </w:p>
    <w:p w14:paraId="361187CE">
      <w:pPr>
        <w:pStyle w:val="28"/>
      </w:pPr>
      <w:bookmarkStart w:id="16" w:name="_Toc16"/>
      <w:r>
        <w:t>自基金合同生效以来基金每年净值增长率及其与同期业绩比较基准收益率的比较</w:t>
      </w:r>
      <w:bookmarkEnd w:id="16"/>
    </w:p>
    <w:p w14:paraId="202B77F0">
      <w:pPr>
        <w:jc w:val="center"/>
      </w:pPr>
      <w:r>
        <w:drawing>
          <wp:inline distT="0" distB="0" distL="114300" distR="114300">
            <wp:extent cx="5274310" cy="387477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74825"/>
                    </a:xfrm>
                    <a:prstGeom prst="rect">
                      <a:avLst/>
                    </a:prstGeom>
                  </pic:spPr>
                </pic:pic>
              </a:graphicData>
            </a:graphic>
          </wp:inline>
        </w:drawing>
      </w:r>
    </w:p>
    <w:p w14:paraId="12598B30">
      <w:pPr>
        <w:jc w:val="center"/>
      </w:pPr>
      <w:r>
        <w:drawing>
          <wp:inline distT="0" distB="0" distL="114300" distR="114300">
            <wp:extent cx="5274310" cy="3874770"/>
            <wp:effectExtent l="0" t="0" r="254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74825"/>
                    </a:xfrm>
                    <a:prstGeom prst="rect">
                      <a:avLst/>
                    </a:prstGeom>
                  </pic:spPr>
                </pic:pic>
              </a:graphicData>
            </a:graphic>
          </wp:inline>
        </w:drawing>
      </w:r>
    </w:p>
    <w:p w14:paraId="68D58BD4">
      <w:pPr>
        <w:pStyle w:val="47"/>
        <w:rPr>
          <w:rFonts w:hint="eastAsia"/>
        </w:rPr>
      </w:pPr>
      <w:r>
        <w:rPr>
          <w:rFonts w:hint="eastAsia"/>
        </w:rPr>
        <w:t>注：基金合同生效当年按实际存续期计算，不按整个自然年度进行折算。</w:t>
      </w:r>
    </w:p>
    <w:p w14:paraId="0A0DDE98">
      <w:pPr>
        <w:pStyle w:val="23"/>
      </w:pPr>
      <w:bookmarkStart w:id="17" w:name="_Toc27466"/>
      <w:r>
        <w:t>过去三年基金的利润分配情况</w:t>
      </w:r>
      <w:bookmarkEnd w:id="17"/>
      <w:r>
        <w:t xml:space="preserve"> </w:t>
      </w:r>
    </w:p>
    <w:p w14:paraId="6B7EFD71">
      <w:pPr>
        <w:pStyle w:val="18"/>
        <w:rPr>
          <w:rFonts w:hint="eastAsia"/>
        </w:rPr>
      </w:pPr>
      <w:r>
        <w:rPr>
          <w:rFonts w:hint="eastAsia"/>
        </w:rPr>
        <w:t>本基金于2025年8月6日成立，自基金合同生效日以来未进行利润分配。</w:t>
      </w:r>
    </w:p>
    <w:p w14:paraId="5FFA44D9">
      <w:pPr>
        <w:pStyle w:val="26"/>
      </w:pPr>
      <w:bookmarkStart w:id="18" w:name="_Toc5401"/>
      <w:r>
        <w:t>管理人报告</w:t>
      </w:r>
      <w:bookmarkEnd w:id="18"/>
    </w:p>
    <w:p w14:paraId="747EEDB5">
      <w:pPr>
        <w:pStyle w:val="23"/>
      </w:pPr>
      <w:bookmarkStart w:id="19" w:name="_Toc29682"/>
      <w:r>
        <w:t>基金管理人及基金经理情况</w:t>
      </w:r>
      <w:bookmarkEnd w:id="19"/>
    </w:p>
    <w:p w14:paraId="0A46463B">
      <w:pPr>
        <w:pStyle w:val="28"/>
      </w:pPr>
      <w:bookmarkStart w:id="20" w:name="_Toc20"/>
      <w:r>
        <w:t>基金管理人及其管理基金的经验</w:t>
      </w:r>
      <w:bookmarkEnd w:id="20"/>
    </w:p>
    <w:p w14:paraId="0B527F0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4D0FC7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D45264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08EE24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8C3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61A66E5">
            <w:pPr>
              <w:jc w:val="center"/>
            </w:pPr>
            <w:r>
              <w:rPr>
                <w:rFonts w:hint="eastAsia"/>
                <w:b/>
              </w:rPr>
              <w:t>姓名</w:t>
            </w:r>
          </w:p>
        </w:tc>
        <w:tc>
          <w:tcPr>
            <w:tcW w:w="830" w:type="dxa"/>
            <w:vMerge w:val="restart"/>
            <w:shd w:val="clear" w:color="auto" w:fill="BFBFBF"/>
            <w:vAlign w:val="center"/>
          </w:tcPr>
          <w:p w14:paraId="030E3870">
            <w:pPr>
              <w:jc w:val="center"/>
            </w:pPr>
            <w:r>
              <w:rPr>
                <w:rFonts w:hint="eastAsia"/>
                <w:b/>
              </w:rPr>
              <w:t>职务</w:t>
            </w:r>
          </w:p>
        </w:tc>
        <w:tc>
          <w:tcPr>
            <w:tcW w:w="1090" w:type="dxa"/>
            <w:gridSpan w:val="2"/>
            <w:shd w:val="clear" w:color="auto" w:fill="BFBFBF"/>
            <w:vAlign w:val="center"/>
          </w:tcPr>
          <w:p w14:paraId="05D1731E">
            <w:pPr>
              <w:jc w:val="center"/>
            </w:pPr>
            <w:r>
              <w:rPr>
                <w:rFonts w:hint="eastAsia"/>
                <w:b/>
              </w:rPr>
              <w:t>任本基金的基金经理（助理）期限</w:t>
            </w:r>
          </w:p>
        </w:tc>
        <w:tc>
          <w:tcPr>
            <w:tcW w:w="686" w:type="dxa"/>
            <w:vMerge w:val="restart"/>
            <w:shd w:val="clear" w:color="auto" w:fill="BFBFBF"/>
            <w:vAlign w:val="center"/>
          </w:tcPr>
          <w:p w14:paraId="1D698600">
            <w:pPr>
              <w:jc w:val="center"/>
            </w:pPr>
            <w:r>
              <w:rPr>
                <w:rFonts w:hint="eastAsia"/>
                <w:b/>
              </w:rPr>
              <w:t>证券从业年限</w:t>
            </w:r>
          </w:p>
        </w:tc>
        <w:tc>
          <w:tcPr>
            <w:tcW w:w="3765" w:type="dxa"/>
            <w:vMerge w:val="restart"/>
            <w:shd w:val="clear" w:color="auto" w:fill="BFBFBF"/>
            <w:vAlign w:val="center"/>
          </w:tcPr>
          <w:p w14:paraId="04E4EBC6">
            <w:pPr>
              <w:jc w:val="center"/>
            </w:pPr>
            <w:r>
              <w:rPr>
                <w:rFonts w:hint="eastAsia"/>
                <w:b/>
              </w:rPr>
              <w:t>说明</w:t>
            </w:r>
          </w:p>
        </w:tc>
      </w:tr>
      <w:tr w14:paraId="2B02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DFFDAD7"/>
        </w:tc>
        <w:tc>
          <w:tcPr>
            <w:tcW w:w="830" w:type="dxa"/>
            <w:vMerge w:val="continue"/>
            <w:vAlign w:val="center"/>
          </w:tcPr>
          <w:p w14:paraId="7CDCB5CB"/>
        </w:tc>
        <w:tc>
          <w:tcPr>
            <w:tcW w:w="1090" w:type="dxa"/>
            <w:shd w:val="clear" w:color="auto" w:fill="BFBFBF"/>
            <w:vAlign w:val="center"/>
          </w:tcPr>
          <w:p w14:paraId="5DCBA4F6">
            <w:pPr>
              <w:jc w:val="center"/>
            </w:pPr>
            <w:r>
              <w:rPr>
                <w:rFonts w:hint="eastAsia"/>
                <w:b/>
              </w:rPr>
              <w:t>任职日期</w:t>
            </w:r>
          </w:p>
        </w:tc>
        <w:tc>
          <w:tcPr>
            <w:tcW w:w="1090" w:type="dxa"/>
            <w:shd w:val="clear" w:color="auto" w:fill="BFBFBF"/>
            <w:vAlign w:val="center"/>
          </w:tcPr>
          <w:p w14:paraId="29E4D756">
            <w:pPr>
              <w:jc w:val="center"/>
            </w:pPr>
            <w:r>
              <w:rPr>
                <w:rFonts w:hint="eastAsia"/>
                <w:b/>
              </w:rPr>
              <w:t>离任日期</w:t>
            </w:r>
          </w:p>
        </w:tc>
        <w:tc>
          <w:tcPr>
            <w:tcW w:w="686" w:type="dxa"/>
            <w:vMerge w:val="continue"/>
            <w:vAlign w:val="center"/>
          </w:tcPr>
          <w:p w14:paraId="0CAB2CA8"/>
        </w:tc>
        <w:tc>
          <w:tcPr>
            <w:tcW w:w="3765" w:type="dxa"/>
            <w:vMerge w:val="continue"/>
            <w:vAlign w:val="center"/>
          </w:tcPr>
          <w:p w14:paraId="6BE0A409"/>
        </w:tc>
      </w:tr>
      <w:tr w14:paraId="43BE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120A01B">
            <w:r>
              <w:rPr>
                <w:rFonts w:hint="eastAsia"/>
              </w:rPr>
              <w:t>刘树坤</w:t>
            </w:r>
          </w:p>
        </w:tc>
        <w:tc>
          <w:tcPr>
            <w:tcW w:w="830" w:type="dxa"/>
            <w:vAlign w:val="center"/>
          </w:tcPr>
          <w:p w14:paraId="0CA0EF01">
            <w:r>
              <w:rPr>
                <w:rFonts w:hint="eastAsia"/>
              </w:rPr>
              <w:t>本基金基金经理</w:t>
            </w:r>
          </w:p>
        </w:tc>
        <w:tc>
          <w:tcPr>
            <w:tcW w:w="1090" w:type="dxa"/>
            <w:vAlign w:val="center"/>
          </w:tcPr>
          <w:p w14:paraId="15304AF4">
            <w:r>
              <w:rPr>
                <w:rFonts w:hint="eastAsia"/>
              </w:rPr>
              <w:t>2025年8月6日</w:t>
            </w:r>
          </w:p>
        </w:tc>
        <w:tc>
          <w:tcPr>
            <w:tcW w:w="1090" w:type="dxa"/>
            <w:vAlign w:val="center"/>
          </w:tcPr>
          <w:p w14:paraId="74BB3E87">
            <w:pPr>
              <w:jc w:val="right"/>
            </w:pPr>
            <w:r>
              <w:rPr>
                <w:rFonts w:hint="eastAsia"/>
              </w:rPr>
              <w:t>-</w:t>
            </w:r>
          </w:p>
        </w:tc>
        <w:tc>
          <w:tcPr>
            <w:tcW w:w="686" w:type="dxa"/>
            <w:vAlign w:val="center"/>
          </w:tcPr>
          <w:p w14:paraId="07A650B9">
            <w:r>
              <w:rPr>
                <w:rFonts w:hint="eastAsia"/>
              </w:rPr>
              <w:t>21年</w:t>
            </w:r>
          </w:p>
        </w:tc>
        <w:tc>
          <w:tcPr>
            <w:tcW w:w="3765" w:type="dxa"/>
            <w:vAlign w:val="center"/>
          </w:tcPr>
          <w:p w14:paraId="37B3ED5A">
            <w:pPr>
              <w:jc w:val="both"/>
            </w:pPr>
            <w:r>
              <w:rPr>
                <w:rFonts w:hint="eastAsia"/>
              </w:rPr>
              <w:t>中国国籍，中国农业大学农业经济管理专业硕士，具有基金从业资格。曾任联合证券研究所首席分析师；2008年11月加入南方基金，曾任权益研究部资深研究员，负责食品饮料行业研究；2011年6月20日至2015年2月11日，任投资经理助理；2015年2月11日至2021年2月5日，任投资经理；2021年2月5日至2023年3月15日，任南方瑞利混合基金经理；2021年2月5日至今，兼任投资经理；2021年12月2日至今，任南方誉盈一年持有混合基金经理；2022年5月6日至今，任南方誉稳一年持有混合基金经理；2025年1月23日至今，任南方悦享稳健添利债券基金经理；2025年8月6日至今，任南方益稳稳健增利债券基金经理。</w:t>
            </w:r>
          </w:p>
        </w:tc>
      </w:tr>
      <w:tr w14:paraId="4B0C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0127299">
            <w:r>
              <w:rPr>
                <w:rFonts w:hint="eastAsia"/>
              </w:rPr>
              <w:t>刘益成</w:t>
            </w:r>
          </w:p>
        </w:tc>
        <w:tc>
          <w:tcPr>
            <w:tcW w:w="830" w:type="dxa"/>
            <w:vAlign w:val="center"/>
          </w:tcPr>
          <w:p w14:paraId="32B8DA9D">
            <w:r>
              <w:rPr>
                <w:rFonts w:hint="eastAsia"/>
              </w:rPr>
              <w:t>本基金基金经理</w:t>
            </w:r>
          </w:p>
        </w:tc>
        <w:tc>
          <w:tcPr>
            <w:tcW w:w="1090" w:type="dxa"/>
            <w:vAlign w:val="center"/>
          </w:tcPr>
          <w:p w14:paraId="2C47DCDE">
            <w:r>
              <w:rPr>
                <w:rFonts w:hint="eastAsia"/>
              </w:rPr>
              <w:t>2025年8月6日</w:t>
            </w:r>
          </w:p>
        </w:tc>
        <w:tc>
          <w:tcPr>
            <w:tcW w:w="1090" w:type="dxa"/>
            <w:vAlign w:val="center"/>
          </w:tcPr>
          <w:p w14:paraId="351099EB">
            <w:pPr>
              <w:jc w:val="right"/>
            </w:pPr>
            <w:r>
              <w:rPr>
                <w:rFonts w:hint="eastAsia"/>
              </w:rPr>
              <w:t>-</w:t>
            </w:r>
          </w:p>
        </w:tc>
        <w:tc>
          <w:tcPr>
            <w:tcW w:w="686" w:type="dxa"/>
            <w:vAlign w:val="center"/>
          </w:tcPr>
          <w:p w14:paraId="078D1245">
            <w:r>
              <w:rPr>
                <w:rFonts w:hint="eastAsia"/>
              </w:rPr>
              <w:t>17年</w:t>
            </w:r>
          </w:p>
        </w:tc>
        <w:tc>
          <w:tcPr>
            <w:tcW w:w="3765" w:type="dxa"/>
            <w:vAlign w:val="center"/>
          </w:tcPr>
          <w:p w14:paraId="59045B0E">
            <w:pPr>
              <w:jc w:val="both"/>
            </w:pPr>
            <w:r>
              <w:rPr>
                <w:rFonts w:hint="eastAsia"/>
              </w:rPr>
              <w:t>中国国籍，北京大学计算机应用专业硕士，具有基金从业资格。曾担任招商银行金融市场部债券交易员、投资账户经理助理、投资经理。2014年1月加入南方基金；2014年6月10日至2022年3月2日，任投资经理；2022年3月2日至今，任南方誉盈一年持有混合基金经理；2022年12月23日至今，任南方誉稳一年持有混合基金经理；2025年6月13日至今，任南方宝元债券、南方致远混合基金经理；2025年8月6日至今，任南方益稳稳健增利债券基金经理；2025年11月14日至今，任南方贤元一年持有债券基金经理。</w:t>
            </w:r>
          </w:p>
        </w:tc>
      </w:tr>
    </w:tbl>
    <w:p w14:paraId="0A5B6999">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879189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86BEB9F">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A2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B2EBEA">
            <w:r>
              <w:rPr>
                <w:rFonts w:hint="eastAsia"/>
              </w:rPr>
              <w:t>姓名</w:t>
            </w:r>
          </w:p>
        </w:tc>
        <w:tc>
          <w:tcPr>
            <w:tcW w:w="1661" w:type="dxa"/>
            <w:vAlign w:val="center"/>
          </w:tcPr>
          <w:p w14:paraId="21F7757B">
            <w:r>
              <w:rPr>
                <w:rFonts w:hint="eastAsia"/>
              </w:rPr>
              <w:t>产品类型</w:t>
            </w:r>
          </w:p>
        </w:tc>
        <w:tc>
          <w:tcPr>
            <w:tcW w:w="1661" w:type="dxa"/>
            <w:vAlign w:val="center"/>
          </w:tcPr>
          <w:p w14:paraId="48C69986">
            <w:r>
              <w:rPr>
                <w:rFonts w:hint="eastAsia"/>
              </w:rPr>
              <w:t>产品数量（只）</w:t>
            </w:r>
          </w:p>
        </w:tc>
        <w:tc>
          <w:tcPr>
            <w:tcW w:w="1661" w:type="dxa"/>
            <w:vAlign w:val="center"/>
          </w:tcPr>
          <w:p w14:paraId="25FE5075">
            <w:r>
              <w:rPr>
                <w:rFonts w:hint="eastAsia"/>
              </w:rPr>
              <w:t>资产净值(元)</w:t>
            </w:r>
          </w:p>
        </w:tc>
        <w:tc>
          <w:tcPr>
            <w:tcW w:w="1661" w:type="dxa"/>
            <w:vAlign w:val="center"/>
          </w:tcPr>
          <w:p w14:paraId="347C6CC4">
            <w:r>
              <w:rPr>
                <w:rFonts w:hint="eastAsia"/>
              </w:rPr>
              <w:t>任职时间</w:t>
            </w:r>
          </w:p>
        </w:tc>
      </w:tr>
      <w:tr w14:paraId="79CA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B5436D">
            <w:r>
              <w:rPr>
                <w:rFonts w:hint="eastAsia"/>
              </w:rPr>
              <w:t>刘树坤</w:t>
            </w:r>
          </w:p>
        </w:tc>
        <w:tc>
          <w:tcPr>
            <w:tcW w:w="1661" w:type="dxa"/>
            <w:vAlign w:val="center"/>
          </w:tcPr>
          <w:p w14:paraId="18390CA4">
            <w:r>
              <w:rPr>
                <w:rFonts w:hint="eastAsia"/>
              </w:rPr>
              <w:t>公募基金</w:t>
            </w:r>
          </w:p>
        </w:tc>
        <w:tc>
          <w:tcPr>
            <w:tcW w:w="1661" w:type="dxa"/>
            <w:vAlign w:val="center"/>
          </w:tcPr>
          <w:p w14:paraId="2CC54681">
            <w:pPr>
              <w:jc w:val="right"/>
            </w:pPr>
            <w:r>
              <w:rPr>
                <w:rFonts w:hint="eastAsia"/>
              </w:rPr>
              <w:t>4</w:t>
            </w:r>
          </w:p>
        </w:tc>
        <w:tc>
          <w:tcPr>
            <w:tcW w:w="1661" w:type="dxa"/>
            <w:vAlign w:val="center"/>
          </w:tcPr>
          <w:p w14:paraId="4C172FC9">
            <w:pPr>
              <w:jc w:val="right"/>
            </w:pPr>
            <w:r>
              <w:rPr>
                <w:rFonts w:hint="eastAsia"/>
              </w:rPr>
              <w:t>5,521,628,411.83</w:t>
            </w:r>
          </w:p>
        </w:tc>
        <w:tc>
          <w:tcPr>
            <w:tcW w:w="1661" w:type="dxa"/>
            <w:vAlign w:val="center"/>
          </w:tcPr>
          <w:p w14:paraId="33E4F5E8">
            <w:r>
              <w:rPr>
                <w:rFonts w:hint="eastAsia"/>
              </w:rPr>
              <w:t>2021年02月05日</w:t>
            </w:r>
          </w:p>
        </w:tc>
      </w:tr>
      <w:tr w14:paraId="0FD1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CA71D0"/>
        </w:tc>
        <w:tc>
          <w:tcPr>
            <w:tcW w:w="1661" w:type="dxa"/>
            <w:vAlign w:val="center"/>
          </w:tcPr>
          <w:p w14:paraId="44F6B9BC">
            <w:r>
              <w:rPr>
                <w:rFonts w:hint="eastAsia"/>
              </w:rPr>
              <w:t>私募资产管理计划</w:t>
            </w:r>
          </w:p>
        </w:tc>
        <w:tc>
          <w:tcPr>
            <w:tcW w:w="1661" w:type="dxa"/>
            <w:vAlign w:val="center"/>
          </w:tcPr>
          <w:p w14:paraId="577F06C2">
            <w:pPr>
              <w:jc w:val="right"/>
            </w:pPr>
            <w:r>
              <w:rPr>
                <w:rFonts w:hint="eastAsia"/>
              </w:rPr>
              <w:t>5</w:t>
            </w:r>
          </w:p>
        </w:tc>
        <w:tc>
          <w:tcPr>
            <w:tcW w:w="1661" w:type="dxa"/>
            <w:vAlign w:val="center"/>
          </w:tcPr>
          <w:p w14:paraId="13B382FC">
            <w:pPr>
              <w:jc w:val="right"/>
            </w:pPr>
            <w:r>
              <w:rPr>
                <w:rFonts w:hint="eastAsia"/>
              </w:rPr>
              <w:t>4,045,343,972.59</w:t>
            </w:r>
          </w:p>
        </w:tc>
        <w:tc>
          <w:tcPr>
            <w:tcW w:w="1661" w:type="dxa"/>
            <w:vAlign w:val="center"/>
          </w:tcPr>
          <w:p w14:paraId="00563569">
            <w:r>
              <w:rPr>
                <w:rFonts w:hint="eastAsia"/>
              </w:rPr>
              <w:t>2015年04月07日</w:t>
            </w:r>
          </w:p>
        </w:tc>
      </w:tr>
      <w:tr w14:paraId="2304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817D7F"/>
        </w:tc>
        <w:tc>
          <w:tcPr>
            <w:tcW w:w="1661" w:type="dxa"/>
            <w:vAlign w:val="center"/>
          </w:tcPr>
          <w:p w14:paraId="34D40266">
            <w:r>
              <w:rPr>
                <w:rFonts w:hint="eastAsia"/>
              </w:rPr>
              <w:t>其他组合</w:t>
            </w:r>
          </w:p>
        </w:tc>
        <w:tc>
          <w:tcPr>
            <w:tcW w:w="1661" w:type="dxa"/>
            <w:vAlign w:val="center"/>
          </w:tcPr>
          <w:p w14:paraId="3158ADA6">
            <w:pPr>
              <w:jc w:val="right"/>
            </w:pPr>
            <w:r>
              <w:rPr>
                <w:rFonts w:hint="eastAsia"/>
              </w:rPr>
              <w:t>87</w:t>
            </w:r>
          </w:p>
        </w:tc>
        <w:tc>
          <w:tcPr>
            <w:tcW w:w="1661" w:type="dxa"/>
            <w:vAlign w:val="center"/>
          </w:tcPr>
          <w:p w14:paraId="23F628C4">
            <w:pPr>
              <w:jc w:val="right"/>
            </w:pPr>
            <w:r>
              <w:rPr>
                <w:rFonts w:hint="eastAsia"/>
              </w:rPr>
              <w:t>155,432,271,505.34</w:t>
            </w:r>
          </w:p>
        </w:tc>
        <w:tc>
          <w:tcPr>
            <w:tcW w:w="1661" w:type="dxa"/>
            <w:vAlign w:val="center"/>
          </w:tcPr>
          <w:p w14:paraId="5C49E61C">
            <w:r>
              <w:rPr>
                <w:rFonts w:hint="eastAsia"/>
              </w:rPr>
              <w:t>2015年03月02日</w:t>
            </w:r>
          </w:p>
        </w:tc>
      </w:tr>
      <w:tr w14:paraId="11C9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04A6DD"/>
        </w:tc>
        <w:tc>
          <w:tcPr>
            <w:tcW w:w="1661" w:type="dxa"/>
            <w:vAlign w:val="center"/>
          </w:tcPr>
          <w:p w14:paraId="13D6F2DF">
            <w:r>
              <w:rPr>
                <w:rFonts w:hint="eastAsia"/>
              </w:rPr>
              <w:t>合计</w:t>
            </w:r>
          </w:p>
        </w:tc>
        <w:tc>
          <w:tcPr>
            <w:tcW w:w="1661" w:type="dxa"/>
            <w:vAlign w:val="center"/>
          </w:tcPr>
          <w:p w14:paraId="233FF65C">
            <w:pPr>
              <w:jc w:val="right"/>
            </w:pPr>
            <w:r>
              <w:rPr>
                <w:rFonts w:hint="eastAsia"/>
              </w:rPr>
              <w:t>96</w:t>
            </w:r>
          </w:p>
        </w:tc>
        <w:tc>
          <w:tcPr>
            <w:tcW w:w="1661" w:type="dxa"/>
            <w:vAlign w:val="center"/>
          </w:tcPr>
          <w:p w14:paraId="6AD682D7">
            <w:pPr>
              <w:jc w:val="right"/>
            </w:pPr>
            <w:r>
              <w:rPr>
                <w:rFonts w:hint="eastAsia"/>
              </w:rPr>
              <w:t>164,999,243,889.76</w:t>
            </w:r>
          </w:p>
        </w:tc>
        <w:tc>
          <w:tcPr>
            <w:tcW w:w="1661" w:type="dxa"/>
            <w:vAlign w:val="center"/>
          </w:tcPr>
          <w:p w14:paraId="27959447">
            <w:pPr>
              <w:jc w:val="right"/>
            </w:pPr>
            <w:r>
              <w:rPr>
                <w:rFonts w:hint="eastAsia"/>
              </w:rPr>
              <w:t>-</w:t>
            </w:r>
          </w:p>
        </w:tc>
      </w:tr>
    </w:tbl>
    <w:p w14:paraId="5E27CE4C">
      <w:pPr>
        <w:pStyle w:val="47"/>
        <w:rPr>
          <w:rFonts w:hint="eastAsia"/>
        </w:rPr>
      </w:pPr>
      <w:r>
        <w:rPr>
          <w:rFonts w:hint="eastAsia"/>
        </w:rPr>
        <w:t>注：报告期内，基金经理（刘树坤）不再担任6个其他组合的投资经理职务，离任日期分别为2025年09月18日、2025年10月13日、2025年12月23日。</w:t>
      </w:r>
    </w:p>
    <w:p w14:paraId="5E7F43A6">
      <w:pPr>
        <w:pStyle w:val="28"/>
      </w:pPr>
      <w:bookmarkStart w:id="23" w:name="_Toc23"/>
      <w:r>
        <w:t>基金经理薪酬机制</w:t>
      </w:r>
      <w:bookmarkEnd w:id="23"/>
    </w:p>
    <w:p w14:paraId="62A1A0C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E71AC5A">
      <w:pPr>
        <w:pStyle w:val="23"/>
      </w:pPr>
      <w:bookmarkStart w:id="24" w:name="_Toc18504"/>
      <w:r>
        <w:t>管理人对报告期内本基金运作遵规守信情况的说明</w:t>
      </w:r>
      <w:bookmarkEnd w:id="24"/>
      <w:r>
        <w:t xml:space="preserve"> </w:t>
      </w:r>
    </w:p>
    <w:p w14:paraId="418E93F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51F68E1">
      <w:pPr>
        <w:pStyle w:val="23"/>
      </w:pPr>
      <w:bookmarkStart w:id="25" w:name="_Toc10137"/>
      <w:r>
        <w:t>管理人对报告期内公平交易情况的专项说明</w:t>
      </w:r>
      <w:bookmarkEnd w:id="25"/>
    </w:p>
    <w:p w14:paraId="0069B8F8">
      <w:pPr>
        <w:pStyle w:val="28"/>
      </w:pPr>
      <w:bookmarkStart w:id="26" w:name="_Toc26"/>
      <w:r>
        <w:t>公平交易制度和控制方法</w:t>
      </w:r>
      <w:bookmarkEnd w:id="26"/>
    </w:p>
    <w:p w14:paraId="3AD36DF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3C3BF09">
      <w:pPr>
        <w:pStyle w:val="28"/>
      </w:pPr>
      <w:bookmarkStart w:id="27" w:name="_Toc27"/>
      <w:r>
        <w:t>公平交易制度的执行情况</w:t>
      </w:r>
      <w:bookmarkEnd w:id="27"/>
    </w:p>
    <w:p w14:paraId="6B67230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11581E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74CAE73">
      <w:pPr>
        <w:pStyle w:val="35"/>
      </w:pPr>
      <w:bookmarkStart w:id="28" w:name="_Toc28"/>
      <w:r>
        <w:t>增加执行的基金经理公平交易制度执行情况及公平交易管理情况</w:t>
      </w:r>
      <w:bookmarkEnd w:id="28"/>
    </w:p>
    <w:p w14:paraId="78B05F5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6F9B684">
      <w:pPr>
        <w:pStyle w:val="28"/>
      </w:pPr>
      <w:bookmarkStart w:id="29" w:name="_Toc29"/>
      <w:r>
        <w:t>异常交易行为的专项说明</w:t>
      </w:r>
      <w:bookmarkEnd w:id="29"/>
    </w:p>
    <w:p w14:paraId="1CBE239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5E0304F">
      <w:pPr>
        <w:pStyle w:val="23"/>
      </w:pPr>
      <w:bookmarkStart w:id="30" w:name="_Toc10205"/>
      <w:r>
        <w:t>管理人对报告期内基金的投资策略和业绩表现的说明</w:t>
      </w:r>
      <w:bookmarkEnd w:id="30"/>
    </w:p>
    <w:p w14:paraId="21187E15">
      <w:pPr>
        <w:pStyle w:val="28"/>
      </w:pPr>
      <w:bookmarkStart w:id="31" w:name="_Toc31"/>
      <w:r>
        <w:t>报告期内基金投资策略和运作分析</w:t>
      </w:r>
      <w:bookmarkEnd w:id="31"/>
    </w:p>
    <w:p w14:paraId="27AD8D4E">
      <w:pPr>
        <w:pStyle w:val="18"/>
        <w:rPr>
          <w:rFonts w:hint="eastAsia"/>
        </w:rPr>
      </w:pPr>
      <w:r>
        <w:rPr>
          <w:rFonts w:hint="eastAsia"/>
        </w:rPr>
        <w:t>2025年国际局势变乱交织、动荡加剧，国内加强超常规逆周期调节，实施更加积极的财政政策和适度宽松的货币政策，最终全年经济平稳运行；“新国九条”落地生效，投资人回报得到加强，中长期资金稳步入市，稳定的经济和友好的政策态度为资本市场运行提供良好环境，全年A股表现亮眼，万得全A指数录得27%的回报。结构方面，年初DeepSeek的AI大模型取得突破，中美科技企业持续迭代升级模型，AI算力需求迎来爆发式增长，中美科技大厂纷纷追加大额资本开支，带动以通信、电子板块为代表的科技方向大幅上涨，成为全年主线；有色金属板块则是在美元信用走弱、全球冲突加剧的背景下，定价体系从过去的实物资产、金融资产扩展至战略储备资产获取定价溢价，全年涨幅超过120%。节奏方面，全年大部分时间市场表现稳健极积，7月份国内“反内卷”政策、雅下水电工程开工等利好政策出台，外部中美贸易谈判取得进展改善情绪，内外部共振，市场在7、8月成交逐步放大，开始加速上涨；市场在4月份美国突发对全球实施“对等关税”冲击后出现较大幅度下跌，但随后不久即收复失地。</w:t>
      </w:r>
    </w:p>
    <w:p w14:paraId="5F161A3D">
      <w:pPr>
        <w:pStyle w:val="18"/>
        <w:rPr>
          <w:rFonts w:hint="eastAsia"/>
        </w:rPr>
      </w:pPr>
      <w:r>
        <w:rPr>
          <w:rFonts w:hint="eastAsia"/>
        </w:rPr>
        <w:t>债券市场全年震荡偏弱，背后逻辑是2025年是财政大年，全年社融增速回升扩展，从而带来收益率上行的压力；此外风险偏好在年内有明显的提升，驱动资金从债券向股票切换，削弱了债券的投资需求。3月份收益率在资金面抬升的主导下显著上行，收益率达到年内高点，此后随着美国“对等关税”政策压低风险偏好，配合市场资金面的边际宽松，收益率重回下行，直至7月份“反内卷”政策出台引发市场对通胀上行的担忧，同时7月开始A股加速上涨资金流向股票市场，收益率出现年内第二轮下跌。</w:t>
      </w:r>
    </w:p>
    <w:p w14:paraId="6BE81FF6">
      <w:pPr>
        <w:pStyle w:val="18"/>
        <w:rPr>
          <w:rFonts w:hint="eastAsia"/>
        </w:rPr>
      </w:pPr>
      <w:r>
        <w:rPr>
          <w:rFonts w:hint="eastAsia"/>
        </w:rPr>
        <w:t>南方益稳基金成立于8月初，彼时A股情绪较高，处于加速上涨的阶段，另一端债券则处于年内第二轮下跌过程中，组合适时灵活调整投资思路，阶段性提高风险偏好，加快股票建仓的同时延缓债券的建仓，股票建仓板块包括科技、医药、有色、化工等板块，组合短时间完成股票建仓，较好的把握了下半年市场的上涨机会，持仓结构也契合市场风格，年底在保持基础仓位的基础上根据相对价值进行了一定的持仓再平衡；债券则在市场经过一定幅度调整后逐步完成建仓，之后年底收益率下行，也获得了较好的投资收益。</w:t>
      </w:r>
    </w:p>
    <w:p w14:paraId="6E5AE346">
      <w:pPr>
        <w:pStyle w:val="28"/>
      </w:pPr>
      <w:bookmarkStart w:id="32" w:name="_Toc32"/>
      <w:r>
        <w:t>报告期内基金的业绩表现</w:t>
      </w:r>
      <w:bookmarkEnd w:id="32"/>
    </w:p>
    <w:p w14:paraId="4DD333DF">
      <w:pPr>
        <w:pStyle w:val="18"/>
        <w:rPr>
          <w:rFonts w:hint="eastAsia"/>
        </w:rPr>
      </w:pPr>
      <w:r>
        <w:rPr>
          <w:rFonts w:hint="eastAsia"/>
        </w:rPr>
        <w:t>截至报告期末，本基金A份额净值为1.0155元，报告期内，份额净值增长率为1.55%，同期业绩基准增长率为0.31%；本基金C份额净值为1.0143元，报告期内，份额净值增长率为1.43%，同期业绩基准增长率为0.31%。</w:t>
      </w:r>
    </w:p>
    <w:p w14:paraId="3CB89812">
      <w:pPr>
        <w:pStyle w:val="23"/>
      </w:pPr>
      <w:bookmarkStart w:id="33" w:name="_Toc29405"/>
      <w:r>
        <w:t>管理人对宏观经济、证券市场及行业走势的简要展望</w:t>
      </w:r>
      <w:bookmarkEnd w:id="33"/>
    </w:p>
    <w:p w14:paraId="6B3FE329">
      <w:pPr>
        <w:pStyle w:val="18"/>
        <w:rPr>
          <w:rFonts w:hint="eastAsia"/>
        </w:rPr>
      </w:pPr>
      <w:r>
        <w:rPr>
          <w:rFonts w:hint="eastAsia"/>
        </w:rPr>
        <w:t>展望2026年，国际秩序继续接受挑战，但中美两国有多场高级别会晤机会，预计两国关系边际回暖，海外因素对国内市场影响不大；作为“十五五”规划的开局之年，经济增长预计在合理区间小幅波动，受益于“反内卷”政策的落地生效，通胀水平将出现一定改善，从而推动名义增速上升，提振市场信心。财政政策积极有为，保持一定支出强度，但因为高基数原因社融增速将小幅下行；货币政策延续适度宽松定调，政策利率有进一步下调空间。经济基本面总体平稳向好，为市场的运行提供良好基础。</w:t>
      </w:r>
    </w:p>
    <w:p w14:paraId="2FD8B15A">
      <w:pPr>
        <w:pStyle w:val="18"/>
        <w:rPr>
          <w:rFonts w:hint="eastAsia"/>
        </w:rPr>
      </w:pPr>
      <w:r>
        <w:rPr>
          <w:rFonts w:hint="eastAsia"/>
        </w:rPr>
        <w:t>自2024年“9·24行情”市场反转以来，本轮市场上涨已持续一年多，上涨幅度也较为可观，但在当前时点，从大类资产配置的角度来看股票资产仍然相对占优，我们认为下一阶段的市场仍然大有可为：</w:t>
      </w:r>
    </w:p>
    <w:p w14:paraId="23534954">
      <w:pPr>
        <w:pStyle w:val="18"/>
        <w:rPr>
          <w:rFonts w:hint="eastAsia"/>
        </w:rPr>
      </w:pPr>
      <w:r>
        <w:rPr>
          <w:rFonts w:hint="eastAsia"/>
        </w:rPr>
        <w:t>（一）首先市场的风险可控。第一、估值是评估资产风险的有效指标，从包括市净率、股息率在内的绝对估值指标看，目前A股主要指数估值水平健康合理，并没有泡沫化；从相对估值指标看，FED模型股权风险溢价处于历史P75分位水平，显示股票资产投资价值更高。第二、年初以来市场加速上涨，市场参与者通过多种措施提前释放风险，这都属于市场情绪高涨时的主动降温行为，并不改变“924”以来维护资本市场的政策取向，友好的政策环境将有力支持市场平稳运行。第三、情绪指标是监测市场风险的温度计，市场高点往往都对应着成交量的急剧放大和全市场的狂热，投资箴言“买在无人问津处，卖在人声鼎沸时”说的正是这个道理，而目前的市场情绪远远未到狂热的程度。</w:t>
      </w:r>
    </w:p>
    <w:p w14:paraId="7AE289F8">
      <w:pPr>
        <w:pStyle w:val="18"/>
        <w:rPr>
          <w:rFonts w:hint="eastAsia"/>
        </w:rPr>
      </w:pPr>
      <w:r>
        <w:rPr>
          <w:rFonts w:hint="eastAsia"/>
        </w:rPr>
        <w:t>（二）其次我们认为市场仍有机会进一步上行，驱动因素包括：第一、从长期叙事的角度，一国的资本市场表现应当与该国在全球的竞争力相匹配，中国制造业的全球领先没有争议，除此之外，近年来中国在人工智能、生物医药、人形机器人、军事工业、文化产业等尖端科技与文化领域持续取得突破，全球竞争力在显著提高，形成G2共治新叙事，但权益市场并未充分体现，中国资产具备系统性重估的机会。第二、中国居民、机构部门在权益资产显著低配，“资产荒”背景下权益资产是资金选择的重要方向，2026年有大量银行定期存款到期，一定会有部分资金分流至权益资产，过去一年含权混合债基规模大幅增长，即体现出资金对含权资产的偏好；此外，“大力推动中长期资金入市”是新国九条的重要内容，我们已经看到社保基金、养老基金、保险资金等长期资金流入市场，资金的持续流入将对市场形成支撑。第三、近年，我们观察到中国经济、资本市场呈现以下新变化：1）经济增速换挡后，经济增长进入中高增速、中低波动阶段，告别过去波动较大的状态；2）新“国九条”重视股东回报、引导长期资金入市等一系列制度安排切实增强了资本市场内生稳定性，这是资本市场自身运行的新特征；3）市场参与者更加理性成熟，在市场加速、情绪快速升温阶段主动选择释放风险，有利于市场走长走远。以上的市场变化为本轮市场形成慢牛提供了条件。</w:t>
      </w:r>
    </w:p>
    <w:p w14:paraId="111051DD">
      <w:pPr>
        <w:pStyle w:val="18"/>
        <w:rPr>
          <w:rFonts w:hint="eastAsia"/>
        </w:rPr>
      </w:pPr>
      <w:r>
        <w:rPr>
          <w:rFonts w:hint="eastAsia"/>
        </w:rPr>
        <w:t>所以我们对A股的中期表现继续持乐观态度，认为当前市场具备较好投资性价比，未来我们将重点关注四大方向：1）科技创新与高端制造领域：包括受益于全球 AI 产业共振的算力基础设施和应用场景，以及领先的创新药、商业航天、人形机器人等赛道；2）具备全球竞争力的出海企业：如新能源车、电池、高端装备、家电等行业龙头，有望凭借全球竞争优势持续拓展海外市场；3）底部顺周期板块：随着经济复苏推进及 “反内卷” 政策落地，有色金属、化工、地产链等板块有望迎来景气度回升；4）传统底部红利资产：银行、保险、消费、医药等板块中，存在众多具备稳定分红能力的个股，在低利率环境下具备显著配置价值。</w:t>
      </w:r>
    </w:p>
    <w:p w14:paraId="127A6E5E">
      <w:pPr>
        <w:pStyle w:val="18"/>
        <w:rPr>
          <w:rFonts w:hint="eastAsia"/>
        </w:rPr>
      </w:pPr>
      <w:r>
        <w:rPr>
          <w:rFonts w:hint="eastAsia"/>
        </w:rPr>
        <w:t>债券市场方面，全年经济增长预期保持平稳，货币政策维持“支持性货币政策”定调，随着银行负债成本的降低，预计年内仍有降息降准的空间。融资增速在高基数背景下预计年内小幅下行，供给放缓有利于债券表现；从债务周期的视角，财政付息压力较大，2026年处于三年化债政策周期，在这样的宏观背景下债券收益率难以趋势性上升。今年债券市场预计仍能提供一定的持有回报，组合当前维持偏高的仓位和久期，未来视经济政策的变化灵活调整持仓。</w:t>
      </w:r>
    </w:p>
    <w:p w14:paraId="197001AD">
      <w:pPr>
        <w:pStyle w:val="18"/>
        <w:rPr>
          <w:rFonts w:hint="eastAsia"/>
        </w:rPr>
      </w:pPr>
      <w:r>
        <w:rPr>
          <w:rFonts w:hint="eastAsia"/>
        </w:rPr>
        <w:t>本基金将秉承风险可控原则，密切跟踪宏观经济与政策变化，积极挖掘趋势性与结构性投资机会，动态优化组合结构，努力为投资者创造持续、稳健的投资回报。</w:t>
      </w:r>
    </w:p>
    <w:p w14:paraId="2DF90610">
      <w:pPr>
        <w:pStyle w:val="23"/>
      </w:pPr>
      <w:bookmarkStart w:id="34" w:name="_Toc31530"/>
      <w:r>
        <w:t>管理人内部有关本基金的监察稽核工作情况</w:t>
      </w:r>
      <w:bookmarkEnd w:id="34"/>
      <w:r>
        <w:t xml:space="preserve"> </w:t>
      </w:r>
    </w:p>
    <w:p w14:paraId="657E99B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3E63AD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38E2E7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9C8542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2C5ECC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2AE6FC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F74FCD4">
      <w:pPr>
        <w:pStyle w:val="23"/>
      </w:pPr>
      <w:bookmarkStart w:id="35" w:name="_Toc18696"/>
      <w:r>
        <w:t>管理人对报告期内基金估值程序等事项的说明</w:t>
      </w:r>
      <w:bookmarkEnd w:id="35"/>
    </w:p>
    <w:p w14:paraId="7766EEE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4A876BC">
      <w:pPr>
        <w:pStyle w:val="23"/>
      </w:pPr>
      <w:bookmarkStart w:id="36" w:name="_Toc4071"/>
      <w:r>
        <w:t>管理人对报告期内基金利润分配情况的说明</w:t>
      </w:r>
      <w:bookmarkEnd w:id="36"/>
      <w:r>
        <w:t xml:space="preserve"> </w:t>
      </w:r>
    </w:p>
    <w:p w14:paraId="0FACEA0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D644118">
      <w:pPr>
        <w:pStyle w:val="23"/>
      </w:pPr>
      <w:bookmarkStart w:id="37" w:name="_Toc7075"/>
      <w:r>
        <w:t>报告期内基金持有人数或基金资产净值预警说明</w:t>
      </w:r>
      <w:bookmarkEnd w:id="37"/>
    </w:p>
    <w:p w14:paraId="21B28B2B">
      <w:pPr>
        <w:pStyle w:val="18"/>
        <w:rPr>
          <w:rFonts w:hint="eastAsia"/>
        </w:rPr>
      </w:pPr>
      <w:r>
        <w:rPr>
          <w:rFonts w:hint="eastAsia"/>
        </w:rPr>
        <w:t>报告期内，本基金未出现连续二十个交易日基金份额持有人数量不满二百人或者基金资产净值低于五千万元的情形。</w:t>
      </w:r>
    </w:p>
    <w:p w14:paraId="744E5F23">
      <w:pPr>
        <w:pStyle w:val="26"/>
      </w:pPr>
      <w:r>
        <w:t xml:space="preserve"> </w:t>
      </w:r>
      <w:bookmarkStart w:id="38" w:name="_Toc19542"/>
      <w:r>
        <w:t>托管人报告</w:t>
      </w:r>
      <w:bookmarkEnd w:id="38"/>
    </w:p>
    <w:p w14:paraId="050A98D2">
      <w:pPr>
        <w:pStyle w:val="23"/>
      </w:pPr>
      <w:bookmarkStart w:id="39" w:name="_Toc8121"/>
      <w:r>
        <w:t>报告期内本基金托管人遵规守信情况声明</w:t>
      </w:r>
      <w:bookmarkEnd w:id="39"/>
    </w:p>
    <w:p w14:paraId="21C08B4F">
      <w:pPr>
        <w:pStyle w:val="18"/>
        <w:rPr>
          <w:rFonts w:hint="eastAsia"/>
        </w:rPr>
      </w:pPr>
      <w:r>
        <w:rPr>
          <w:rFonts w:hint="eastAsia"/>
        </w:rPr>
        <w:t>本报告期内，广发银行股份有限公司（以下称“本托管人”）在对南方益稳稳健增利债券型证券投资基金 （以下称“本基金”）的托管过程中，严格遵守《证券投资基金法》及其他有关法律法规、基金合同和托管协议的有关规定，不存在任何损害基金份额持有人利益的行为，完全尽职尽责地履行了应尽的义务。</w:t>
      </w:r>
    </w:p>
    <w:p w14:paraId="09BB25DE">
      <w:pPr>
        <w:pStyle w:val="23"/>
      </w:pPr>
      <w:bookmarkStart w:id="40" w:name="_Toc4491"/>
      <w:r>
        <w:t>托管人对报告期内本基金投资运作遵规守信、净值计算、利润分配等情况的说明</w:t>
      </w:r>
      <w:bookmarkEnd w:id="40"/>
      <w:r>
        <w:t xml:space="preserve"> </w:t>
      </w:r>
    </w:p>
    <w:p w14:paraId="687BD942">
      <w:pPr>
        <w:pStyle w:val="18"/>
        <w:rPr>
          <w:rFonts w:hint="eastAsia"/>
        </w:rPr>
      </w:pPr>
      <w:r>
        <w:rPr>
          <w:rFonts w:hint="eastAsia"/>
        </w:rPr>
        <w:t>本报告期内，本托管人根据《证券投资基金法》及其他有关法律法规、基金合同和托管协议的规定，对本基金管理人的投资运作方面进行了必要的监督，对基金资产净值的计算、基金份额申购赎回价格的计算以及基金费用开支等方面进行了认真地复核，未发现本基金管理人存在损害基金份额持有人利益的行为。</w:t>
      </w:r>
    </w:p>
    <w:p w14:paraId="648F7D76">
      <w:pPr>
        <w:pStyle w:val="23"/>
      </w:pPr>
      <w:bookmarkStart w:id="41" w:name="_Toc25301"/>
      <w:r>
        <w:t>托管人对本年度报告中财务信息等内容的真实、准确和完整发表意见</w:t>
      </w:r>
      <w:bookmarkEnd w:id="41"/>
    </w:p>
    <w:p w14:paraId="3F32757F">
      <w:pPr>
        <w:pStyle w:val="18"/>
        <w:rPr>
          <w:rFonts w:hint="eastAsia"/>
        </w:rPr>
      </w:pPr>
      <w:r>
        <w:rPr>
          <w:rFonts w:hint="eastAsia"/>
        </w:rPr>
        <w:t>本报告中的财务指标、净值表现、收益分配情况、财务会计报告、投资组合报告 等数据真实、准确和完整。</w:t>
      </w:r>
    </w:p>
    <w:p w14:paraId="78B0B2BD">
      <w:pPr>
        <w:pStyle w:val="26"/>
      </w:pPr>
      <w:bookmarkStart w:id="42" w:name="_Toc31402"/>
      <w:r>
        <w:t>审计报告</w:t>
      </w:r>
      <w:bookmarkEnd w:id="42"/>
    </w:p>
    <w:p w14:paraId="659BF40B">
      <w:pPr>
        <w:pStyle w:val="23"/>
      </w:pPr>
      <w:bookmarkStart w:id="43" w:name="_Toc20548"/>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C7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79D506">
            <w:r>
              <w:rPr>
                <w:rFonts w:hint="eastAsia"/>
              </w:rPr>
              <w:t>财务报表是否经过审计</w:t>
            </w:r>
          </w:p>
        </w:tc>
        <w:tc>
          <w:tcPr>
            <w:tcW w:w="4153" w:type="dxa"/>
            <w:vAlign w:val="center"/>
          </w:tcPr>
          <w:p w14:paraId="4629D5EA">
            <w:r>
              <w:rPr>
                <w:rFonts w:hint="eastAsia"/>
              </w:rPr>
              <w:t>是</w:t>
            </w:r>
          </w:p>
        </w:tc>
      </w:tr>
      <w:tr w14:paraId="2B88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4B7D07">
            <w:r>
              <w:rPr>
                <w:rFonts w:hint="eastAsia"/>
              </w:rPr>
              <w:t>审计意见类型</w:t>
            </w:r>
          </w:p>
        </w:tc>
        <w:tc>
          <w:tcPr>
            <w:tcW w:w="4153" w:type="dxa"/>
            <w:vAlign w:val="center"/>
          </w:tcPr>
          <w:p w14:paraId="29FC9391">
            <w:r>
              <w:rPr>
                <w:rFonts w:hint="eastAsia"/>
              </w:rPr>
              <w:t>标准无保留意见</w:t>
            </w:r>
          </w:p>
        </w:tc>
      </w:tr>
      <w:tr w14:paraId="66C0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9DD315">
            <w:r>
              <w:rPr>
                <w:rFonts w:hint="eastAsia"/>
              </w:rPr>
              <w:t>审计报告编号</w:t>
            </w:r>
          </w:p>
        </w:tc>
        <w:tc>
          <w:tcPr>
            <w:tcW w:w="4153" w:type="dxa"/>
            <w:vAlign w:val="center"/>
          </w:tcPr>
          <w:p w14:paraId="11FFF0B3">
            <w:r>
              <w:rPr>
                <w:rFonts w:hint="eastAsia"/>
              </w:rPr>
              <w:t>安永华明（2026）审字第70027797_H139号</w:t>
            </w:r>
          </w:p>
        </w:tc>
      </w:tr>
    </w:tbl>
    <w:p w14:paraId="0E9484AF">
      <w:pPr>
        <w:pStyle w:val="23"/>
      </w:pPr>
      <w:bookmarkStart w:id="44" w:name="_Toc30617"/>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E5A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DA31830">
            <w:pPr>
              <w:jc w:val="center"/>
            </w:pPr>
            <w:r>
              <w:rPr>
                <w:rFonts w:hint="eastAsia"/>
                <w:b/>
              </w:rPr>
              <w:t>审计报告标题</w:t>
            </w:r>
          </w:p>
        </w:tc>
        <w:tc>
          <w:tcPr>
            <w:tcW w:w="2491" w:type="dxa"/>
            <w:gridSpan w:val="2"/>
            <w:shd w:val="clear" w:color="auto" w:fill="BFBFBF"/>
            <w:vAlign w:val="center"/>
          </w:tcPr>
          <w:p w14:paraId="3E7A0A75">
            <w:pPr>
              <w:jc w:val="center"/>
            </w:pPr>
            <w:r>
              <w:rPr>
                <w:rFonts w:hint="eastAsia"/>
                <w:b/>
              </w:rPr>
              <w:t>审计报告</w:t>
            </w:r>
          </w:p>
        </w:tc>
      </w:tr>
      <w:tr w14:paraId="0671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C6B559">
            <w:r>
              <w:rPr>
                <w:rFonts w:hint="eastAsia"/>
              </w:rPr>
              <w:t>审计报告收件人</w:t>
            </w:r>
          </w:p>
        </w:tc>
        <w:tc>
          <w:tcPr>
            <w:tcW w:w="2491" w:type="dxa"/>
            <w:gridSpan w:val="2"/>
            <w:vAlign w:val="center"/>
          </w:tcPr>
          <w:p w14:paraId="0DB79591">
            <w:r>
              <w:rPr>
                <w:rFonts w:hint="eastAsia"/>
              </w:rPr>
              <w:t>南方益稳稳健增利债券型证券投资基金全体基金份额持有人</w:t>
            </w:r>
          </w:p>
        </w:tc>
      </w:tr>
      <w:tr w14:paraId="73EC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DCF3C0">
            <w:r>
              <w:rPr>
                <w:rFonts w:hint="eastAsia"/>
              </w:rPr>
              <w:t>审计意见</w:t>
            </w:r>
          </w:p>
        </w:tc>
        <w:tc>
          <w:tcPr>
            <w:tcW w:w="2491" w:type="dxa"/>
            <w:gridSpan w:val="2"/>
            <w:vAlign w:val="center"/>
          </w:tcPr>
          <w:p w14:paraId="403BD467">
            <w:pPr>
              <w:jc w:val="both"/>
              <w:rPr>
                <w:rFonts w:hint="eastAsia"/>
              </w:rPr>
            </w:pPr>
            <w:r>
              <w:rPr>
                <w:rFonts w:hint="eastAsia"/>
              </w:rPr>
              <w:t>我们审计了南方益稳稳健增利债券型证券投资基金的财务报表，包括2025年12月31日的资产负债表，2025年8月6日（基金合同生效日）至2025年12月31日止期间的利润表、净资产变动表以及相关财务报表附注。
</w:t>
            </w:r>
            <w:r>
              <w:rPr>
                <w:rFonts w:hint="eastAsia"/>
              </w:rPr>
              <w:br w:type="textWrapping"/>
            </w:r>
            <w:r>
              <w:rPr>
                <w:rFonts w:hint="eastAsia"/>
              </w:rPr>
              <w:t>我们认为，后附的南方益稳稳健增利债券型证券投资基金的财务报表在所有重大方面按照企业会计准则的规定编制，公允反映了南方益稳稳健增利债券型证券投资基金2025年12月31日的财务状况以及2025年8月6日（基金合同生效日）至2025年12月31日止期间的经营成果和净资产变动情况。</w:t>
            </w:r>
          </w:p>
        </w:tc>
      </w:tr>
      <w:tr w14:paraId="3FCF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D6D9A2">
            <w:r>
              <w:rPr>
                <w:rFonts w:hint="eastAsia"/>
              </w:rPr>
              <w:t>形成审计意见的基础</w:t>
            </w:r>
          </w:p>
        </w:tc>
        <w:tc>
          <w:tcPr>
            <w:tcW w:w="2491" w:type="dxa"/>
            <w:gridSpan w:val="2"/>
            <w:vAlign w:val="center"/>
          </w:tcPr>
          <w:p w14:paraId="2D56BA9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益稳稳健增利债券型证券投资基金，并履行了职业道德方面的其他责任。我们在审计中遵循了对公众利益实体审计的独立性要求。我们相信，我们获取的审计证据是充分、适当的，为发表审计意见提供了基础。</w:t>
            </w:r>
          </w:p>
        </w:tc>
      </w:tr>
      <w:tr w14:paraId="7749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322368">
            <w:r>
              <w:rPr>
                <w:rFonts w:hint="eastAsia"/>
              </w:rPr>
              <w:t>强调事项</w:t>
            </w:r>
          </w:p>
        </w:tc>
        <w:tc>
          <w:tcPr>
            <w:tcW w:w="2491" w:type="dxa"/>
            <w:gridSpan w:val="2"/>
            <w:vAlign w:val="center"/>
          </w:tcPr>
          <w:p w14:paraId="1B2E3A0B">
            <w:pPr>
              <w:jc w:val="right"/>
            </w:pPr>
            <w:r>
              <w:rPr>
                <w:rFonts w:hint="eastAsia"/>
              </w:rPr>
              <w:t>-</w:t>
            </w:r>
          </w:p>
        </w:tc>
      </w:tr>
      <w:tr w14:paraId="3177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05E0AF">
            <w:r>
              <w:rPr>
                <w:rFonts w:hint="eastAsia"/>
              </w:rPr>
              <w:t>其他事项</w:t>
            </w:r>
          </w:p>
        </w:tc>
        <w:tc>
          <w:tcPr>
            <w:tcW w:w="2491" w:type="dxa"/>
            <w:gridSpan w:val="2"/>
            <w:vAlign w:val="center"/>
          </w:tcPr>
          <w:p w14:paraId="7EE1EE8F">
            <w:pPr>
              <w:jc w:val="right"/>
            </w:pPr>
            <w:r>
              <w:rPr>
                <w:rFonts w:hint="eastAsia"/>
              </w:rPr>
              <w:t>-</w:t>
            </w:r>
          </w:p>
        </w:tc>
      </w:tr>
      <w:tr w14:paraId="2A7C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4DBEE7">
            <w:r>
              <w:rPr>
                <w:rFonts w:hint="eastAsia"/>
              </w:rPr>
              <w:t>其他信息</w:t>
            </w:r>
          </w:p>
        </w:tc>
        <w:tc>
          <w:tcPr>
            <w:tcW w:w="2491" w:type="dxa"/>
            <w:gridSpan w:val="2"/>
            <w:vAlign w:val="center"/>
          </w:tcPr>
          <w:p w14:paraId="59521353">
            <w:pPr>
              <w:jc w:val="both"/>
              <w:rPr>
                <w:rFonts w:hint="eastAsia"/>
              </w:rPr>
            </w:pPr>
            <w:r>
              <w:rPr>
                <w:rFonts w:hint="eastAsia"/>
              </w:rPr>
              <w:t>南方益稳稳健增利债券型证券投资基金管理层对其他信息负责。其他信息包括年度报告中涵盖的信息，但不包括财务报表和我们的审计报告。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831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90F887">
            <w:r>
              <w:rPr>
                <w:rFonts w:hint="eastAsia"/>
              </w:rPr>
              <w:t>管理层和治理层对财务报表的责任</w:t>
            </w:r>
          </w:p>
        </w:tc>
        <w:tc>
          <w:tcPr>
            <w:tcW w:w="2491" w:type="dxa"/>
            <w:gridSpan w:val="2"/>
            <w:vAlign w:val="center"/>
          </w:tcPr>
          <w:p w14:paraId="5762DA74">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在编制财务报表时，管理层负责评估南方益稳稳健增利债券型证券投资基金的持续经营能力，披露与持续经营相关的事项（如适用），并运用持续经营假设，除非计划进行清算、终止运营或别无其他现实的选择。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治理层负责监督南方益稳稳健增利债券型证券投资基金的财务报告过程。</w:t>
            </w:r>
          </w:p>
        </w:tc>
      </w:tr>
      <w:tr w14:paraId="2A49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11241B">
            <w:r>
              <w:rPr>
                <w:rFonts w:hint="eastAsia"/>
              </w:rPr>
              <w:t>注册会计师对财务报表审计的责任</w:t>
            </w:r>
          </w:p>
        </w:tc>
        <w:tc>
          <w:tcPr>
            <w:tcW w:w="2491" w:type="dxa"/>
            <w:gridSpan w:val="2"/>
            <w:vAlign w:val="center"/>
          </w:tcPr>
          <w:p w14:paraId="407DA76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益稳稳健增利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益稳稳健增利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79F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89E58A">
            <w:r>
              <w:rPr>
                <w:rFonts w:hint="eastAsia"/>
              </w:rPr>
              <w:t>会计师事务所的名称</w:t>
            </w:r>
          </w:p>
        </w:tc>
        <w:tc>
          <w:tcPr>
            <w:tcW w:w="2491" w:type="dxa"/>
            <w:gridSpan w:val="2"/>
            <w:vAlign w:val="center"/>
          </w:tcPr>
          <w:p w14:paraId="4DCFB116">
            <w:r>
              <w:rPr>
                <w:rFonts w:hint="eastAsia"/>
              </w:rPr>
              <w:t>安永华明会计师事务所（特殊普通合伙）</w:t>
            </w:r>
          </w:p>
        </w:tc>
      </w:tr>
      <w:tr w14:paraId="01A3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BE932C">
            <w:r>
              <w:rPr>
                <w:rFonts w:hint="eastAsia"/>
              </w:rPr>
              <w:t>注册会计师的姓名</w:t>
            </w:r>
          </w:p>
        </w:tc>
        <w:tc>
          <w:tcPr>
            <w:tcW w:w="2491" w:type="dxa"/>
            <w:vAlign w:val="center"/>
          </w:tcPr>
          <w:p w14:paraId="6A081FD7">
            <w:r>
              <w:rPr>
                <w:rFonts w:hint="eastAsia"/>
              </w:rPr>
              <w:t>高  鹤</w:t>
            </w:r>
          </w:p>
        </w:tc>
        <w:tc>
          <w:tcPr>
            <w:tcW w:w="2768" w:type="dxa"/>
            <w:vAlign w:val="center"/>
          </w:tcPr>
          <w:p w14:paraId="31FD945E">
            <w:r>
              <w:rPr>
                <w:rFonts w:hint="eastAsia"/>
              </w:rPr>
              <w:t>邓  雯</w:t>
            </w:r>
          </w:p>
        </w:tc>
      </w:tr>
      <w:tr w14:paraId="36EA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561737">
            <w:r>
              <w:rPr>
                <w:rFonts w:hint="eastAsia"/>
              </w:rPr>
              <w:t>会计师事务所的地址</w:t>
            </w:r>
          </w:p>
        </w:tc>
        <w:tc>
          <w:tcPr>
            <w:tcW w:w="2491" w:type="dxa"/>
            <w:gridSpan w:val="2"/>
            <w:vAlign w:val="center"/>
          </w:tcPr>
          <w:p w14:paraId="0CFA8E32">
            <w:r>
              <w:rPr>
                <w:rFonts w:hint="eastAsia"/>
              </w:rPr>
              <w:t>北京市东城区东长安街1号东方广场安永大楼17层</w:t>
            </w:r>
          </w:p>
        </w:tc>
      </w:tr>
      <w:tr w14:paraId="53B9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E25AE5">
            <w:r>
              <w:rPr>
                <w:rFonts w:hint="eastAsia"/>
              </w:rPr>
              <w:t>审计报告日期</w:t>
            </w:r>
          </w:p>
        </w:tc>
        <w:tc>
          <w:tcPr>
            <w:tcW w:w="2491" w:type="dxa"/>
            <w:gridSpan w:val="2"/>
            <w:vAlign w:val="center"/>
          </w:tcPr>
          <w:p w14:paraId="40826430">
            <w:r>
              <w:rPr>
                <w:rFonts w:hint="eastAsia"/>
              </w:rPr>
              <w:t>2026年3月27日</w:t>
            </w:r>
          </w:p>
        </w:tc>
      </w:tr>
    </w:tbl>
    <w:p w14:paraId="4BF0599D">
      <w:pPr>
        <w:pStyle w:val="26"/>
      </w:pPr>
      <w:bookmarkStart w:id="45" w:name="_Toc19164"/>
      <w:r>
        <w:t>年度财务报表</w:t>
      </w:r>
      <w:bookmarkEnd w:id="45"/>
    </w:p>
    <w:p w14:paraId="63952A59">
      <w:pPr>
        <w:pStyle w:val="23"/>
      </w:pPr>
      <w:bookmarkStart w:id="46" w:name="_Toc28734"/>
      <w:r>
        <w:t>资产负债表</w:t>
      </w:r>
      <w:bookmarkEnd w:id="46"/>
    </w:p>
    <w:p w14:paraId="4AE0F6A0">
      <w:pPr>
        <w:pStyle w:val="18"/>
        <w:rPr>
          <w:rFonts w:hint="eastAsia"/>
        </w:rPr>
      </w:pPr>
      <w:r>
        <w:rPr>
          <w:rFonts w:hint="eastAsia"/>
        </w:rPr>
        <w:t>会计主体：南方益稳稳健增利债券型证券投资基金</w:t>
      </w:r>
    </w:p>
    <w:p w14:paraId="345AE53F">
      <w:pPr>
        <w:pStyle w:val="18"/>
        <w:rPr>
          <w:rFonts w:hint="eastAsia"/>
        </w:rPr>
      </w:pPr>
      <w:r>
        <w:rPr>
          <w:rFonts w:hint="eastAsia"/>
        </w:rPr>
        <w:t>报告截止日：2025年12月31日</w:t>
      </w:r>
    </w:p>
    <w:p w14:paraId="1DAA39E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69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C3167">
            <w:r>
              <w:rPr>
                <w:rFonts w:hint="eastAsia"/>
              </w:rPr>
              <w:t>资产</w:t>
            </w:r>
          </w:p>
        </w:tc>
        <w:tc>
          <w:tcPr>
            <w:tcW w:w="2768" w:type="dxa"/>
            <w:vAlign w:val="center"/>
          </w:tcPr>
          <w:p w14:paraId="4893971D">
            <w:r>
              <w:rPr>
                <w:rFonts w:hint="eastAsia"/>
              </w:rPr>
              <w:t>附注号</w:t>
            </w:r>
          </w:p>
        </w:tc>
        <w:tc>
          <w:tcPr>
            <w:tcW w:w="2768" w:type="dxa"/>
            <w:vAlign w:val="center"/>
          </w:tcPr>
          <w:p w14:paraId="35AD9D4B">
            <w:r>
              <w:rPr>
                <w:rFonts w:hint="eastAsia"/>
              </w:rPr>
              <w:t>本期末2025年12月31日</w:t>
            </w:r>
          </w:p>
        </w:tc>
      </w:tr>
      <w:tr w14:paraId="52A15B48">
        <w:tblPrEx>
          <w:tblCellMar>
            <w:top w:w="0" w:type="dxa"/>
            <w:left w:w="108" w:type="dxa"/>
            <w:bottom w:w="0" w:type="dxa"/>
            <w:right w:w="108" w:type="dxa"/>
          </w:tblCellMar>
        </w:tblPrEx>
        <w:trPr>
          <w:jc w:val="center"/>
        </w:trPr>
        <w:tc>
          <w:tcPr>
            <w:tcW w:w="2768" w:type="dxa"/>
            <w:vAlign w:val="center"/>
          </w:tcPr>
          <w:p w14:paraId="3F2DFC78">
            <w:r>
              <w:rPr>
                <w:rFonts w:hint="eastAsia"/>
              </w:rPr>
              <w:t>资产：</w:t>
            </w:r>
          </w:p>
        </w:tc>
        <w:tc>
          <w:tcPr>
            <w:tcW w:w="2768" w:type="dxa"/>
            <w:vAlign w:val="center"/>
          </w:tcPr>
          <w:p w14:paraId="1FE40696"/>
        </w:tc>
        <w:tc>
          <w:tcPr>
            <w:tcW w:w="2768" w:type="dxa"/>
            <w:vAlign w:val="center"/>
          </w:tcPr>
          <w:p w14:paraId="5682DD35"/>
        </w:tc>
      </w:tr>
      <w:tr w14:paraId="239C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F3C76">
            <w:r>
              <w:rPr>
                <w:rFonts w:hint="eastAsia"/>
              </w:rPr>
              <w:t>货币资金</w:t>
            </w:r>
          </w:p>
        </w:tc>
        <w:tc>
          <w:tcPr>
            <w:tcW w:w="2768" w:type="dxa"/>
            <w:vAlign w:val="center"/>
          </w:tcPr>
          <w:p w14:paraId="75E8EB88">
            <w:r>
              <w:rPr>
                <w:rFonts w:hint="eastAsia"/>
              </w:rPr>
              <w:t>7.4.7.1</w:t>
            </w:r>
          </w:p>
        </w:tc>
        <w:tc>
          <w:tcPr>
            <w:tcW w:w="2768" w:type="dxa"/>
            <w:vAlign w:val="center"/>
          </w:tcPr>
          <w:p w14:paraId="00D4E5E1">
            <w:pPr>
              <w:jc w:val="right"/>
            </w:pPr>
            <w:r>
              <w:rPr>
                <w:rFonts w:hint="eastAsia"/>
              </w:rPr>
              <w:t>17,594,995.04</w:t>
            </w:r>
          </w:p>
        </w:tc>
      </w:tr>
      <w:tr w14:paraId="5BF8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16597">
            <w:r>
              <w:rPr>
                <w:rFonts w:hint="eastAsia"/>
              </w:rPr>
              <w:t>结算备付金</w:t>
            </w:r>
          </w:p>
        </w:tc>
        <w:tc>
          <w:tcPr>
            <w:tcW w:w="2768" w:type="dxa"/>
            <w:vAlign w:val="center"/>
          </w:tcPr>
          <w:p w14:paraId="69CFDB20"/>
        </w:tc>
        <w:tc>
          <w:tcPr>
            <w:tcW w:w="2768" w:type="dxa"/>
            <w:vAlign w:val="center"/>
          </w:tcPr>
          <w:p w14:paraId="45FA7AE1">
            <w:pPr>
              <w:jc w:val="right"/>
            </w:pPr>
            <w:r>
              <w:rPr>
                <w:rFonts w:hint="eastAsia"/>
              </w:rPr>
              <w:t>4,405,595.12</w:t>
            </w:r>
          </w:p>
        </w:tc>
      </w:tr>
      <w:tr w14:paraId="1DD0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FC5C3D">
            <w:r>
              <w:rPr>
                <w:rFonts w:hint="eastAsia"/>
              </w:rPr>
              <w:t>存出保证金</w:t>
            </w:r>
          </w:p>
        </w:tc>
        <w:tc>
          <w:tcPr>
            <w:tcW w:w="2768" w:type="dxa"/>
            <w:vAlign w:val="center"/>
          </w:tcPr>
          <w:p w14:paraId="709A35EB"/>
        </w:tc>
        <w:tc>
          <w:tcPr>
            <w:tcW w:w="2768" w:type="dxa"/>
            <w:vAlign w:val="center"/>
          </w:tcPr>
          <w:p w14:paraId="40CA3907">
            <w:pPr>
              <w:jc w:val="right"/>
            </w:pPr>
            <w:r>
              <w:rPr>
                <w:rFonts w:hint="eastAsia"/>
              </w:rPr>
              <w:t>487,318.66</w:t>
            </w:r>
          </w:p>
        </w:tc>
      </w:tr>
      <w:tr w14:paraId="65E4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58A0A">
            <w:r>
              <w:rPr>
                <w:rFonts w:hint="eastAsia"/>
              </w:rPr>
              <w:t>交易性金融资产</w:t>
            </w:r>
          </w:p>
        </w:tc>
        <w:tc>
          <w:tcPr>
            <w:tcW w:w="2768" w:type="dxa"/>
            <w:vAlign w:val="center"/>
          </w:tcPr>
          <w:p w14:paraId="0B421A63">
            <w:r>
              <w:rPr>
                <w:rFonts w:hint="eastAsia"/>
              </w:rPr>
              <w:t>7.4.7.2</w:t>
            </w:r>
          </w:p>
        </w:tc>
        <w:tc>
          <w:tcPr>
            <w:tcW w:w="2768" w:type="dxa"/>
            <w:vAlign w:val="center"/>
          </w:tcPr>
          <w:p w14:paraId="28B7F646">
            <w:pPr>
              <w:jc w:val="right"/>
            </w:pPr>
            <w:r>
              <w:rPr>
                <w:rFonts w:hint="eastAsia"/>
              </w:rPr>
              <w:t>3,455,484,231.38</w:t>
            </w:r>
          </w:p>
        </w:tc>
      </w:tr>
      <w:tr w14:paraId="6E86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2A2AA">
            <w:r>
              <w:rPr>
                <w:rFonts w:hint="eastAsia"/>
              </w:rPr>
              <w:t>其中：股票投资</w:t>
            </w:r>
          </w:p>
        </w:tc>
        <w:tc>
          <w:tcPr>
            <w:tcW w:w="2768" w:type="dxa"/>
            <w:vAlign w:val="center"/>
          </w:tcPr>
          <w:p w14:paraId="687640FE"/>
        </w:tc>
        <w:tc>
          <w:tcPr>
            <w:tcW w:w="2768" w:type="dxa"/>
            <w:vAlign w:val="center"/>
          </w:tcPr>
          <w:p w14:paraId="6E5D45F4">
            <w:pPr>
              <w:jc w:val="right"/>
            </w:pPr>
            <w:r>
              <w:rPr>
                <w:rFonts w:hint="eastAsia"/>
              </w:rPr>
              <w:t>625,676,085.39</w:t>
            </w:r>
          </w:p>
        </w:tc>
      </w:tr>
      <w:tr w14:paraId="4ABF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4ECBE">
            <w:r>
              <w:rPr>
                <w:rFonts w:hint="eastAsia"/>
              </w:rPr>
              <w:t xml:space="preserve">      基金投资</w:t>
            </w:r>
          </w:p>
        </w:tc>
        <w:tc>
          <w:tcPr>
            <w:tcW w:w="2768" w:type="dxa"/>
            <w:vAlign w:val="center"/>
          </w:tcPr>
          <w:p w14:paraId="170D99EF"/>
        </w:tc>
        <w:tc>
          <w:tcPr>
            <w:tcW w:w="2768" w:type="dxa"/>
            <w:vAlign w:val="center"/>
          </w:tcPr>
          <w:p w14:paraId="476B8ADE">
            <w:pPr>
              <w:jc w:val="right"/>
            </w:pPr>
            <w:r>
              <w:rPr>
                <w:rFonts w:hint="eastAsia"/>
              </w:rPr>
              <w:t>-</w:t>
            </w:r>
          </w:p>
        </w:tc>
      </w:tr>
      <w:tr w14:paraId="385E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569371">
            <w:r>
              <w:rPr>
                <w:rFonts w:hint="eastAsia"/>
              </w:rPr>
              <w:t xml:space="preserve">      债券投资</w:t>
            </w:r>
          </w:p>
        </w:tc>
        <w:tc>
          <w:tcPr>
            <w:tcW w:w="2768" w:type="dxa"/>
            <w:vAlign w:val="center"/>
          </w:tcPr>
          <w:p w14:paraId="70DACBF5"/>
        </w:tc>
        <w:tc>
          <w:tcPr>
            <w:tcW w:w="2768" w:type="dxa"/>
            <w:vAlign w:val="center"/>
          </w:tcPr>
          <w:p w14:paraId="6822B663">
            <w:pPr>
              <w:jc w:val="right"/>
            </w:pPr>
            <w:r>
              <w:rPr>
                <w:rFonts w:hint="eastAsia"/>
              </w:rPr>
              <w:t>2,829,808,145.99</w:t>
            </w:r>
          </w:p>
        </w:tc>
      </w:tr>
      <w:tr w14:paraId="60C4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8E0A0">
            <w:r>
              <w:rPr>
                <w:rFonts w:hint="eastAsia"/>
              </w:rPr>
              <w:t xml:space="preserve">      资产支持证券投资</w:t>
            </w:r>
          </w:p>
        </w:tc>
        <w:tc>
          <w:tcPr>
            <w:tcW w:w="2768" w:type="dxa"/>
            <w:vAlign w:val="center"/>
          </w:tcPr>
          <w:p w14:paraId="0823203D"/>
        </w:tc>
        <w:tc>
          <w:tcPr>
            <w:tcW w:w="2768" w:type="dxa"/>
            <w:vAlign w:val="center"/>
          </w:tcPr>
          <w:p w14:paraId="69584B65">
            <w:pPr>
              <w:jc w:val="right"/>
            </w:pPr>
            <w:r>
              <w:rPr>
                <w:rFonts w:hint="eastAsia"/>
              </w:rPr>
              <w:t>-</w:t>
            </w:r>
          </w:p>
        </w:tc>
      </w:tr>
      <w:tr w14:paraId="1D63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01256">
            <w:r>
              <w:rPr>
                <w:rFonts w:hint="eastAsia"/>
              </w:rPr>
              <w:t xml:space="preserve">      贵金属投资</w:t>
            </w:r>
          </w:p>
        </w:tc>
        <w:tc>
          <w:tcPr>
            <w:tcW w:w="2768" w:type="dxa"/>
            <w:vAlign w:val="center"/>
          </w:tcPr>
          <w:p w14:paraId="4E750CD0"/>
        </w:tc>
        <w:tc>
          <w:tcPr>
            <w:tcW w:w="2768" w:type="dxa"/>
            <w:vAlign w:val="center"/>
          </w:tcPr>
          <w:p w14:paraId="450F420D">
            <w:pPr>
              <w:jc w:val="right"/>
            </w:pPr>
            <w:r>
              <w:rPr>
                <w:rFonts w:hint="eastAsia"/>
              </w:rPr>
              <w:t>-</w:t>
            </w:r>
          </w:p>
        </w:tc>
      </w:tr>
      <w:tr w14:paraId="32D9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BC0AF">
            <w:r>
              <w:rPr>
                <w:rFonts w:hint="eastAsia"/>
              </w:rPr>
              <w:t xml:space="preserve">      其他投资</w:t>
            </w:r>
          </w:p>
        </w:tc>
        <w:tc>
          <w:tcPr>
            <w:tcW w:w="2768" w:type="dxa"/>
            <w:vAlign w:val="center"/>
          </w:tcPr>
          <w:p w14:paraId="3D43DB0F"/>
        </w:tc>
        <w:tc>
          <w:tcPr>
            <w:tcW w:w="2768" w:type="dxa"/>
            <w:vAlign w:val="center"/>
          </w:tcPr>
          <w:p w14:paraId="64ED9211">
            <w:pPr>
              <w:jc w:val="right"/>
            </w:pPr>
            <w:r>
              <w:rPr>
                <w:rFonts w:hint="eastAsia"/>
              </w:rPr>
              <w:t>-</w:t>
            </w:r>
          </w:p>
        </w:tc>
      </w:tr>
      <w:tr w14:paraId="67EA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4A2BC3">
            <w:r>
              <w:rPr>
                <w:rFonts w:hint="eastAsia"/>
              </w:rPr>
              <w:t>衍生金融资产</w:t>
            </w:r>
          </w:p>
        </w:tc>
        <w:tc>
          <w:tcPr>
            <w:tcW w:w="2768" w:type="dxa"/>
            <w:vAlign w:val="center"/>
          </w:tcPr>
          <w:p w14:paraId="2D12A52F">
            <w:r>
              <w:rPr>
                <w:rFonts w:hint="eastAsia"/>
              </w:rPr>
              <w:t>7.4.7.3</w:t>
            </w:r>
          </w:p>
        </w:tc>
        <w:tc>
          <w:tcPr>
            <w:tcW w:w="2768" w:type="dxa"/>
            <w:vAlign w:val="center"/>
          </w:tcPr>
          <w:p w14:paraId="102BCF21">
            <w:pPr>
              <w:jc w:val="right"/>
            </w:pPr>
            <w:r>
              <w:rPr>
                <w:rFonts w:hint="eastAsia"/>
              </w:rPr>
              <w:t>-</w:t>
            </w:r>
          </w:p>
        </w:tc>
      </w:tr>
      <w:tr w14:paraId="0D47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42CE8">
            <w:r>
              <w:rPr>
                <w:rFonts w:hint="eastAsia"/>
              </w:rPr>
              <w:t>买入返售金融资产</w:t>
            </w:r>
          </w:p>
        </w:tc>
        <w:tc>
          <w:tcPr>
            <w:tcW w:w="2768" w:type="dxa"/>
            <w:vAlign w:val="center"/>
          </w:tcPr>
          <w:p w14:paraId="526FE9B1">
            <w:r>
              <w:rPr>
                <w:rFonts w:hint="eastAsia"/>
              </w:rPr>
              <w:t>7.4.7.4</w:t>
            </w:r>
          </w:p>
        </w:tc>
        <w:tc>
          <w:tcPr>
            <w:tcW w:w="2768" w:type="dxa"/>
            <w:vAlign w:val="center"/>
          </w:tcPr>
          <w:p w14:paraId="7A03CECD">
            <w:pPr>
              <w:jc w:val="right"/>
            </w:pPr>
            <w:r>
              <w:rPr>
                <w:rFonts w:hint="eastAsia"/>
              </w:rPr>
              <w:t>20,000,000.00</w:t>
            </w:r>
          </w:p>
        </w:tc>
      </w:tr>
      <w:tr w14:paraId="6B18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339FB">
            <w:r>
              <w:rPr>
                <w:rFonts w:hint="eastAsia"/>
              </w:rPr>
              <w:t>债权投资</w:t>
            </w:r>
          </w:p>
        </w:tc>
        <w:tc>
          <w:tcPr>
            <w:tcW w:w="2768" w:type="dxa"/>
            <w:vAlign w:val="center"/>
          </w:tcPr>
          <w:p w14:paraId="1BADC11E"/>
        </w:tc>
        <w:tc>
          <w:tcPr>
            <w:tcW w:w="2768" w:type="dxa"/>
            <w:vAlign w:val="center"/>
          </w:tcPr>
          <w:p w14:paraId="66488F82">
            <w:pPr>
              <w:jc w:val="right"/>
            </w:pPr>
            <w:r>
              <w:rPr>
                <w:rFonts w:hint="eastAsia"/>
              </w:rPr>
              <w:t>-</w:t>
            </w:r>
          </w:p>
        </w:tc>
      </w:tr>
      <w:tr w14:paraId="79E5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F0699">
            <w:r>
              <w:rPr>
                <w:rFonts w:hint="eastAsia"/>
              </w:rPr>
              <w:t>其中：债券投资</w:t>
            </w:r>
          </w:p>
        </w:tc>
        <w:tc>
          <w:tcPr>
            <w:tcW w:w="2768" w:type="dxa"/>
            <w:vAlign w:val="center"/>
          </w:tcPr>
          <w:p w14:paraId="7A2C1AAC"/>
        </w:tc>
        <w:tc>
          <w:tcPr>
            <w:tcW w:w="2768" w:type="dxa"/>
            <w:vAlign w:val="center"/>
          </w:tcPr>
          <w:p w14:paraId="39A0A8A7">
            <w:pPr>
              <w:jc w:val="right"/>
            </w:pPr>
            <w:r>
              <w:rPr>
                <w:rFonts w:hint="eastAsia"/>
              </w:rPr>
              <w:t>-</w:t>
            </w:r>
          </w:p>
        </w:tc>
      </w:tr>
      <w:tr w14:paraId="60AA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51680">
            <w:r>
              <w:rPr>
                <w:rFonts w:hint="eastAsia"/>
              </w:rPr>
              <w:t xml:space="preserve">      资产支持证券投资</w:t>
            </w:r>
          </w:p>
        </w:tc>
        <w:tc>
          <w:tcPr>
            <w:tcW w:w="2768" w:type="dxa"/>
            <w:vAlign w:val="center"/>
          </w:tcPr>
          <w:p w14:paraId="1E7768FA"/>
        </w:tc>
        <w:tc>
          <w:tcPr>
            <w:tcW w:w="2768" w:type="dxa"/>
            <w:vAlign w:val="center"/>
          </w:tcPr>
          <w:p w14:paraId="7D6819F5">
            <w:pPr>
              <w:jc w:val="right"/>
            </w:pPr>
            <w:r>
              <w:rPr>
                <w:rFonts w:hint="eastAsia"/>
              </w:rPr>
              <w:t>-</w:t>
            </w:r>
          </w:p>
        </w:tc>
      </w:tr>
      <w:tr w14:paraId="6CE1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EEA34">
            <w:r>
              <w:rPr>
                <w:rFonts w:hint="eastAsia"/>
              </w:rPr>
              <w:t xml:space="preserve">      其他投资</w:t>
            </w:r>
          </w:p>
        </w:tc>
        <w:tc>
          <w:tcPr>
            <w:tcW w:w="2768" w:type="dxa"/>
            <w:vAlign w:val="center"/>
          </w:tcPr>
          <w:p w14:paraId="79747EB5"/>
        </w:tc>
        <w:tc>
          <w:tcPr>
            <w:tcW w:w="2768" w:type="dxa"/>
            <w:vAlign w:val="center"/>
          </w:tcPr>
          <w:p w14:paraId="1BB31471">
            <w:pPr>
              <w:jc w:val="right"/>
            </w:pPr>
            <w:r>
              <w:rPr>
                <w:rFonts w:hint="eastAsia"/>
              </w:rPr>
              <w:t>-</w:t>
            </w:r>
          </w:p>
        </w:tc>
      </w:tr>
      <w:tr w14:paraId="6029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04957">
            <w:r>
              <w:rPr>
                <w:rFonts w:hint="eastAsia"/>
              </w:rPr>
              <w:t>其他债权投资</w:t>
            </w:r>
          </w:p>
        </w:tc>
        <w:tc>
          <w:tcPr>
            <w:tcW w:w="2768" w:type="dxa"/>
            <w:vAlign w:val="center"/>
          </w:tcPr>
          <w:p w14:paraId="21E2DA79"/>
        </w:tc>
        <w:tc>
          <w:tcPr>
            <w:tcW w:w="2768" w:type="dxa"/>
            <w:vAlign w:val="center"/>
          </w:tcPr>
          <w:p w14:paraId="623B8EF2">
            <w:pPr>
              <w:jc w:val="right"/>
            </w:pPr>
            <w:r>
              <w:rPr>
                <w:rFonts w:hint="eastAsia"/>
              </w:rPr>
              <w:t>-</w:t>
            </w:r>
          </w:p>
        </w:tc>
      </w:tr>
      <w:tr w14:paraId="25A2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36289">
            <w:r>
              <w:rPr>
                <w:rFonts w:hint="eastAsia"/>
              </w:rPr>
              <w:t>其他权益工具投资</w:t>
            </w:r>
          </w:p>
        </w:tc>
        <w:tc>
          <w:tcPr>
            <w:tcW w:w="2768" w:type="dxa"/>
            <w:vAlign w:val="center"/>
          </w:tcPr>
          <w:p w14:paraId="68E28A66"/>
        </w:tc>
        <w:tc>
          <w:tcPr>
            <w:tcW w:w="2768" w:type="dxa"/>
            <w:vAlign w:val="center"/>
          </w:tcPr>
          <w:p w14:paraId="2BDB927A">
            <w:pPr>
              <w:jc w:val="right"/>
            </w:pPr>
            <w:r>
              <w:rPr>
                <w:rFonts w:hint="eastAsia"/>
              </w:rPr>
              <w:t>-</w:t>
            </w:r>
          </w:p>
        </w:tc>
      </w:tr>
      <w:tr w14:paraId="5340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2C8E21">
            <w:r>
              <w:rPr>
                <w:rFonts w:hint="eastAsia"/>
              </w:rPr>
              <w:t>应收清算款</w:t>
            </w:r>
          </w:p>
        </w:tc>
        <w:tc>
          <w:tcPr>
            <w:tcW w:w="2768" w:type="dxa"/>
            <w:vAlign w:val="center"/>
          </w:tcPr>
          <w:p w14:paraId="7897E461"/>
        </w:tc>
        <w:tc>
          <w:tcPr>
            <w:tcW w:w="2768" w:type="dxa"/>
            <w:vAlign w:val="center"/>
          </w:tcPr>
          <w:p w14:paraId="48C89A97">
            <w:pPr>
              <w:jc w:val="right"/>
            </w:pPr>
            <w:r>
              <w:rPr>
                <w:rFonts w:hint="eastAsia"/>
              </w:rPr>
              <w:t>6,914,974.34</w:t>
            </w:r>
          </w:p>
        </w:tc>
      </w:tr>
      <w:tr w14:paraId="6E92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0037F5">
            <w:r>
              <w:rPr>
                <w:rFonts w:hint="eastAsia"/>
              </w:rPr>
              <w:t>应收股利</w:t>
            </w:r>
          </w:p>
        </w:tc>
        <w:tc>
          <w:tcPr>
            <w:tcW w:w="2768" w:type="dxa"/>
            <w:vAlign w:val="center"/>
          </w:tcPr>
          <w:p w14:paraId="147802DA"/>
        </w:tc>
        <w:tc>
          <w:tcPr>
            <w:tcW w:w="2768" w:type="dxa"/>
            <w:vAlign w:val="center"/>
          </w:tcPr>
          <w:p w14:paraId="2BD9C59E">
            <w:pPr>
              <w:jc w:val="right"/>
            </w:pPr>
            <w:r>
              <w:rPr>
                <w:rFonts w:hint="eastAsia"/>
              </w:rPr>
              <w:t>-</w:t>
            </w:r>
          </w:p>
        </w:tc>
      </w:tr>
      <w:tr w14:paraId="1250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ECD50">
            <w:r>
              <w:rPr>
                <w:rFonts w:hint="eastAsia"/>
              </w:rPr>
              <w:t>应收申购款</w:t>
            </w:r>
          </w:p>
        </w:tc>
        <w:tc>
          <w:tcPr>
            <w:tcW w:w="2768" w:type="dxa"/>
            <w:vAlign w:val="center"/>
          </w:tcPr>
          <w:p w14:paraId="4959CB28"/>
        </w:tc>
        <w:tc>
          <w:tcPr>
            <w:tcW w:w="2768" w:type="dxa"/>
            <w:vAlign w:val="center"/>
          </w:tcPr>
          <w:p w14:paraId="1B31DD35">
            <w:pPr>
              <w:jc w:val="right"/>
            </w:pPr>
            <w:r>
              <w:rPr>
                <w:rFonts w:hint="eastAsia"/>
              </w:rPr>
              <w:t>7,063,400.00</w:t>
            </w:r>
          </w:p>
        </w:tc>
      </w:tr>
      <w:tr w14:paraId="7227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180C2">
            <w:r>
              <w:rPr>
                <w:rFonts w:hint="eastAsia"/>
              </w:rPr>
              <w:t>递延所得税资产</w:t>
            </w:r>
          </w:p>
        </w:tc>
        <w:tc>
          <w:tcPr>
            <w:tcW w:w="2768" w:type="dxa"/>
            <w:vAlign w:val="center"/>
          </w:tcPr>
          <w:p w14:paraId="236D7525"/>
        </w:tc>
        <w:tc>
          <w:tcPr>
            <w:tcW w:w="2768" w:type="dxa"/>
            <w:vAlign w:val="center"/>
          </w:tcPr>
          <w:p w14:paraId="1B04FC30">
            <w:pPr>
              <w:jc w:val="right"/>
            </w:pPr>
            <w:r>
              <w:rPr>
                <w:rFonts w:hint="eastAsia"/>
              </w:rPr>
              <w:t>-</w:t>
            </w:r>
          </w:p>
        </w:tc>
      </w:tr>
      <w:tr w14:paraId="5CB0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C6824">
            <w:r>
              <w:rPr>
                <w:rFonts w:hint="eastAsia"/>
              </w:rPr>
              <w:t>其他资产</w:t>
            </w:r>
          </w:p>
        </w:tc>
        <w:tc>
          <w:tcPr>
            <w:tcW w:w="2768" w:type="dxa"/>
            <w:vAlign w:val="center"/>
          </w:tcPr>
          <w:p w14:paraId="7D3E23C6">
            <w:r>
              <w:rPr>
                <w:rFonts w:hint="eastAsia"/>
              </w:rPr>
              <w:t>7.4.7.5</w:t>
            </w:r>
          </w:p>
        </w:tc>
        <w:tc>
          <w:tcPr>
            <w:tcW w:w="2768" w:type="dxa"/>
            <w:vAlign w:val="center"/>
          </w:tcPr>
          <w:p w14:paraId="1F2D0A90">
            <w:pPr>
              <w:jc w:val="right"/>
            </w:pPr>
            <w:r>
              <w:rPr>
                <w:rFonts w:hint="eastAsia"/>
              </w:rPr>
              <w:t>-</w:t>
            </w:r>
          </w:p>
        </w:tc>
      </w:tr>
      <w:tr w14:paraId="01B8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AE1E2">
            <w:r>
              <w:rPr>
                <w:rFonts w:hint="eastAsia"/>
              </w:rPr>
              <w:t>资产总计</w:t>
            </w:r>
          </w:p>
        </w:tc>
        <w:tc>
          <w:tcPr>
            <w:tcW w:w="2768" w:type="dxa"/>
            <w:vAlign w:val="center"/>
          </w:tcPr>
          <w:p w14:paraId="4FD03BFD"/>
        </w:tc>
        <w:tc>
          <w:tcPr>
            <w:tcW w:w="2768" w:type="dxa"/>
            <w:vAlign w:val="center"/>
          </w:tcPr>
          <w:p w14:paraId="678A5F3B">
            <w:pPr>
              <w:jc w:val="right"/>
            </w:pPr>
            <w:r>
              <w:rPr>
                <w:rFonts w:hint="eastAsia"/>
              </w:rPr>
              <w:t>3,511,950,514.54</w:t>
            </w:r>
          </w:p>
        </w:tc>
      </w:tr>
      <w:tr w14:paraId="052F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A2196">
            <w:r>
              <w:rPr>
                <w:rFonts w:hint="eastAsia"/>
              </w:rPr>
              <w:t>负债和净资产</w:t>
            </w:r>
          </w:p>
        </w:tc>
        <w:tc>
          <w:tcPr>
            <w:tcW w:w="2768" w:type="dxa"/>
            <w:vAlign w:val="center"/>
          </w:tcPr>
          <w:p w14:paraId="4C7EFE17">
            <w:r>
              <w:rPr>
                <w:rFonts w:hint="eastAsia"/>
              </w:rPr>
              <w:t>附注号</w:t>
            </w:r>
          </w:p>
        </w:tc>
        <w:tc>
          <w:tcPr>
            <w:tcW w:w="2768" w:type="dxa"/>
            <w:vAlign w:val="center"/>
          </w:tcPr>
          <w:p w14:paraId="1CFC1FD1">
            <w:r>
              <w:rPr>
                <w:rFonts w:hint="eastAsia"/>
              </w:rPr>
              <w:t>本期末2025年12月31日</w:t>
            </w:r>
          </w:p>
        </w:tc>
      </w:tr>
      <w:tr w14:paraId="75C1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D2E3F6">
            <w:r>
              <w:rPr>
                <w:rFonts w:hint="eastAsia"/>
              </w:rPr>
              <w:t>负债：</w:t>
            </w:r>
          </w:p>
        </w:tc>
        <w:tc>
          <w:tcPr>
            <w:tcW w:w="2768" w:type="dxa"/>
            <w:vAlign w:val="center"/>
          </w:tcPr>
          <w:p w14:paraId="67D34621"/>
        </w:tc>
        <w:tc>
          <w:tcPr>
            <w:tcW w:w="2768" w:type="dxa"/>
            <w:vAlign w:val="center"/>
          </w:tcPr>
          <w:p w14:paraId="41D55A08"/>
        </w:tc>
      </w:tr>
      <w:tr w14:paraId="4B4E33F9">
        <w:tblPrEx>
          <w:tblCellMar>
            <w:top w:w="0" w:type="dxa"/>
            <w:left w:w="108" w:type="dxa"/>
            <w:bottom w:w="0" w:type="dxa"/>
            <w:right w:w="108" w:type="dxa"/>
          </w:tblCellMar>
        </w:tblPrEx>
        <w:trPr>
          <w:jc w:val="center"/>
        </w:trPr>
        <w:tc>
          <w:tcPr>
            <w:tcW w:w="2768" w:type="dxa"/>
            <w:vAlign w:val="center"/>
          </w:tcPr>
          <w:p w14:paraId="7EB6D2B9">
            <w:r>
              <w:rPr>
                <w:rFonts w:hint="eastAsia"/>
              </w:rPr>
              <w:t>短期借款</w:t>
            </w:r>
          </w:p>
        </w:tc>
        <w:tc>
          <w:tcPr>
            <w:tcW w:w="2768" w:type="dxa"/>
            <w:vAlign w:val="center"/>
          </w:tcPr>
          <w:p w14:paraId="616E34BD"/>
        </w:tc>
        <w:tc>
          <w:tcPr>
            <w:tcW w:w="2768" w:type="dxa"/>
            <w:vAlign w:val="center"/>
          </w:tcPr>
          <w:p w14:paraId="273E8C65">
            <w:pPr>
              <w:jc w:val="right"/>
            </w:pPr>
            <w:r>
              <w:rPr>
                <w:rFonts w:hint="eastAsia"/>
              </w:rPr>
              <w:t>-</w:t>
            </w:r>
          </w:p>
        </w:tc>
      </w:tr>
      <w:tr w14:paraId="151C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C0A24F">
            <w:r>
              <w:rPr>
                <w:rFonts w:hint="eastAsia"/>
              </w:rPr>
              <w:t>交易性金融负债</w:t>
            </w:r>
          </w:p>
        </w:tc>
        <w:tc>
          <w:tcPr>
            <w:tcW w:w="2768" w:type="dxa"/>
            <w:vAlign w:val="center"/>
          </w:tcPr>
          <w:p w14:paraId="6EA5DE48"/>
        </w:tc>
        <w:tc>
          <w:tcPr>
            <w:tcW w:w="2768" w:type="dxa"/>
            <w:vAlign w:val="center"/>
          </w:tcPr>
          <w:p w14:paraId="51E6B079">
            <w:pPr>
              <w:jc w:val="right"/>
            </w:pPr>
            <w:r>
              <w:rPr>
                <w:rFonts w:hint="eastAsia"/>
              </w:rPr>
              <w:t>-</w:t>
            </w:r>
          </w:p>
        </w:tc>
      </w:tr>
      <w:tr w14:paraId="5377585E">
        <w:tblPrEx>
          <w:tblCellMar>
            <w:top w:w="0" w:type="dxa"/>
            <w:left w:w="108" w:type="dxa"/>
            <w:bottom w:w="0" w:type="dxa"/>
            <w:right w:w="108" w:type="dxa"/>
          </w:tblCellMar>
        </w:tblPrEx>
        <w:trPr>
          <w:jc w:val="center"/>
        </w:trPr>
        <w:tc>
          <w:tcPr>
            <w:tcW w:w="2768" w:type="dxa"/>
            <w:vAlign w:val="center"/>
          </w:tcPr>
          <w:p w14:paraId="253543D3">
            <w:r>
              <w:rPr>
                <w:rFonts w:hint="eastAsia"/>
              </w:rPr>
              <w:t>衍生金融负债</w:t>
            </w:r>
          </w:p>
        </w:tc>
        <w:tc>
          <w:tcPr>
            <w:tcW w:w="2768" w:type="dxa"/>
            <w:vAlign w:val="center"/>
          </w:tcPr>
          <w:p w14:paraId="1445C64C">
            <w:r>
              <w:rPr>
                <w:rFonts w:hint="eastAsia"/>
              </w:rPr>
              <w:t>7.4.7.3</w:t>
            </w:r>
          </w:p>
        </w:tc>
        <w:tc>
          <w:tcPr>
            <w:tcW w:w="2768" w:type="dxa"/>
            <w:vAlign w:val="center"/>
          </w:tcPr>
          <w:p w14:paraId="2764C65B">
            <w:pPr>
              <w:jc w:val="right"/>
            </w:pPr>
            <w:r>
              <w:rPr>
                <w:rFonts w:hint="eastAsia"/>
              </w:rPr>
              <w:t>-</w:t>
            </w:r>
          </w:p>
        </w:tc>
      </w:tr>
      <w:tr w14:paraId="2D92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2E8C9">
            <w:r>
              <w:rPr>
                <w:rFonts w:hint="eastAsia"/>
              </w:rPr>
              <w:t>卖出回购金融资产款</w:t>
            </w:r>
          </w:p>
        </w:tc>
        <w:tc>
          <w:tcPr>
            <w:tcW w:w="2768" w:type="dxa"/>
            <w:vAlign w:val="center"/>
          </w:tcPr>
          <w:p w14:paraId="43B48BE5"/>
        </w:tc>
        <w:tc>
          <w:tcPr>
            <w:tcW w:w="2768" w:type="dxa"/>
            <w:vAlign w:val="center"/>
          </w:tcPr>
          <w:p w14:paraId="6DC57862">
            <w:pPr>
              <w:jc w:val="right"/>
            </w:pPr>
            <w:r>
              <w:rPr>
                <w:rFonts w:hint="eastAsia"/>
              </w:rPr>
              <w:t>261,934,508.02</w:t>
            </w:r>
          </w:p>
        </w:tc>
      </w:tr>
      <w:tr w14:paraId="1788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D6263">
            <w:r>
              <w:rPr>
                <w:rFonts w:hint="eastAsia"/>
              </w:rPr>
              <w:t>应付清算款</w:t>
            </w:r>
          </w:p>
        </w:tc>
        <w:tc>
          <w:tcPr>
            <w:tcW w:w="2768" w:type="dxa"/>
            <w:vAlign w:val="center"/>
          </w:tcPr>
          <w:p w14:paraId="17487B29"/>
        </w:tc>
        <w:tc>
          <w:tcPr>
            <w:tcW w:w="2768" w:type="dxa"/>
            <w:vAlign w:val="center"/>
          </w:tcPr>
          <w:p w14:paraId="493E8AA7">
            <w:pPr>
              <w:jc w:val="right"/>
            </w:pPr>
            <w:r>
              <w:rPr>
                <w:rFonts w:hint="eastAsia"/>
              </w:rPr>
              <w:t>6,221,614.51</w:t>
            </w:r>
          </w:p>
        </w:tc>
      </w:tr>
      <w:tr w14:paraId="0353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322DF">
            <w:r>
              <w:rPr>
                <w:rFonts w:hint="eastAsia"/>
              </w:rPr>
              <w:t>应付赎回款</w:t>
            </w:r>
          </w:p>
        </w:tc>
        <w:tc>
          <w:tcPr>
            <w:tcW w:w="2768" w:type="dxa"/>
            <w:vAlign w:val="center"/>
          </w:tcPr>
          <w:p w14:paraId="37890729"/>
        </w:tc>
        <w:tc>
          <w:tcPr>
            <w:tcW w:w="2768" w:type="dxa"/>
            <w:vAlign w:val="center"/>
          </w:tcPr>
          <w:p w14:paraId="37B866A3">
            <w:pPr>
              <w:jc w:val="right"/>
            </w:pPr>
            <w:r>
              <w:rPr>
                <w:rFonts w:hint="eastAsia"/>
              </w:rPr>
              <w:t>29,116,045.17</w:t>
            </w:r>
          </w:p>
        </w:tc>
      </w:tr>
      <w:tr w14:paraId="4C22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9C09A">
            <w:r>
              <w:rPr>
                <w:rFonts w:hint="eastAsia"/>
              </w:rPr>
              <w:t>应付管理人报酬</w:t>
            </w:r>
          </w:p>
        </w:tc>
        <w:tc>
          <w:tcPr>
            <w:tcW w:w="2768" w:type="dxa"/>
            <w:vAlign w:val="center"/>
          </w:tcPr>
          <w:p w14:paraId="1366B8F3"/>
        </w:tc>
        <w:tc>
          <w:tcPr>
            <w:tcW w:w="2768" w:type="dxa"/>
            <w:vAlign w:val="center"/>
          </w:tcPr>
          <w:p w14:paraId="42DFF885">
            <w:pPr>
              <w:jc w:val="right"/>
            </w:pPr>
            <w:r>
              <w:rPr>
                <w:rFonts w:hint="eastAsia"/>
              </w:rPr>
              <w:t>1,400,027.63</w:t>
            </w:r>
          </w:p>
        </w:tc>
      </w:tr>
      <w:tr w14:paraId="2B9E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994F5">
            <w:r>
              <w:rPr>
                <w:rFonts w:hint="eastAsia"/>
              </w:rPr>
              <w:t>应付托管费</w:t>
            </w:r>
          </w:p>
        </w:tc>
        <w:tc>
          <w:tcPr>
            <w:tcW w:w="2768" w:type="dxa"/>
            <w:vAlign w:val="center"/>
          </w:tcPr>
          <w:p w14:paraId="26139917"/>
        </w:tc>
        <w:tc>
          <w:tcPr>
            <w:tcW w:w="2768" w:type="dxa"/>
            <w:vAlign w:val="center"/>
          </w:tcPr>
          <w:p w14:paraId="5F466C2E">
            <w:pPr>
              <w:jc w:val="right"/>
            </w:pPr>
            <w:r>
              <w:rPr>
                <w:rFonts w:hint="eastAsia"/>
              </w:rPr>
              <w:t>280,005.52</w:t>
            </w:r>
          </w:p>
        </w:tc>
      </w:tr>
      <w:tr w14:paraId="4CE0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A2C4A">
            <w:r>
              <w:rPr>
                <w:rFonts w:hint="eastAsia"/>
              </w:rPr>
              <w:t>应付销售服务费</w:t>
            </w:r>
          </w:p>
        </w:tc>
        <w:tc>
          <w:tcPr>
            <w:tcW w:w="2768" w:type="dxa"/>
            <w:vAlign w:val="center"/>
          </w:tcPr>
          <w:p w14:paraId="695348C7"/>
        </w:tc>
        <w:tc>
          <w:tcPr>
            <w:tcW w:w="2768" w:type="dxa"/>
            <w:vAlign w:val="center"/>
          </w:tcPr>
          <w:p w14:paraId="07116D9D">
            <w:pPr>
              <w:jc w:val="right"/>
            </w:pPr>
            <w:r>
              <w:rPr>
                <w:rFonts w:hint="eastAsia"/>
              </w:rPr>
              <w:t>624,010.21</w:t>
            </w:r>
          </w:p>
        </w:tc>
      </w:tr>
      <w:tr w14:paraId="5C58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BD251">
            <w:r>
              <w:rPr>
                <w:rFonts w:hint="eastAsia"/>
              </w:rPr>
              <w:t>应付投资顾问费</w:t>
            </w:r>
          </w:p>
        </w:tc>
        <w:tc>
          <w:tcPr>
            <w:tcW w:w="2768" w:type="dxa"/>
            <w:vAlign w:val="center"/>
          </w:tcPr>
          <w:p w14:paraId="3EFDE760"/>
        </w:tc>
        <w:tc>
          <w:tcPr>
            <w:tcW w:w="2768" w:type="dxa"/>
            <w:vAlign w:val="center"/>
          </w:tcPr>
          <w:p w14:paraId="27712C42">
            <w:pPr>
              <w:jc w:val="right"/>
            </w:pPr>
            <w:r>
              <w:rPr>
                <w:rFonts w:hint="eastAsia"/>
              </w:rPr>
              <w:t>-</w:t>
            </w:r>
          </w:p>
        </w:tc>
      </w:tr>
      <w:tr w14:paraId="69C7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B63DED">
            <w:r>
              <w:rPr>
                <w:rFonts w:hint="eastAsia"/>
              </w:rPr>
              <w:t>应交税费</w:t>
            </w:r>
          </w:p>
        </w:tc>
        <w:tc>
          <w:tcPr>
            <w:tcW w:w="2768" w:type="dxa"/>
            <w:vAlign w:val="center"/>
          </w:tcPr>
          <w:p w14:paraId="2B7A69BA"/>
        </w:tc>
        <w:tc>
          <w:tcPr>
            <w:tcW w:w="2768" w:type="dxa"/>
            <w:vAlign w:val="center"/>
          </w:tcPr>
          <w:p w14:paraId="361D28C6">
            <w:pPr>
              <w:jc w:val="right"/>
            </w:pPr>
            <w:r>
              <w:rPr>
                <w:rFonts w:hint="eastAsia"/>
              </w:rPr>
              <w:t>22,289.13</w:t>
            </w:r>
          </w:p>
        </w:tc>
      </w:tr>
      <w:tr w14:paraId="1166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271B3F">
            <w:r>
              <w:rPr>
                <w:rFonts w:hint="eastAsia"/>
              </w:rPr>
              <w:t>应付利润</w:t>
            </w:r>
          </w:p>
        </w:tc>
        <w:tc>
          <w:tcPr>
            <w:tcW w:w="2768" w:type="dxa"/>
            <w:vAlign w:val="center"/>
          </w:tcPr>
          <w:p w14:paraId="6751BE6D"/>
        </w:tc>
        <w:tc>
          <w:tcPr>
            <w:tcW w:w="2768" w:type="dxa"/>
            <w:vAlign w:val="center"/>
          </w:tcPr>
          <w:p w14:paraId="3942B3AC">
            <w:pPr>
              <w:jc w:val="right"/>
            </w:pPr>
            <w:r>
              <w:rPr>
                <w:rFonts w:hint="eastAsia"/>
              </w:rPr>
              <w:t>-</w:t>
            </w:r>
          </w:p>
        </w:tc>
      </w:tr>
      <w:tr w14:paraId="6E12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208B4">
            <w:r>
              <w:rPr>
                <w:rFonts w:hint="eastAsia"/>
              </w:rPr>
              <w:t>递延所得税负债</w:t>
            </w:r>
          </w:p>
        </w:tc>
        <w:tc>
          <w:tcPr>
            <w:tcW w:w="2768" w:type="dxa"/>
            <w:vAlign w:val="center"/>
          </w:tcPr>
          <w:p w14:paraId="66415B17"/>
        </w:tc>
        <w:tc>
          <w:tcPr>
            <w:tcW w:w="2768" w:type="dxa"/>
            <w:vAlign w:val="center"/>
          </w:tcPr>
          <w:p w14:paraId="258353E6">
            <w:pPr>
              <w:jc w:val="right"/>
            </w:pPr>
            <w:r>
              <w:rPr>
                <w:rFonts w:hint="eastAsia"/>
              </w:rPr>
              <w:t>-</w:t>
            </w:r>
          </w:p>
        </w:tc>
      </w:tr>
      <w:tr w14:paraId="195190C4">
        <w:tblPrEx>
          <w:tblCellMar>
            <w:top w:w="0" w:type="dxa"/>
            <w:left w:w="108" w:type="dxa"/>
            <w:bottom w:w="0" w:type="dxa"/>
            <w:right w:w="108" w:type="dxa"/>
          </w:tblCellMar>
        </w:tblPrEx>
        <w:trPr>
          <w:jc w:val="center"/>
        </w:trPr>
        <w:tc>
          <w:tcPr>
            <w:tcW w:w="2768" w:type="dxa"/>
            <w:vAlign w:val="center"/>
          </w:tcPr>
          <w:p w14:paraId="6FB16865">
            <w:r>
              <w:rPr>
                <w:rFonts w:hint="eastAsia"/>
              </w:rPr>
              <w:t>其他负债</w:t>
            </w:r>
          </w:p>
        </w:tc>
        <w:tc>
          <w:tcPr>
            <w:tcW w:w="2768" w:type="dxa"/>
            <w:vAlign w:val="center"/>
          </w:tcPr>
          <w:p w14:paraId="219BD6D3">
            <w:r>
              <w:rPr>
                <w:rFonts w:hint="eastAsia"/>
              </w:rPr>
              <w:t>7.4.7.6</w:t>
            </w:r>
          </w:p>
        </w:tc>
        <w:tc>
          <w:tcPr>
            <w:tcW w:w="2768" w:type="dxa"/>
            <w:vAlign w:val="center"/>
          </w:tcPr>
          <w:p w14:paraId="15A4F572">
            <w:pPr>
              <w:jc w:val="right"/>
            </w:pPr>
            <w:r>
              <w:rPr>
                <w:rFonts w:hint="eastAsia"/>
              </w:rPr>
              <w:t>230,731.75</w:t>
            </w:r>
          </w:p>
        </w:tc>
      </w:tr>
      <w:tr w14:paraId="71E17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D06CB">
            <w:r>
              <w:rPr>
                <w:rFonts w:hint="eastAsia"/>
              </w:rPr>
              <w:t>负债合计</w:t>
            </w:r>
          </w:p>
        </w:tc>
        <w:tc>
          <w:tcPr>
            <w:tcW w:w="2768" w:type="dxa"/>
            <w:vAlign w:val="center"/>
          </w:tcPr>
          <w:p w14:paraId="7BB59EA6"/>
        </w:tc>
        <w:tc>
          <w:tcPr>
            <w:tcW w:w="2768" w:type="dxa"/>
            <w:vAlign w:val="center"/>
          </w:tcPr>
          <w:p w14:paraId="59859C24">
            <w:pPr>
              <w:jc w:val="right"/>
            </w:pPr>
            <w:r>
              <w:rPr>
                <w:rFonts w:hint="eastAsia"/>
              </w:rPr>
              <w:t>299,829,231.94</w:t>
            </w:r>
          </w:p>
        </w:tc>
      </w:tr>
      <w:tr w14:paraId="4C5F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70FF5E">
            <w:r>
              <w:rPr>
                <w:rFonts w:hint="eastAsia"/>
              </w:rPr>
              <w:t>净资产：</w:t>
            </w:r>
          </w:p>
        </w:tc>
        <w:tc>
          <w:tcPr>
            <w:tcW w:w="2768" w:type="dxa"/>
            <w:vAlign w:val="center"/>
          </w:tcPr>
          <w:p w14:paraId="1CE0F60D"/>
        </w:tc>
        <w:tc>
          <w:tcPr>
            <w:tcW w:w="2768" w:type="dxa"/>
            <w:vAlign w:val="center"/>
          </w:tcPr>
          <w:p w14:paraId="289D306B"/>
        </w:tc>
      </w:tr>
      <w:tr w14:paraId="3B89204A">
        <w:tblPrEx>
          <w:tblCellMar>
            <w:top w:w="0" w:type="dxa"/>
            <w:left w:w="108" w:type="dxa"/>
            <w:bottom w:w="0" w:type="dxa"/>
            <w:right w:w="108" w:type="dxa"/>
          </w:tblCellMar>
        </w:tblPrEx>
        <w:trPr>
          <w:jc w:val="center"/>
        </w:trPr>
        <w:tc>
          <w:tcPr>
            <w:tcW w:w="2768" w:type="dxa"/>
            <w:vAlign w:val="center"/>
          </w:tcPr>
          <w:p w14:paraId="7132C39D">
            <w:r>
              <w:rPr>
                <w:rFonts w:hint="eastAsia"/>
              </w:rPr>
              <w:t>实收基金</w:t>
            </w:r>
          </w:p>
        </w:tc>
        <w:tc>
          <w:tcPr>
            <w:tcW w:w="2768" w:type="dxa"/>
            <w:vAlign w:val="center"/>
          </w:tcPr>
          <w:p w14:paraId="585A6B48">
            <w:r>
              <w:rPr>
                <w:rFonts w:hint="eastAsia"/>
              </w:rPr>
              <w:t>7.4.7.7</w:t>
            </w:r>
          </w:p>
        </w:tc>
        <w:tc>
          <w:tcPr>
            <w:tcW w:w="2768" w:type="dxa"/>
            <w:vAlign w:val="center"/>
          </w:tcPr>
          <w:p w14:paraId="5CAE8653">
            <w:pPr>
              <w:jc w:val="right"/>
            </w:pPr>
            <w:r>
              <w:rPr>
                <w:rFonts w:hint="eastAsia"/>
              </w:rPr>
              <w:t>3,165,890,304.87</w:t>
            </w:r>
          </w:p>
        </w:tc>
      </w:tr>
      <w:tr w14:paraId="7F19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BD8DD">
            <w:r>
              <w:rPr>
                <w:rFonts w:hint="eastAsia"/>
              </w:rPr>
              <w:t>其他综合收益</w:t>
            </w:r>
          </w:p>
        </w:tc>
        <w:tc>
          <w:tcPr>
            <w:tcW w:w="2768" w:type="dxa"/>
            <w:vAlign w:val="center"/>
          </w:tcPr>
          <w:p w14:paraId="2403A032"/>
        </w:tc>
        <w:tc>
          <w:tcPr>
            <w:tcW w:w="2768" w:type="dxa"/>
            <w:vAlign w:val="center"/>
          </w:tcPr>
          <w:p w14:paraId="4CD90E6A">
            <w:pPr>
              <w:jc w:val="right"/>
            </w:pPr>
            <w:r>
              <w:rPr>
                <w:rFonts w:hint="eastAsia"/>
              </w:rPr>
              <w:t>-</w:t>
            </w:r>
          </w:p>
        </w:tc>
      </w:tr>
      <w:tr w14:paraId="3C4C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F1470">
            <w:r>
              <w:rPr>
                <w:rFonts w:hint="eastAsia"/>
              </w:rPr>
              <w:t>未分配利润</w:t>
            </w:r>
          </w:p>
        </w:tc>
        <w:tc>
          <w:tcPr>
            <w:tcW w:w="2768" w:type="dxa"/>
            <w:vAlign w:val="center"/>
          </w:tcPr>
          <w:p w14:paraId="3C21521E">
            <w:r>
              <w:rPr>
                <w:rFonts w:hint="eastAsia"/>
              </w:rPr>
              <w:t>7.4.7.8</w:t>
            </w:r>
          </w:p>
        </w:tc>
        <w:tc>
          <w:tcPr>
            <w:tcW w:w="2768" w:type="dxa"/>
            <w:vAlign w:val="center"/>
          </w:tcPr>
          <w:p w14:paraId="400F72C4">
            <w:pPr>
              <w:jc w:val="right"/>
            </w:pPr>
            <w:r>
              <w:rPr>
                <w:rFonts w:hint="eastAsia"/>
              </w:rPr>
              <w:t>46,230,977.73</w:t>
            </w:r>
          </w:p>
        </w:tc>
      </w:tr>
      <w:tr w14:paraId="1BC81BC9">
        <w:tblPrEx>
          <w:tblCellMar>
            <w:top w:w="0" w:type="dxa"/>
            <w:left w:w="108" w:type="dxa"/>
            <w:bottom w:w="0" w:type="dxa"/>
            <w:right w:w="108" w:type="dxa"/>
          </w:tblCellMar>
        </w:tblPrEx>
        <w:trPr>
          <w:jc w:val="center"/>
        </w:trPr>
        <w:tc>
          <w:tcPr>
            <w:tcW w:w="2768" w:type="dxa"/>
            <w:vAlign w:val="center"/>
          </w:tcPr>
          <w:p w14:paraId="2451177C">
            <w:r>
              <w:rPr>
                <w:rFonts w:hint="eastAsia"/>
              </w:rPr>
              <w:t>净资产合计</w:t>
            </w:r>
          </w:p>
        </w:tc>
        <w:tc>
          <w:tcPr>
            <w:tcW w:w="2768" w:type="dxa"/>
            <w:vAlign w:val="center"/>
          </w:tcPr>
          <w:p w14:paraId="2BCA80FF"/>
        </w:tc>
        <w:tc>
          <w:tcPr>
            <w:tcW w:w="2768" w:type="dxa"/>
            <w:vAlign w:val="center"/>
          </w:tcPr>
          <w:p w14:paraId="36144536">
            <w:pPr>
              <w:jc w:val="right"/>
            </w:pPr>
            <w:r>
              <w:rPr>
                <w:rFonts w:hint="eastAsia"/>
              </w:rPr>
              <w:t>3,212,121,282.60</w:t>
            </w:r>
          </w:p>
        </w:tc>
      </w:tr>
      <w:tr w14:paraId="5D15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964F9">
            <w:r>
              <w:rPr>
                <w:rFonts w:hint="eastAsia"/>
              </w:rPr>
              <w:t>负债和净资产总计</w:t>
            </w:r>
          </w:p>
        </w:tc>
        <w:tc>
          <w:tcPr>
            <w:tcW w:w="2768" w:type="dxa"/>
            <w:vAlign w:val="center"/>
          </w:tcPr>
          <w:p w14:paraId="296ADA4A"/>
        </w:tc>
        <w:tc>
          <w:tcPr>
            <w:tcW w:w="2768" w:type="dxa"/>
            <w:vAlign w:val="center"/>
          </w:tcPr>
          <w:p w14:paraId="24610BE5">
            <w:pPr>
              <w:jc w:val="right"/>
            </w:pPr>
            <w:r>
              <w:rPr>
                <w:rFonts w:hint="eastAsia"/>
              </w:rPr>
              <w:t>3,511,950,514.54</w:t>
            </w:r>
          </w:p>
        </w:tc>
      </w:tr>
    </w:tbl>
    <w:p w14:paraId="7E11A2B4">
      <w:pPr>
        <w:pStyle w:val="47"/>
        <w:rPr>
          <w:rFonts w:hint="eastAsia"/>
        </w:rPr>
      </w:pPr>
      <w:r>
        <w:rPr>
          <w:rFonts w:hint="eastAsia"/>
        </w:rPr>
        <w:t>注：1.报告截止日2025年12月31日，南方益稳稳健增利债券A份额净值1.0155元，基金份额总额850,892,763.91份；南方益稳稳健增利债券C份额净值1.0143元，基金份额总额2,314,997,540.96份；总份额合计3,165,890,304.87份。</w:t>
      </w:r>
    </w:p>
    <w:p w14:paraId="48D285E3">
      <w:pPr>
        <w:pStyle w:val="47"/>
        <w:rPr>
          <w:rFonts w:hint="eastAsia"/>
        </w:rPr>
      </w:pPr>
      <w:r>
        <w:tab/>
      </w:r>
      <w:r>
        <w:rPr>
          <w:rFonts w:hint="eastAsia"/>
        </w:rPr>
        <w:t>2.本财务报表的实际编制期间为2025年08月06日(基金合同生效日)至2025年12月31日止期间。</w:t>
      </w:r>
    </w:p>
    <w:p w14:paraId="18357B7F">
      <w:pPr>
        <w:pStyle w:val="23"/>
      </w:pPr>
      <w:bookmarkStart w:id="47" w:name="_Toc29130"/>
      <w:r>
        <w:t>利润表</w:t>
      </w:r>
      <w:bookmarkEnd w:id="47"/>
    </w:p>
    <w:p w14:paraId="39D45746">
      <w:pPr>
        <w:pStyle w:val="18"/>
        <w:rPr>
          <w:rFonts w:hint="eastAsia"/>
        </w:rPr>
      </w:pPr>
      <w:r>
        <w:rPr>
          <w:rFonts w:hint="eastAsia"/>
        </w:rPr>
        <w:t>会计主体：南方益稳稳健增利债券型证券投资基金</w:t>
      </w:r>
    </w:p>
    <w:p w14:paraId="74EE2ED6">
      <w:pPr>
        <w:pStyle w:val="18"/>
        <w:rPr>
          <w:rFonts w:hint="eastAsia"/>
        </w:rPr>
      </w:pPr>
      <w:r>
        <w:rPr>
          <w:rFonts w:hint="eastAsia"/>
        </w:rPr>
        <w:t>本报告期：2025年8月6日(基金合同生效日)至2025年12月31日</w:t>
      </w:r>
    </w:p>
    <w:p w14:paraId="6B3DFE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FF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91F317">
            <w:pPr>
              <w:jc w:val="center"/>
            </w:pPr>
            <w:r>
              <w:rPr>
                <w:rFonts w:hint="eastAsia"/>
                <w:b/>
              </w:rPr>
              <w:t>项目</w:t>
            </w:r>
          </w:p>
        </w:tc>
        <w:tc>
          <w:tcPr>
            <w:tcW w:w="2768" w:type="dxa"/>
            <w:shd w:val="clear" w:color="auto" w:fill="BFBFBF"/>
            <w:vAlign w:val="center"/>
          </w:tcPr>
          <w:p w14:paraId="2068F302">
            <w:pPr>
              <w:jc w:val="center"/>
            </w:pPr>
            <w:r>
              <w:rPr>
                <w:rFonts w:hint="eastAsia"/>
                <w:b/>
              </w:rPr>
              <w:t>附注号</w:t>
            </w:r>
          </w:p>
        </w:tc>
        <w:tc>
          <w:tcPr>
            <w:tcW w:w="2768" w:type="dxa"/>
            <w:shd w:val="clear" w:color="auto" w:fill="BFBFBF"/>
            <w:vAlign w:val="center"/>
          </w:tcPr>
          <w:p w14:paraId="2B24ACBA">
            <w:pPr>
              <w:jc w:val="center"/>
            </w:pPr>
            <w:r>
              <w:rPr>
                <w:rFonts w:hint="eastAsia"/>
                <w:b/>
              </w:rPr>
              <w:t>本期2025年8月6日（基金合同生效日）至2025年12月31日</w:t>
            </w:r>
          </w:p>
        </w:tc>
      </w:tr>
      <w:tr w14:paraId="117F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BF10C">
            <w:r>
              <w:rPr>
                <w:rFonts w:hint="eastAsia"/>
              </w:rPr>
              <w:t>一、营业总收入</w:t>
            </w:r>
          </w:p>
        </w:tc>
        <w:tc>
          <w:tcPr>
            <w:tcW w:w="2768" w:type="dxa"/>
            <w:vAlign w:val="center"/>
          </w:tcPr>
          <w:p w14:paraId="30A6758A"/>
        </w:tc>
        <w:tc>
          <w:tcPr>
            <w:tcW w:w="2768" w:type="dxa"/>
            <w:vAlign w:val="center"/>
          </w:tcPr>
          <w:p w14:paraId="1F97D683">
            <w:pPr>
              <w:jc w:val="right"/>
            </w:pPr>
            <w:r>
              <w:rPr>
                <w:rFonts w:hint="eastAsia"/>
              </w:rPr>
              <w:t>89,474,275.04</w:t>
            </w:r>
          </w:p>
        </w:tc>
      </w:tr>
      <w:tr w14:paraId="4F27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B94E7">
            <w:r>
              <w:rPr>
                <w:rFonts w:hint="eastAsia"/>
              </w:rPr>
              <w:t>1.利息收入</w:t>
            </w:r>
          </w:p>
        </w:tc>
        <w:tc>
          <w:tcPr>
            <w:tcW w:w="2768" w:type="dxa"/>
            <w:vAlign w:val="center"/>
          </w:tcPr>
          <w:p w14:paraId="488D0C17"/>
        </w:tc>
        <w:tc>
          <w:tcPr>
            <w:tcW w:w="2768" w:type="dxa"/>
            <w:vAlign w:val="center"/>
          </w:tcPr>
          <w:p w14:paraId="5A72974C">
            <w:pPr>
              <w:jc w:val="right"/>
            </w:pPr>
            <w:r>
              <w:rPr>
                <w:rFonts w:hint="eastAsia"/>
              </w:rPr>
              <w:t>6,940,812.32</w:t>
            </w:r>
          </w:p>
        </w:tc>
      </w:tr>
      <w:tr w14:paraId="09EA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D4878D">
            <w:r>
              <w:rPr>
                <w:rFonts w:hint="eastAsia"/>
              </w:rPr>
              <w:t>其中：存款利息收入</w:t>
            </w:r>
          </w:p>
        </w:tc>
        <w:tc>
          <w:tcPr>
            <w:tcW w:w="2768" w:type="dxa"/>
            <w:vAlign w:val="center"/>
          </w:tcPr>
          <w:p w14:paraId="085E269D">
            <w:r>
              <w:rPr>
                <w:rFonts w:hint="eastAsia"/>
              </w:rPr>
              <w:t>7.4.7.9</w:t>
            </w:r>
          </w:p>
        </w:tc>
        <w:tc>
          <w:tcPr>
            <w:tcW w:w="2768" w:type="dxa"/>
            <w:vAlign w:val="center"/>
          </w:tcPr>
          <w:p w14:paraId="5BAEFAAE">
            <w:pPr>
              <w:jc w:val="right"/>
            </w:pPr>
            <w:r>
              <w:rPr>
                <w:rFonts w:hint="eastAsia"/>
              </w:rPr>
              <w:t>3,723,842.46</w:t>
            </w:r>
          </w:p>
        </w:tc>
      </w:tr>
      <w:tr w14:paraId="4C9A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C4B10">
            <w:r>
              <w:rPr>
                <w:rFonts w:hint="eastAsia"/>
              </w:rPr>
              <w:t xml:space="preserve">      债券利息收入</w:t>
            </w:r>
          </w:p>
        </w:tc>
        <w:tc>
          <w:tcPr>
            <w:tcW w:w="2768" w:type="dxa"/>
            <w:vAlign w:val="center"/>
          </w:tcPr>
          <w:p w14:paraId="1FC7B8A0"/>
        </w:tc>
        <w:tc>
          <w:tcPr>
            <w:tcW w:w="2768" w:type="dxa"/>
            <w:vAlign w:val="center"/>
          </w:tcPr>
          <w:p w14:paraId="4FDCDA37">
            <w:pPr>
              <w:jc w:val="right"/>
            </w:pPr>
            <w:r>
              <w:rPr>
                <w:rFonts w:hint="eastAsia"/>
              </w:rPr>
              <w:t>-</w:t>
            </w:r>
          </w:p>
        </w:tc>
      </w:tr>
      <w:tr w14:paraId="2499B66B">
        <w:tblPrEx>
          <w:tblCellMar>
            <w:top w:w="0" w:type="dxa"/>
            <w:left w:w="108" w:type="dxa"/>
            <w:bottom w:w="0" w:type="dxa"/>
            <w:right w:w="108" w:type="dxa"/>
          </w:tblCellMar>
        </w:tblPrEx>
        <w:trPr>
          <w:jc w:val="center"/>
        </w:trPr>
        <w:tc>
          <w:tcPr>
            <w:tcW w:w="2768" w:type="dxa"/>
            <w:vAlign w:val="center"/>
          </w:tcPr>
          <w:p w14:paraId="7DF93396">
            <w:r>
              <w:rPr>
                <w:rFonts w:hint="eastAsia"/>
              </w:rPr>
              <w:t xml:space="preserve">      资产支持证券利息收入</w:t>
            </w:r>
          </w:p>
        </w:tc>
        <w:tc>
          <w:tcPr>
            <w:tcW w:w="2768" w:type="dxa"/>
            <w:vAlign w:val="center"/>
          </w:tcPr>
          <w:p w14:paraId="485A8070"/>
        </w:tc>
        <w:tc>
          <w:tcPr>
            <w:tcW w:w="2768" w:type="dxa"/>
            <w:vAlign w:val="center"/>
          </w:tcPr>
          <w:p w14:paraId="1C278EFC">
            <w:pPr>
              <w:jc w:val="right"/>
            </w:pPr>
            <w:r>
              <w:rPr>
                <w:rFonts w:hint="eastAsia"/>
              </w:rPr>
              <w:t>-</w:t>
            </w:r>
          </w:p>
        </w:tc>
      </w:tr>
      <w:tr w14:paraId="2F3D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3A2C5">
            <w:r>
              <w:rPr>
                <w:rFonts w:hint="eastAsia"/>
              </w:rPr>
              <w:t xml:space="preserve">      买入返售金融资产收入</w:t>
            </w:r>
          </w:p>
        </w:tc>
        <w:tc>
          <w:tcPr>
            <w:tcW w:w="2768" w:type="dxa"/>
            <w:vAlign w:val="center"/>
          </w:tcPr>
          <w:p w14:paraId="4EA2B283"/>
        </w:tc>
        <w:tc>
          <w:tcPr>
            <w:tcW w:w="2768" w:type="dxa"/>
            <w:vAlign w:val="center"/>
          </w:tcPr>
          <w:p w14:paraId="17A31455">
            <w:pPr>
              <w:jc w:val="right"/>
            </w:pPr>
            <w:r>
              <w:rPr>
                <w:rFonts w:hint="eastAsia"/>
              </w:rPr>
              <w:t>3,216,969.86</w:t>
            </w:r>
          </w:p>
        </w:tc>
      </w:tr>
      <w:tr w14:paraId="258AF5C2">
        <w:tblPrEx>
          <w:tblCellMar>
            <w:top w:w="0" w:type="dxa"/>
            <w:left w:w="108" w:type="dxa"/>
            <w:bottom w:w="0" w:type="dxa"/>
            <w:right w:w="108" w:type="dxa"/>
          </w:tblCellMar>
        </w:tblPrEx>
        <w:trPr>
          <w:jc w:val="center"/>
        </w:trPr>
        <w:tc>
          <w:tcPr>
            <w:tcW w:w="2768" w:type="dxa"/>
            <w:vAlign w:val="center"/>
          </w:tcPr>
          <w:p w14:paraId="02910C55">
            <w:r>
              <w:rPr>
                <w:rFonts w:hint="eastAsia"/>
              </w:rPr>
              <w:t xml:space="preserve">      其他利息收入</w:t>
            </w:r>
          </w:p>
        </w:tc>
        <w:tc>
          <w:tcPr>
            <w:tcW w:w="2768" w:type="dxa"/>
            <w:vAlign w:val="center"/>
          </w:tcPr>
          <w:p w14:paraId="7ACD41F1"/>
        </w:tc>
        <w:tc>
          <w:tcPr>
            <w:tcW w:w="2768" w:type="dxa"/>
            <w:vAlign w:val="center"/>
          </w:tcPr>
          <w:p w14:paraId="10824D40">
            <w:pPr>
              <w:jc w:val="right"/>
            </w:pPr>
            <w:r>
              <w:rPr>
                <w:rFonts w:hint="eastAsia"/>
              </w:rPr>
              <w:t>-</w:t>
            </w:r>
          </w:p>
        </w:tc>
      </w:tr>
      <w:tr w14:paraId="2AD1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88E93">
            <w:r>
              <w:rPr>
                <w:rFonts w:hint="eastAsia"/>
              </w:rPr>
              <w:t>2.投资收益（损失以“-”填列）</w:t>
            </w:r>
          </w:p>
        </w:tc>
        <w:tc>
          <w:tcPr>
            <w:tcW w:w="2768" w:type="dxa"/>
            <w:vAlign w:val="center"/>
          </w:tcPr>
          <w:p w14:paraId="3CAE23CE"/>
        </w:tc>
        <w:tc>
          <w:tcPr>
            <w:tcW w:w="2768" w:type="dxa"/>
            <w:vAlign w:val="center"/>
          </w:tcPr>
          <w:p w14:paraId="4FCFED42">
            <w:pPr>
              <w:jc w:val="right"/>
            </w:pPr>
            <w:r>
              <w:rPr>
                <w:rFonts w:hint="eastAsia"/>
              </w:rPr>
              <w:t>43,171,966.92</w:t>
            </w:r>
          </w:p>
        </w:tc>
      </w:tr>
      <w:tr w14:paraId="3DA6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ECD26">
            <w:r>
              <w:rPr>
                <w:rFonts w:hint="eastAsia"/>
              </w:rPr>
              <w:t>其中：股票投资收益</w:t>
            </w:r>
          </w:p>
        </w:tc>
        <w:tc>
          <w:tcPr>
            <w:tcW w:w="2768" w:type="dxa"/>
            <w:vAlign w:val="center"/>
          </w:tcPr>
          <w:p w14:paraId="3A83962C">
            <w:r>
              <w:rPr>
                <w:rFonts w:hint="eastAsia"/>
              </w:rPr>
              <w:t>7.4.7.10</w:t>
            </w:r>
          </w:p>
        </w:tc>
        <w:tc>
          <w:tcPr>
            <w:tcW w:w="2768" w:type="dxa"/>
            <w:vAlign w:val="center"/>
          </w:tcPr>
          <w:p w14:paraId="598D4E77">
            <w:pPr>
              <w:jc w:val="right"/>
            </w:pPr>
            <w:r>
              <w:rPr>
                <w:rFonts w:hint="eastAsia"/>
              </w:rPr>
              <w:t>22,036,188.29</w:t>
            </w:r>
          </w:p>
        </w:tc>
      </w:tr>
      <w:tr w14:paraId="1675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C97478">
            <w:r>
              <w:rPr>
                <w:rFonts w:hint="eastAsia"/>
              </w:rPr>
              <w:t xml:space="preserve">      基金投资收益</w:t>
            </w:r>
          </w:p>
        </w:tc>
        <w:tc>
          <w:tcPr>
            <w:tcW w:w="2768" w:type="dxa"/>
            <w:vAlign w:val="center"/>
          </w:tcPr>
          <w:p w14:paraId="5A732B19">
            <w:r>
              <w:rPr>
                <w:rFonts w:hint="eastAsia"/>
              </w:rPr>
              <w:t>7.4.7.11</w:t>
            </w:r>
          </w:p>
        </w:tc>
        <w:tc>
          <w:tcPr>
            <w:tcW w:w="2768" w:type="dxa"/>
            <w:vAlign w:val="center"/>
          </w:tcPr>
          <w:p w14:paraId="29816709">
            <w:pPr>
              <w:jc w:val="right"/>
            </w:pPr>
            <w:r>
              <w:rPr>
                <w:rFonts w:hint="eastAsia"/>
              </w:rPr>
              <w:t>-</w:t>
            </w:r>
          </w:p>
        </w:tc>
      </w:tr>
      <w:tr w14:paraId="402D6304">
        <w:tblPrEx>
          <w:tblCellMar>
            <w:top w:w="0" w:type="dxa"/>
            <w:left w:w="108" w:type="dxa"/>
            <w:bottom w:w="0" w:type="dxa"/>
            <w:right w:w="108" w:type="dxa"/>
          </w:tblCellMar>
        </w:tblPrEx>
        <w:trPr>
          <w:jc w:val="center"/>
        </w:trPr>
        <w:tc>
          <w:tcPr>
            <w:tcW w:w="2768" w:type="dxa"/>
            <w:vAlign w:val="center"/>
          </w:tcPr>
          <w:p w14:paraId="15F7E035">
            <w:r>
              <w:rPr>
                <w:rFonts w:hint="eastAsia"/>
              </w:rPr>
              <w:t xml:space="preserve">      债券投资收益</w:t>
            </w:r>
          </w:p>
        </w:tc>
        <w:tc>
          <w:tcPr>
            <w:tcW w:w="2768" w:type="dxa"/>
            <w:vAlign w:val="center"/>
          </w:tcPr>
          <w:p w14:paraId="70B93343">
            <w:r>
              <w:rPr>
                <w:rFonts w:hint="eastAsia"/>
              </w:rPr>
              <w:t>7.4.7.12</w:t>
            </w:r>
          </w:p>
        </w:tc>
        <w:tc>
          <w:tcPr>
            <w:tcW w:w="2768" w:type="dxa"/>
            <w:vAlign w:val="center"/>
          </w:tcPr>
          <w:p w14:paraId="74FF7058">
            <w:pPr>
              <w:jc w:val="right"/>
            </w:pPr>
            <w:r>
              <w:rPr>
                <w:rFonts w:hint="eastAsia"/>
              </w:rPr>
              <w:t>18,127,457.30</w:t>
            </w:r>
          </w:p>
        </w:tc>
      </w:tr>
      <w:tr w14:paraId="0364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00C84">
            <w:r>
              <w:rPr>
                <w:rFonts w:hint="eastAsia"/>
              </w:rPr>
              <w:t xml:space="preserve">      资产支持证券投资收益</w:t>
            </w:r>
          </w:p>
        </w:tc>
        <w:tc>
          <w:tcPr>
            <w:tcW w:w="2768" w:type="dxa"/>
            <w:vAlign w:val="center"/>
          </w:tcPr>
          <w:p w14:paraId="65AE2945">
            <w:r>
              <w:rPr>
                <w:rFonts w:hint="eastAsia"/>
              </w:rPr>
              <w:t>7.4.7.13</w:t>
            </w:r>
          </w:p>
        </w:tc>
        <w:tc>
          <w:tcPr>
            <w:tcW w:w="2768" w:type="dxa"/>
            <w:vAlign w:val="center"/>
          </w:tcPr>
          <w:p w14:paraId="103F596D">
            <w:pPr>
              <w:jc w:val="right"/>
            </w:pPr>
            <w:r>
              <w:rPr>
                <w:rFonts w:hint="eastAsia"/>
              </w:rPr>
              <w:t>-</w:t>
            </w:r>
          </w:p>
        </w:tc>
      </w:tr>
      <w:tr w14:paraId="6C9A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80F80A">
            <w:r>
              <w:rPr>
                <w:rFonts w:hint="eastAsia"/>
              </w:rPr>
              <w:t xml:space="preserve">      贵金属投资收益</w:t>
            </w:r>
          </w:p>
        </w:tc>
        <w:tc>
          <w:tcPr>
            <w:tcW w:w="2768" w:type="dxa"/>
            <w:vAlign w:val="center"/>
          </w:tcPr>
          <w:p w14:paraId="0AB3B4C6"/>
        </w:tc>
        <w:tc>
          <w:tcPr>
            <w:tcW w:w="2768" w:type="dxa"/>
            <w:vAlign w:val="center"/>
          </w:tcPr>
          <w:p w14:paraId="5737ABAB">
            <w:pPr>
              <w:jc w:val="right"/>
            </w:pPr>
            <w:r>
              <w:rPr>
                <w:rFonts w:hint="eastAsia"/>
              </w:rPr>
              <w:t>-</w:t>
            </w:r>
          </w:p>
        </w:tc>
      </w:tr>
      <w:tr w14:paraId="26BD7325">
        <w:tblPrEx>
          <w:tblCellMar>
            <w:top w:w="0" w:type="dxa"/>
            <w:left w:w="108" w:type="dxa"/>
            <w:bottom w:w="0" w:type="dxa"/>
            <w:right w:w="108" w:type="dxa"/>
          </w:tblCellMar>
        </w:tblPrEx>
        <w:trPr>
          <w:jc w:val="center"/>
        </w:trPr>
        <w:tc>
          <w:tcPr>
            <w:tcW w:w="2768" w:type="dxa"/>
            <w:vAlign w:val="center"/>
          </w:tcPr>
          <w:p w14:paraId="3F5CF5D0">
            <w:r>
              <w:rPr>
                <w:rFonts w:hint="eastAsia"/>
              </w:rPr>
              <w:t xml:space="preserve">      衍生工具收益</w:t>
            </w:r>
          </w:p>
        </w:tc>
        <w:tc>
          <w:tcPr>
            <w:tcW w:w="2768" w:type="dxa"/>
            <w:vAlign w:val="center"/>
          </w:tcPr>
          <w:p w14:paraId="37C44DD0">
            <w:r>
              <w:rPr>
                <w:rFonts w:hint="eastAsia"/>
              </w:rPr>
              <w:t>7.4.7.14</w:t>
            </w:r>
          </w:p>
        </w:tc>
        <w:tc>
          <w:tcPr>
            <w:tcW w:w="2768" w:type="dxa"/>
            <w:vAlign w:val="center"/>
          </w:tcPr>
          <w:p w14:paraId="1C08069B">
            <w:pPr>
              <w:jc w:val="right"/>
            </w:pPr>
            <w:r>
              <w:rPr>
                <w:rFonts w:hint="eastAsia"/>
              </w:rPr>
              <w:t>-</w:t>
            </w:r>
          </w:p>
        </w:tc>
      </w:tr>
      <w:tr w14:paraId="70C4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25C30">
            <w:r>
              <w:rPr>
                <w:rFonts w:hint="eastAsia"/>
              </w:rPr>
              <w:t xml:space="preserve">      股利收益</w:t>
            </w:r>
          </w:p>
        </w:tc>
        <w:tc>
          <w:tcPr>
            <w:tcW w:w="2768" w:type="dxa"/>
            <w:vAlign w:val="center"/>
          </w:tcPr>
          <w:p w14:paraId="6423C7CF">
            <w:r>
              <w:rPr>
                <w:rFonts w:hint="eastAsia"/>
              </w:rPr>
              <w:t>7.4.7.15</w:t>
            </w:r>
          </w:p>
        </w:tc>
        <w:tc>
          <w:tcPr>
            <w:tcW w:w="2768" w:type="dxa"/>
            <w:vAlign w:val="center"/>
          </w:tcPr>
          <w:p w14:paraId="1B683B8C">
            <w:pPr>
              <w:jc w:val="right"/>
            </w:pPr>
            <w:r>
              <w:rPr>
                <w:rFonts w:hint="eastAsia"/>
              </w:rPr>
              <w:t>3,008,321.33</w:t>
            </w:r>
          </w:p>
        </w:tc>
      </w:tr>
      <w:tr w14:paraId="6EB4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2D59C">
            <w:r>
              <w:rPr>
                <w:rFonts w:hint="eastAsia"/>
              </w:rPr>
              <w:t xml:space="preserve">      以摊余成本计量的金融资产终止确认产生的收益</w:t>
            </w:r>
          </w:p>
        </w:tc>
        <w:tc>
          <w:tcPr>
            <w:tcW w:w="2768" w:type="dxa"/>
            <w:vAlign w:val="center"/>
          </w:tcPr>
          <w:p w14:paraId="3E9BA290"/>
        </w:tc>
        <w:tc>
          <w:tcPr>
            <w:tcW w:w="2768" w:type="dxa"/>
            <w:vAlign w:val="center"/>
          </w:tcPr>
          <w:p w14:paraId="4327C6DE">
            <w:pPr>
              <w:jc w:val="right"/>
            </w:pPr>
            <w:r>
              <w:rPr>
                <w:rFonts w:hint="eastAsia"/>
              </w:rPr>
              <w:t>-</w:t>
            </w:r>
          </w:p>
        </w:tc>
      </w:tr>
      <w:tr w14:paraId="55A3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6E8C8">
            <w:r>
              <w:rPr>
                <w:rFonts w:hint="eastAsia"/>
              </w:rPr>
              <w:t xml:space="preserve">      其他投资收益</w:t>
            </w:r>
          </w:p>
        </w:tc>
        <w:tc>
          <w:tcPr>
            <w:tcW w:w="2768" w:type="dxa"/>
            <w:vAlign w:val="center"/>
          </w:tcPr>
          <w:p w14:paraId="7DBB0A7E"/>
        </w:tc>
        <w:tc>
          <w:tcPr>
            <w:tcW w:w="2768" w:type="dxa"/>
            <w:vAlign w:val="center"/>
          </w:tcPr>
          <w:p w14:paraId="321A93A2">
            <w:pPr>
              <w:jc w:val="right"/>
            </w:pPr>
            <w:r>
              <w:rPr>
                <w:rFonts w:hint="eastAsia"/>
              </w:rPr>
              <w:t>-</w:t>
            </w:r>
          </w:p>
        </w:tc>
      </w:tr>
      <w:tr w14:paraId="7B1D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07DF5">
            <w:r>
              <w:rPr>
                <w:rFonts w:hint="eastAsia"/>
              </w:rPr>
              <w:t>3.公允价值变动收益（损失以“-”号填列）</w:t>
            </w:r>
          </w:p>
        </w:tc>
        <w:tc>
          <w:tcPr>
            <w:tcW w:w="2768" w:type="dxa"/>
            <w:vAlign w:val="center"/>
          </w:tcPr>
          <w:p w14:paraId="11C7AB0D">
            <w:r>
              <w:rPr>
                <w:rFonts w:hint="eastAsia"/>
              </w:rPr>
              <w:t>7.4.7.16</w:t>
            </w:r>
          </w:p>
        </w:tc>
        <w:tc>
          <w:tcPr>
            <w:tcW w:w="2768" w:type="dxa"/>
            <w:vAlign w:val="center"/>
          </w:tcPr>
          <w:p w14:paraId="64F7A26F">
            <w:pPr>
              <w:jc w:val="right"/>
            </w:pPr>
            <w:r>
              <w:rPr>
                <w:rFonts w:hint="eastAsia"/>
              </w:rPr>
              <w:t>39,340,836.55</w:t>
            </w:r>
          </w:p>
        </w:tc>
      </w:tr>
      <w:tr w14:paraId="2B81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30469">
            <w:r>
              <w:rPr>
                <w:rFonts w:hint="eastAsia"/>
              </w:rPr>
              <w:t>4.汇兑收益（损失以“－”号填列）</w:t>
            </w:r>
          </w:p>
        </w:tc>
        <w:tc>
          <w:tcPr>
            <w:tcW w:w="2768" w:type="dxa"/>
            <w:vAlign w:val="center"/>
          </w:tcPr>
          <w:p w14:paraId="28E6C3CF"/>
        </w:tc>
        <w:tc>
          <w:tcPr>
            <w:tcW w:w="2768" w:type="dxa"/>
            <w:vAlign w:val="center"/>
          </w:tcPr>
          <w:p w14:paraId="6227D662">
            <w:pPr>
              <w:jc w:val="right"/>
            </w:pPr>
            <w:r>
              <w:rPr>
                <w:rFonts w:hint="eastAsia"/>
              </w:rPr>
              <w:t>-</w:t>
            </w:r>
          </w:p>
        </w:tc>
      </w:tr>
      <w:tr w14:paraId="2190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59EC5">
            <w:r>
              <w:rPr>
                <w:rFonts w:hint="eastAsia"/>
              </w:rPr>
              <w:t>5.其他收入（损失以“-”号填列）</w:t>
            </w:r>
          </w:p>
        </w:tc>
        <w:tc>
          <w:tcPr>
            <w:tcW w:w="2768" w:type="dxa"/>
            <w:vAlign w:val="center"/>
          </w:tcPr>
          <w:p w14:paraId="306B36C7">
            <w:r>
              <w:rPr>
                <w:rFonts w:hint="eastAsia"/>
              </w:rPr>
              <w:t>7.4.7.17</w:t>
            </w:r>
          </w:p>
        </w:tc>
        <w:tc>
          <w:tcPr>
            <w:tcW w:w="2768" w:type="dxa"/>
            <w:vAlign w:val="center"/>
          </w:tcPr>
          <w:p w14:paraId="226CF009">
            <w:pPr>
              <w:jc w:val="right"/>
            </w:pPr>
            <w:r>
              <w:rPr>
                <w:rFonts w:hint="eastAsia"/>
              </w:rPr>
              <w:t>20,659.25</w:t>
            </w:r>
          </w:p>
        </w:tc>
      </w:tr>
      <w:tr w14:paraId="5B8B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F0FDC">
            <w:r>
              <w:rPr>
                <w:rFonts w:hint="eastAsia"/>
              </w:rPr>
              <w:t>减：二、营业总支出</w:t>
            </w:r>
          </w:p>
        </w:tc>
        <w:tc>
          <w:tcPr>
            <w:tcW w:w="2768" w:type="dxa"/>
            <w:vAlign w:val="center"/>
          </w:tcPr>
          <w:p w14:paraId="4CAC7994"/>
        </w:tc>
        <w:tc>
          <w:tcPr>
            <w:tcW w:w="2768" w:type="dxa"/>
            <w:vAlign w:val="center"/>
          </w:tcPr>
          <w:p w14:paraId="184A629A">
            <w:pPr>
              <w:jc w:val="right"/>
            </w:pPr>
            <w:r>
              <w:rPr>
                <w:rFonts w:hint="eastAsia"/>
              </w:rPr>
              <w:t>15,537,825.59</w:t>
            </w:r>
          </w:p>
        </w:tc>
      </w:tr>
      <w:tr w14:paraId="2B8F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8B518B">
            <w:r>
              <w:rPr>
                <w:rFonts w:hint="eastAsia"/>
              </w:rPr>
              <w:t>1.管理人报酬</w:t>
            </w:r>
          </w:p>
        </w:tc>
        <w:tc>
          <w:tcPr>
            <w:tcW w:w="2768" w:type="dxa"/>
            <w:vAlign w:val="center"/>
          </w:tcPr>
          <w:p w14:paraId="7EF56D1A">
            <w:r>
              <w:rPr>
                <w:rFonts w:hint="eastAsia"/>
              </w:rPr>
              <w:t>7.4.10.2.1</w:t>
            </w:r>
          </w:p>
        </w:tc>
        <w:tc>
          <w:tcPr>
            <w:tcW w:w="2768" w:type="dxa"/>
            <w:vAlign w:val="center"/>
          </w:tcPr>
          <w:p w14:paraId="48C0EBAA">
            <w:pPr>
              <w:jc w:val="right"/>
            </w:pPr>
            <w:r>
              <w:rPr>
                <w:rFonts w:hint="eastAsia"/>
              </w:rPr>
              <w:t>8,884,594.46</w:t>
            </w:r>
          </w:p>
        </w:tc>
      </w:tr>
      <w:tr w14:paraId="5E54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0A4E5">
            <w:r>
              <w:rPr>
                <w:rFonts w:hint="eastAsia"/>
              </w:rPr>
              <w:t>其中：暂估管理人报酬</w:t>
            </w:r>
          </w:p>
        </w:tc>
        <w:tc>
          <w:tcPr>
            <w:tcW w:w="2768" w:type="dxa"/>
            <w:vAlign w:val="center"/>
          </w:tcPr>
          <w:p w14:paraId="67984F9A"/>
        </w:tc>
        <w:tc>
          <w:tcPr>
            <w:tcW w:w="2768" w:type="dxa"/>
            <w:vAlign w:val="center"/>
          </w:tcPr>
          <w:p w14:paraId="70C6FC12">
            <w:pPr>
              <w:jc w:val="right"/>
            </w:pPr>
            <w:r>
              <w:rPr>
                <w:rFonts w:hint="eastAsia"/>
              </w:rPr>
              <w:t>-</w:t>
            </w:r>
          </w:p>
        </w:tc>
      </w:tr>
      <w:tr w14:paraId="6B3E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2683D">
            <w:r>
              <w:rPr>
                <w:rFonts w:hint="eastAsia"/>
              </w:rPr>
              <w:t>2.托管费</w:t>
            </w:r>
          </w:p>
        </w:tc>
        <w:tc>
          <w:tcPr>
            <w:tcW w:w="2768" w:type="dxa"/>
            <w:vAlign w:val="center"/>
          </w:tcPr>
          <w:p w14:paraId="63B562E4">
            <w:r>
              <w:rPr>
                <w:rFonts w:hint="eastAsia"/>
              </w:rPr>
              <w:t>7.4.10.2.2</w:t>
            </w:r>
          </w:p>
        </w:tc>
        <w:tc>
          <w:tcPr>
            <w:tcW w:w="2768" w:type="dxa"/>
            <w:vAlign w:val="center"/>
          </w:tcPr>
          <w:p w14:paraId="092ECF13">
            <w:pPr>
              <w:jc w:val="right"/>
            </w:pPr>
            <w:r>
              <w:rPr>
                <w:rFonts w:hint="eastAsia"/>
              </w:rPr>
              <w:t>1,776,918.89</w:t>
            </w:r>
          </w:p>
        </w:tc>
      </w:tr>
      <w:tr w14:paraId="52F9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9206F8">
            <w:r>
              <w:rPr>
                <w:rFonts w:hint="eastAsia"/>
              </w:rPr>
              <w:t>3.销售服务费</w:t>
            </w:r>
          </w:p>
        </w:tc>
        <w:tc>
          <w:tcPr>
            <w:tcW w:w="2768" w:type="dxa"/>
            <w:vAlign w:val="center"/>
          </w:tcPr>
          <w:p w14:paraId="37D1471B">
            <w:r>
              <w:rPr>
                <w:rFonts w:hint="eastAsia"/>
              </w:rPr>
              <w:t>7.4.10.2.3</w:t>
            </w:r>
          </w:p>
        </w:tc>
        <w:tc>
          <w:tcPr>
            <w:tcW w:w="2768" w:type="dxa"/>
            <w:vAlign w:val="center"/>
          </w:tcPr>
          <w:p w14:paraId="334B9B55">
            <w:pPr>
              <w:jc w:val="right"/>
            </w:pPr>
            <w:r>
              <w:rPr>
                <w:rFonts w:hint="eastAsia"/>
              </w:rPr>
              <w:t>4,431,763.93</w:t>
            </w:r>
          </w:p>
        </w:tc>
      </w:tr>
      <w:tr w14:paraId="4990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2C50A">
            <w:r>
              <w:rPr>
                <w:rFonts w:hint="eastAsia"/>
              </w:rPr>
              <w:t>4.投资顾问费</w:t>
            </w:r>
          </w:p>
        </w:tc>
        <w:tc>
          <w:tcPr>
            <w:tcW w:w="2768" w:type="dxa"/>
            <w:vAlign w:val="center"/>
          </w:tcPr>
          <w:p w14:paraId="210B2D1A"/>
        </w:tc>
        <w:tc>
          <w:tcPr>
            <w:tcW w:w="2768" w:type="dxa"/>
            <w:vAlign w:val="center"/>
          </w:tcPr>
          <w:p w14:paraId="4DCBE0BF">
            <w:pPr>
              <w:jc w:val="right"/>
            </w:pPr>
            <w:r>
              <w:rPr>
                <w:rFonts w:hint="eastAsia"/>
              </w:rPr>
              <w:t>-</w:t>
            </w:r>
          </w:p>
        </w:tc>
      </w:tr>
      <w:tr w14:paraId="1DA4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7037E">
            <w:r>
              <w:rPr>
                <w:rFonts w:hint="eastAsia"/>
              </w:rPr>
              <w:t>5.利息支出</w:t>
            </w:r>
          </w:p>
        </w:tc>
        <w:tc>
          <w:tcPr>
            <w:tcW w:w="2768" w:type="dxa"/>
            <w:vAlign w:val="center"/>
          </w:tcPr>
          <w:p w14:paraId="67BDAFEF"/>
        </w:tc>
        <w:tc>
          <w:tcPr>
            <w:tcW w:w="2768" w:type="dxa"/>
            <w:vAlign w:val="center"/>
          </w:tcPr>
          <w:p w14:paraId="4844D5B6">
            <w:pPr>
              <w:jc w:val="right"/>
            </w:pPr>
            <w:r>
              <w:rPr>
                <w:rFonts w:hint="eastAsia"/>
              </w:rPr>
              <w:t>371,312.80</w:t>
            </w:r>
          </w:p>
        </w:tc>
      </w:tr>
      <w:tr w14:paraId="4140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B45E8">
            <w:r>
              <w:rPr>
                <w:rFonts w:hint="eastAsia"/>
              </w:rPr>
              <w:t>其中：卖出回购金融资产支出</w:t>
            </w:r>
          </w:p>
        </w:tc>
        <w:tc>
          <w:tcPr>
            <w:tcW w:w="2768" w:type="dxa"/>
            <w:vAlign w:val="center"/>
          </w:tcPr>
          <w:p w14:paraId="5D03DCB5"/>
        </w:tc>
        <w:tc>
          <w:tcPr>
            <w:tcW w:w="2768" w:type="dxa"/>
            <w:vAlign w:val="center"/>
          </w:tcPr>
          <w:p w14:paraId="549F9F0D">
            <w:pPr>
              <w:jc w:val="right"/>
            </w:pPr>
            <w:r>
              <w:rPr>
                <w:rFonts w:hint="eastAsia"/>
              </w:rPr>
              <w:t>371,312.80</w:t>
            </w:r>
          </w:p>
        </w:tc>
      </w:tr>
      <w:tr w14:paraId="091C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06F07">
            <w:r>
              <w:rPr>
                <w:rFonts w:hint="eastAsia"/>
              </w:rPr>
              <w:t>6.信用减值损失</w:t>
            </w:r>
          </w:p>
        </w:tc>
        <w:tc>
          <w:tcPr>
            <w:tcW w:w="2768" w:type="dxa"/>
            <w:vAlign w:val="center"/>
          </w:tcPr>
          <w:p w14:paraId="6F9DDF2A"/>
        </w:tc>
        <w:tc>
          <w:tcPr>
            <w:tcW w:w="2768" w:type="dxa"/>
            <w:vAlign w:val="center"/>
          </w:tcPr>
          <w:p w14:paraId="332E6C1F">
            <w:pPr>
              <w:jc w:val="right"/>
            </w:pPr>
            <w:r>
              <w:rPr>
                <w:rFonts w:hint="eastAsia"/>
              </w:rPr>
              <w:t>-</w:t>
            </w:r>
          </w:p>
        </w:tc>
      </w:tr>
      <w:tr w14:paraId="55E6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E2BC8">
            <w:r>
              <w:rPr>
                <w:rFonts w:hint="eastAsia"/>
              </w:rPr>
              <w:t>7.税金及附加</w:t>
            </w:r>
          </w:p>
        </w:tc>
        <w:tc>
          <w:tcPr>
            <w:tcW w:w="2768" w:type="dxa"/>
            <w:vAlign w:val="center"/>
          </w:tcPr>
          <w:p w14:paraId="2DC77EB8"/>
        </w:tc>
        <w:tc>
          <w:tcPr>
            <w:tcW w:w="2768" w:type="dxa"/>
            <w:vAlign w:val="center"/>
          </w:tcPr>
          <w:p w14:paraId="243639F0">
            <w:pPr>
              <w:jc w:val="right"/>
            </w:pPr>
            <w:r>
              <w:rPr>
                <w:rFonts w:hint="eastAsia"/>
              </w:rPr>
              <w:t>17,960.91</w:t>
            </w:r>
          </w:p>
        </w:tc>
      </w:tr>
      <w:tr w14:paraId="4903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8872BB">
            <w:r>
              <w:rPr>
                <w:rFonts w:hint="eastAsia"/>
              </w:rPr>
              <w:t>8.其他费用</w:t>
            </w:r>
          </w:p>
        </w:tc>
        <w:tc>
          <w:tcPr>
            <w:tcW w:w="2768" w:type="dxa"/>
            <w:vAlign w:val="center"/>
          </w:tcPr>
          <w:p w14:paraId="1D0B0D79">
            <w:r>
              <w:rPr>
                <w:rFonts w:hint="eastAsia"/>
              </w:rPr>
              <w:t>7.4.7.19</w:t>
            </w:r>
          </w:p>
        </w:tc>
        <w:tc>
          <w:tcPr>
            <w:tcW w:w="2768" w:type="dxa"/>
            <w:vAlign w:val="center"/>
          </w:tcPr>
          <w:p w14:paraId="36F00765">
            <w:pPr>
              <w:jc w:val="right"/>
            </w:pPr>
            <w:r>
              <w:rPr>
                <w:rFonts w:hint="eastAsia"/>
              </w:rPr>
              <w:t>55,274.60</w:t>
            </w:r>
          </w:p>
        </w:tc>
      </w:tr>
      <w:tr w14:paraId="5DD2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5B6E94">
            <w:r>
              <w:rPr>
                <w:rFonts w:hint="eastAsia"/>
              </w:rPr>
              <w:t>三、利润总额（亏损总额以“-”号填列）</w:t>
            </w:r>
          </w:p>
        </w:tc>
        <w:tc>
          <w:tcPr>
            <w:tcW w:w="2768" w:type="dxa"/>
            <w:vAlign w:val="center"/>
          </w:tcPr>
          <w:p w14:paraId="21EB334E"/>
        </w:tc>
        <w:tc>
          <w:tcPr>
            <w:tcW w:w="2768" w:type="dxa"/>
            <w:vAlign w:val="center"/>
          </w:tcPr>
          <w:p w14:paraId="218AD0C4">
            <w:pPr>
              <w:jc w:val="right"/>
            </w:pPr>
            <w:r>
              <w:rPr>
                <w:rFonts w:hint="eastAsia"/>
              </w:rPr>
              <w:t>73,936,449.45</w:t>
            </w:r>
          </w:p>
        </w:tc>
      </w:tr>
      <w:tr w14:paraId="6971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28FD44">
            <w:r>
              <w:rPr>
                <w:rFonts w:hint="eastAsia"/>
              </w:rPr>
              <w:t>减：所得税费用</w:t>
            </w:r>
          </w:p>
        </w:tc>
        <w:tc>
          <w:tcPr>
            <w:tcW w:w="2768" w:type="dxa"/>
            <w:vAlign w:val="center"/>
          </w:tcPr>
          <w:p w14:paraId="38C56DA4"/>
        </w:tc>
        <w:tc>
          <w:tcPr>
            <w:tcW w:w="2768" w:type="dxa"/>
            <w:vAlign w:val="center"/>
          </w:tcPr>
          <w:p w14:paraId="7FA5C10F">
            <w:pPr>
              <w:jc w:val="right"/>
            </w:pPr>
            <w:r>
              <w:rPr>
                <w:rFonts w:hint="eastAsia"/>
              </w:rPr>
              <w:t>-</w:t>
            </w:r>
          </w:p>
        </w:tc>
      </w:tr>
      <w:tr w14:paraId="0BF6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350A6">
            <w:r>
              <w:rPr>
                <w:rFonts w:hint="eastAsia"/>
              </w:rPr>
              <w:t>四、净利润（净亏损以“-”号填列）</w:t>
            </w:r>
          </w:p>
        </w:tc>
        <w:tc>
          <w:tcPr>
            <w:tcW w:w="2768" w:type="dxa"/>
            <w:vAlign w:val="center"/>
          </w:tcPr>
          <w:p w14:paraId="603F10D8"/>
        </w:tc>
        <w:tc>
          <w:tcPr>
            <w:tcW w:w="2768" w:type="dxa"/>
            <w:vAlign w:val="center"/>
          </w:tcPr>
          <w:p w14:paraId="43D7E34E">
            <w:pPr>
              <w:jc w:val="right"/>
            </w:pPr>
            <w:r>
              <w:rPr>
                <w:rFonts w:hint="eastAsia"/>
              </w:rPr>
              <w:t>73,936,449.45</w:t>
            </w:r>
          </w:p>
        </w:tc>
      </w:tr>
      <w:tr w14:paraId="376E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50842">
            <w:r>
              <w:rPr>
                <w:rFonts w:hint="eastAsia"/>
              </w:rPr>
              <w:t>五、其他综合收益的税后净额</w:t>
            </w:r>
          </w:p>
        </w:tc>
        <w:tc>
          <w:tcPr>
            <w:tcW w:w="2768" w:type="dxa"/>
            <w:vAlign w:val="center"/>
          </w:tcPr>
          <w:p w14:paraId="28D00DF5"/>
        </w:tc>
        <w:tc>
          <w:tcPr>
            <w:tcW w:w="2768" w:type="dxa"/>
            <w:vAlign w:val="center"/>
          </w:tcPr>
          <w:p w14:paraId="585C03A4">
            <w:pPr>
              <w:jc w:val="right"/>
            </w:pPr>
            <w:r>
              <w:rPr>
                <w:rFonts w:hint="eastAsia"/>
              </w:rPr>
              <w:t>-</w:t>
            </w:r>
          </w:p>
        </w:tc>
      </w:tr>
      <w:tr w14:paraId="0A73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D0443E">
            <w:r>
              <w:rPr>
                <w:rFonts w:hint="eastAsia"/>
              </w:rPr>
              <w:t>六、综合收益总额</w:t>
            </w:r>
          </w:p>
        </w:tc>
        <w:tc>
          <w:tcPr>
            <w:tcW w:w="2768" w:type="dxa"/>
            <w:vAlign w:val="center"/>
          </w:tcPr>
          <w:p w14:paraId="1ACDC6E5"/>
        </w:tc>
        <w:tc>
          <w:tcPr>
            <w:tcW w:w="2768" w:type="dxa"/>
            <w:vAlign w:val="center"/>
          </w:tcPr>
          <w:p w14:paraId="244B020A">
            <w:pPr>
              <w:jc w:val="right"/>
            </w:pPr>
            <w:r>
              <w:rPr>
                <w:rFonts w:hint="eastAsia"/>
              </w:rPr>
              <w:t>73,936,449.45</w:t>
            </w:r>
          </w:p>
        </w:tc>
      </w:tr>
    </w:tbl>
    <w:p w14:paraId="6AFF879F">
      <w:pPr>
        <w:pStyle w:val="23"/>
      </w:pPr>
      <w:bookmarkStart w:id="48" w:name="_Toc27262"/>
      <w:r>
        <w:t>净资产变动表</w:t>
      </w:r>
      <w:bookmarkEnd w:id="48"/>
    </w:p>
    <w:p w14:paraId="1AD55CC2">
      <w:pPr>
        <w:pStyle w:val="18"/>
        <w:rPr>
          <w:rFonts w:hint="eastAsia"/>
        </w:rPr>
      </w:pPr>
      <w:r>
        <w:rPr>
          <w:rFonts w:hint="eastAsia"/>
        </w:rPr>
        <w:t>会计主体：南方益稳稳健增利债券型证券投资基金</w:t>
      </w:r>
    </w:p>
    <w:p w14:paraId="70B479C4">
      <w:pPr>
        <w:pStyle w:val="18"/>
        <w:rPr>
          <w:rFonts w:hint="eastAsia"/>
        </w:rPr>
      </w:pPr>
      <w:r>
        <w:rPr>
          <w:rFonts w:hint="eastAsia"/>
        </w:rPr>
        <w:t>本报告期：2025年8月6日(基金合同生效日)至2025年12月31日</w:t>
      </w:r>
    </w:p>
    <w:p w14:paraId="2A63D1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20C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4099635">
            <w:pPr>
              <w:jc w:val="center"/>
            </w:pPr>
            <w:r>
              <w:rPr>
                <w:rFonts w:hint="eastAsia"/>
                <w:b/>
              </w:rPr>
              <w:t>项目</w:t>
            </w:r>
          </w:p>
        </w:tc>
        <w:tc>
          <w:tcPr>
            <w:tcW w:w="1661" w:type="dxa"/>
            <w:gridSpan w:val="4"/>
            <w:shd w:val="clear" w:color="auto" w:fill="BFBFBF"/>
            <w:vAlign w:val="center"/>
          </w:tcPr>
          <w:p w14:paraId="27131DAB">
            <w:pPr>
              <w:jc w:val="center"/>
            </w:pPr>
            <w:r>
              <w:rPr>
                <w:rFonts w:hint="eastAsia"/>
                <w:b/>
              </w:rPr>
              <w:t>本期2025年8月6日（基金合同生效日）至2025年12月31日</w:t>
            </w:r>
          </w:p>
        </w:tc>
      </w:tr>
      <w:tr w14:paraId="0EBE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31894E"/>
        </w:tc>
        <w:tc>
          <w:tcPr>
            <w:tcW w:w="1661" w:type="dxa"/>
            <w:shd w:val="clear" w:color="auto" w:fill="BFBFBF"/>
            <w:vAlign w:val="center"/>
          </w:tcPr>
          <w:p w14:paraId="34C1B786">
            <w:pPr>
              <w:jc w:val="center"/>
            </w:pPr>
            <w:r>
              <w:rPr>
                <w:rFonts w:hint="eastAsia"/>
                <w:b/>
              </w:rPr>
              <w:t>实收基金</w:t>
            </w:r>
          </w:p>
        </w:tc>
        <w:tc>
          <w:tcPr>
            <w:tcW w:w="1661" w:type="dxa"/>
            <w:shd w:val="clear" w:color="auto" w:fill="BFBFBF"/>
            <w:vAlign w:val="center"/>
          </w:tcPr>
          <w:p w14:paraId="69BC41A7">
            <w:pPr>
              <w:jc w:val="center"/>
            </w:pPr>
            <w:r>
              <w:rPr>
                <w:rFonts w:hint="eastAsia"/>
                <w:b/>
              </w:rPr>
              <w:t>其他综合收益</w:t>
            </w:r>
          </w:p>
        </w:tc>
        <w:tc>
          <w:tcPr>
            <w:tcW w:w="1661" w:type="dxa"/>
            <w:shd w:val="clear" w:color="auto" w:fill="BFBFBF"/>
            <w:vAlign w:val="center"/>
          </w:tcPr>
          <w:p w14:paraId="7CBCA80A">
            <w:pPr>
              <w:jc w:val="center"/>
            </w:pPr>
            <w:r>
              <w:rPr>
                <w:rFonts w:hint="eastAsia"/>
                <w:b/>
              </w:rPr>
              <w:t>未分配利润</w:t>
            </w:r>
          </w:p>
        </w:tc>
        <w:tc>
          <w:tcPr>
            <w:tcW w:w="1661" w:type="dxa"/>
            <w:shd w:val="clear" w:color="auto" w:fill="BFBFBF"/>
            <w:vAlign w:val="center"/>
          </w:tcPr>
          <w:p w14:paraId="05C45A06">
            <w:pPr>
              <w:jc w:val="center"/>
            </w:pPr>
            <w:r>
              <w:rPr>
                <w:rFonts w:hint="eastAsia"/>
                <w:b/>
              </w:rPr>
              <w:t>净资产合计</w:t>
            </w:r>
          </w:p>
        </w:tc>
      </w:tr>
      <w:tr w14:paraId="53C9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105518">
            <w:r>
              <w:rPr>
                <w:rFonts w:hint="eastAsia"/>
              </w:rPr>
              <w:t>一、上期期末净资产</w:t>
            </w:r>
          </w:p>
        </w:tc>
        <w:tc>
          <w:tcPr>
            <w:tcW w:w="1661" w:type="dxa"/>
            <w:vAlign w:val="center"/>
          </w:tcPr>
          <w:p w14:paraId="667E1E2B">
            <w:pPr>
              <w:jc w:val="right"/>
            </w:pPr>
            <w:r>
              <w:rPr>
                <w:rFonts w:hint="eastAsia"/>
              </w:rPr>
              <w:t>-</w:t>
            </w:r>
          </w:p>
        </w:tc>
        <w:tc>
          <w:tcPr>
            <w:tcW w:w="1661" w:type="dxa"/>
            <w:vAlign w:val="center"/>
          </w:tcPr>
          <w:p w14:paraId="38C76F06">
            <w:pPr>
              <w:jc w:val="right"/>
            </w:pPr>
            <w:r>
              <w:rPr>
                <w:rFonts w:hint="eastAsia"/>
              </w:rPr>
              <w:t>-</w:t>
            </w:r>
          </w:p>
        </w:tc>
        <w:tc>
          <w:tcPr>
            <w:tcW w:w="1661" w:type="dxa"/>
            <w:vAlign w:val="center"/>
          </w:tcPr>
          <w:p w14:paraId="14BB039F">
            <w:pPr>
              <w:jc w:val="right"/>
            </w:pPr>
            <w:r>
              <w:rPr>
                <w:rFonts w:hint="eastAsia"/>
              </w:rPr>
              <w:t>-</w:t>
            </w:r>
          </w:p>
        </w:tc>
        <w:tc>
          <w:tcPr>
            <w:tcW w:w="1661" w:type="dxa"/>
            <w:vAlign w:val="center"/>
          </w:tcPr>
          <w:p w14:paraId="01A23085">
            <w:pPr>
              <w:jc w:val="right"/>
            </w:pPr>
            <w:r>
              <w:rPr>
                <w:rFonts w:hint="eastAsia"/>
              </w:rPr>
              <w:t>-</w:t>
            </w:r>
          </w:p>
        </w:tc>
      </w:tr>
      <w:tr w14:paraId="0328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A3E3A8">
            <w:r>
              <w:rPr>
                <w:rFonts w:hint="eastAsia"/>
              </w:rPr>
              <w:t>加：会计政策变更</w:t>
            </w:r>
          </w:p>
        </w:tc>
        <w:tc>
          <w:tcPr>
            <w:tcW w:w="1661" w:type="dxa"/>
            <w:vAlign w:val="center"/>
          </w:tcPr>
          <w:p w14:paraId="2FA46188">
            <w:pPr>
              <w:jc w:val="right"/>
            </w:pPr>
            <w:r>
              <w:rPr>
                <w:rFonts w:hint="eastAsia"/>
              </w:rPr>
              <w:t>-</w:t>
            </w:r>
          </w:p>
        </w:tc>
        <w:tc>
          <w:tcPr>
            <w:tcW w:w="1661" w:type="dxa"/>
            <w:vAlign w:val="center"/>
          </w:tcPr>
          <w:p w14:paraId="7032DBB7">
            <w:pPr>
              <w:jc w:val="right"/>
            </w:pPr>
            <w:r>
              <w:rPr>
                <w:rFonts w:hint="eastAsia"/>
              </w:rPr>
              <w:t>-</w:t>
            </w:r>
          </w:p>
        </w:tc>
        <w:tc>
          <w:tcPr>
            <w:tcW w:w="1661" w:type="dxa"/>
            <w:vAlign w:val="center"/>
          </w:tcPr>
          <w:p w14:paraId="0AB4FFD5">
            <w:pPr>
              <w:jc w:val="right"/>
            </w:pPr>
            <w:r>
              <w:rPr>
                <w:rFonts w:hint="eastAsia"/>
              </w:rPr>
              <w:t>-</w:t>
            </w:r>
          </w:p>
        </w:tc>
        <w:tc>
          <w:tcPr>
            <w:tcW w:w="1661" w:type="dxa"/>
            <w:vAlign w:val="center"/>
          </w:tcPr>
          <w:p w14:paraId="688B476E">
            <w:pPr>
              <w:jc w:val="right"/>
            </w:pPr>
            <w:r>
              <w:rPr>
                <w:rFonts w:hint="eastAsia"/>
              </w:rPr>
              <w:t>-</w:t>
            </w:r>
          </w:p>
        </w:tc>
      </w:tr>
      <w:tr w14:paraId="5877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EB0664">
            <w:r>
              <w:rPr>
                <w:rFonts w:hint="eastAsia"/>
              </w:rPr>
              <w:t xml:space="preserve">    前期差错更正</w:t>
            </w:r>
          </w:p>
        </w:tc>
        <w:tc>
          <w:tcPr>
            <w:tcW w:w="1661" w:type="dxa"/>
            <w:vAlign w:val="center"/>
          </w:tcPr>
          <w:p w14:paraId="16E6FE09">
            <w:pPr>
              <w:jc w:val="right"/>
            </w:pPr>
            <w:r>
              <w:rPr>
                <w:rFonts w:hint="eastAsia"/>
              </w:rPr>
              <w:t>-</w:t>
            </w:r>
          </w:p>
        </w:tc>
        <w:tc>
          <w:tcPr>
            <w:tcW w:w="1661" w:type="dxa"/>
            <w:vAlign w:val="center"/>
          </w:tcPr>
          <w:p w14:paraId="0F602ACD">
            <w:pPr>
              <w:jc w:val="right"/>
            </w:pPr>
            <w:r>
              <w:rPr>
                <w:rFonts w:hint="eastAsia"/>
              </w:rPr>
              <w:t>-</w:t>
            </w:r>
          </w:p>
        </w:tc>
        <w:tc>
          <w:tcPr>
            <w:tcW w:w="1661" w:type="dxa"/>
            <w:vAlign w:val="center"/>
          </w:tcPr>
          <w:p w14:paraId="74300D99">
            <w:pPr>
              <w:jc w:val="right"/>
            </w:pPr>
            <w:r>
              <w:rPr>
                <w:rFonts w:hint="eastAsia"/>
              </w:rPr>
              <w:t>-</w:t>
            </w:r>
          </w:p>
        </w:tc>
        <w:tc>
          <w:tcPr>
            <w:tcW w:w="1661" w:type="dxa"/>
            <w:vAlign w:val="center"/>
          </w:tcPr>
          <w:p w14:paraId="20CD0C10">
            <w:pPr>
              <w:jc w:val="right"/>
            </w:pPr>
            <w:r>
              <w:rPr>
                <w:rFonts w:hint="eastAsia"/>
              </w:rPr>
              <w:t>-</w:t>
            </w:r>
          </w:p>
        </w:tc>
      </w:tr>
      <w:tr w14:paraId="4C13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3CF807">
            <w:r>
              <w:rPr>
                <w:rFonts w:hint="eastAsia"/>
              </w:rPr>
              <w:t xml:space="preserve">    其他</w:t>
            </w:r>
          </w:p>
        </w:tc>
        <w:tc>
          <w:tcPr>
            <w:tcW w:w="1661" w:type="dxa"/>
            <w:vAlign w:val="center"/>
          </w:tcPr>
          <w:p w14:paraId="68AB9E51">
            <w:pPr>
              <w:jc w:val="right"/>
            </w:pPr>
            <w:r>
              <w:rPr>
                <w:rFonts w:hint="eastAsia"/>
              </w:rPr>
              <w:t>-</w:t>
            </w:r>
          </w:p>
        </w:tc>
        <w:tc>
          <w:tcPr>
            <w:tcW w:w="1661" w:type="dxa"/>
            <w:vAlign w:val="center"/>
          </w:tcPr>
          <w:p w14:paraId="3FDB8594">
            <w:pPr>
              <w:jc w:val="right"/>
            </w:pPr>
            <w:r>
              <w:rPr>
                <w:rFonts w:hint="eastAsia"/>
              </w:rPr>
              <w:t>-</w:t>
            </w:r>
          </w:p>
        </w:tc>
        <w:tc>
          <w:tcPr>
            <w:tcW w:w="1661" w:type="dxa"/>
            <w:vAlign w:val="center"/>
          </w:tcPr>
          <w:p w14:paraId="1A990B43">
            <w:pPr>
              <w:jc w:val="right"/>
            </w:pPr>
            <w:r>
              <w:rPr>
                <w:rFonts w:hint="eastAsia"/>
              </w:rPr>
              <w:t>-</w:t>
            </w:r>
          </w:p>
        </w:tc>
        <w:tc>
          <w:tcPr>
            <w:tcW w:w="1661" w:type="dxa"/>
            <w:vAlign w:val="center"/>
          </w:tcPr>
          <w:p w14:paraId="3F61B7F0">
            <w:pPr>
              <w:jc w:val="right"/>
            </w:pPr>
            <w:r>
              <w:rPr>
                <w:rFonts w:hint="eastAsia"/>
              </w:rPr>
              <w:t>-</w:t>
            </w:r>
          </w:p>
        </w:tc>
      </w:tr>
      <w:tr w14:paraId="269C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556497">
            <w:r>
              <w:rPr>
                <w:rFonts w:hint="eastAsia"/>
              </w:rPr>
              <w:t>二、本期期初净资产</w:t>
            </w:r>
          </w:p>
        </w:tc>
        <w:tc>
          <w:tcPr>
            <w:tcW w:w="1661" w:type="dxa"/>
            <w:vAlign w:val="center"/>
          </w:tcPr>
          <w:p w14:paraId="09885EC8">
            <w:pPr>
              <w:jc w:val="right"/>
            </w:pPr>
            <w:r>
              <w:rPr>
                <w:rFonts w:hint="eastAsia"/>
              </w:rPr>
              <w:t>4,998,148,598.54</w:t>
            </w:r>
          </w:p>
        </w:tc>
        <w:tc>
          <w:tcPr>
            <w:tcW w:w="1661" w:type="dxa"/>
            <w:vAlign w:val="center"/>
          </w:tcPr>
          <w:p w14:paraId="0FBB57D0">
            <w:pPr>
              <w:jc w:val="right"/>
            </w:pPr>
            <w:r>
              <w:rPr>
                <w:rFonts w:hint="eastAsia"/>
              </w:rPr>
              <w:t>-</w:t>
            </w:r>
          </w:p>
        </w:tc>
        <w:tc>
          <w:tcPr>
            <w:tcW w:w="1661" w:type="dxa"/>
            <w:vAlign w:val="center"/>
          </w:tcPr>
          <w:p w14:paraId="344DE4CB">
            <w:pPr>
              <w:jc w:val="right"/>
            </w:pPr>
            <w:r>
              <w:rPr>
                <w:rFonts w:hint="eastAsia"/>
              </w:rPr>
              <w:t>-</w:t>
            </w:r>
          </w:p>
        </w:tc>
        <w:tc>
          <w:tcPr>
            <w:tcW w:w="1661" w:type="dxa"/>
            <w:vAlign w:val="center"/>
          </w:tcPr>
          <w:p w14:paraId="208D3478">
            <w:pPr>
              <w:jc w:val="right"/>
            </w:pPr>
            <w:r>
              <w:rPr>
                <w:rFonts w:hint="eastAsia"/>
              </w:rPr>
              <w:t>4,998,148,598.54</w:t>
            </w:r>
          </w:p>
        </w:tc>
      </w:tr>
      <w:tr w14:paraId="2C0A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51E309">
            <w:r>
              <w:rPr>
                <w:rFonts w:hint="eastAsia"/>
              </w:rPr>
              <w:t>三、本期增减变动额（减少以“-”号填列）</w:t>
            </w:r>
          </w:p>
        </w:tc>
        <w:tc>
          <w:tcPr>
            <w:tcW w:w="1661" w:type="dxa"/>
            <w:vAlign w:val="center"/>
          </w:tcPr>
          <w:p w14:paraId="2813FB64">
            <w:pPr>
              <w:jc w:val="right"/>
            </w:pPr>
            <w:r>
              <w:rPr>
                <w:rFonts w:hint="eastAsia"/>
              </w:rPr>
              <w:t>-1,832,258,293.67</w:t>
            </w:r>
          </w:p>
        </w:tc>
        <w:tc>
          <w:tcPr>
            <w:tcW w:w="1661" w:type="dxa"/>
            <w:vAlign w:val="center"/>
          </w:tcPr>
          <w:p w14:paraId="2997BE68">
            <w:pPr>
              <w:jc w:val="right"/>
            </w:pPr>
            <w:r>
              <w:rPr>
                <w:rFonts w:hint="eastAsia"/>
              </w:rPr>
              <w:t>-</w:t>
            </w:r>
          </w:p>
        </w:tc>
        <w:tc>
          <w:tcPr>
            <w:tcW w:w="1661" w:type="dxa"/>
            <w:vAlign w:val="center"/>
          </w:tcPr>
          <w:p w14:paraId="2D0734DA">
            <w:pPr>
              <w:jc w:val="right"/>
            </w:pPr>
            <w:r>
              <w:rPr>
                <w:rFonts w:hint="eastAsia"/>
              </w:rPr>
              <w:t>46,230,977.73</w:t>
            </w:r>
          </w:p>
        </w:tc>
        <w:tc>
          <w:tcPr>
            <w:tcW w:w="1661" w:type="dxa"/>
            <w:vAlign w:val="center"/>
          </w:tcPr>
          <w:p w14:paraId="1F8D6A84">
            <w:pPr>
              <w:jc w:val="right"/>
            </w:pPr>
            <w:r>
              <w:rPr>
                <w:rFonts w:hint="eastAsia"/>
              </w:rPr>
              <w:t>-1,786,027,315.94</w:t>
            </w:r>
          </w:p>
        </w:tc>
      </w:tr>
      <w:tr w14:paraId="41A3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069BE7">
            <w:r>
              <w:rPr>
                <w:rFonts w:hint="eastAsia"/>
              </w:rPr>
              <w:t>（一）、综合收益总额</w:t>
            </w:r>
          </w:p>
        </w:tc>
        <w:tc>
          <w:tcPr>
            <w:tcW w:w="1661" w:type="dxa"/>
            <w:vAlign w:val="center"/>
          </w:tcPr>
          <w:p w14:paraId="5E5D773E">
            <w:pPr>
              <w:jc w:val="right"/>
            </w:pPr>
            <w:r>
              <w:rPr>
                <w:rFonts w:hint="eastAsia"/>
              </w:rPr>
              <w:t>-</w:t>
            </w:r>
          </w:p>
        </w:tc>
        <w:tc>
          <w:tcPr>
            <w:tcW w:w="1661" w:type="dxa"/>
            <w:vAlign w:val="center"/>
          </w:tcPr>
          <w:p w14:paraId="7775B747">
            <w:pPr>
              <w:jc w:val="right"/>
            </w:pPr>
            <w:r>
              <w:rPr>
                <w:rFonts w:hint="eastAsia"/>
              </w:rPr>
              <w:t>-</w:t>
            </w:r>
          </w:p>
        </w:tc>
        <w:tc>
          <w:tcPr>
            <w:tcW w:w="1661" w:type="dxa"/>
            <w:vAlign w:val="center"/>
          </w:tcPr>
          <w:p w14:paraId="7DDE0E77">
            <w:pPr>
              <w:jc w:val="right"/>
            </w:pPr>
            <w:r>
              <w:rPr>
                <w:rFonts w:hint="eastAsia"/>
              </w:rPr>
              <w:t>73,936,449.45</w:t>
            </w:r>
          </w:p>
        </w:tc>
        <w:tc>
          <w:tcPr>
            <w:tcW w:w="1661" w:type="dxa"/>
            <w:vAlign w:val="center"/>
          </w:tcPr>
          <w:p w14:paraId="797E7694">
            <w:pPr>
              <w:jc w:val="right"/>
            </w:pPr>
            <w:r>
              <w:rPr>
                <w:rFonts w:hint="eastAsia"/>
              </w:rPr>
              <w:t>73,936,449.45</w:t>
            </w:r>
          </w:p>
        </w:tc>
      </w:tr>
      <w:tr w14:paraId="2CF3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E7423A">
            <w:r>
              <w:rPr>
                <w:rFonts w:hint="eastAsia"/>
              </w:rPr>
              <w:t>（二）、本期基金份额交易产生的净资产变动数（净资产减少以“-”号填列）</w:t>
            </w:r>
          </w:p>
        </w:tc>
        <w:tc>
          <w:tcPr>
            <w:tcW w:w="1661" w:type="dxa"/>
            <w:vAlign w:val="center"/>
          </w:tcPr>
          <w:p w14:paraId="7892085D">
            <w:pPr>
              <w:jc w:val="right"/>
            </w:pPr>
            <w:r>
              <w:rPr>
                <w:rFonts w:hint="eastAsia"/>
              </w:rPr>
              <w:t>-1,832,258,293.67</w:t>
            </w:r>
          </w:p>
        </w:tc>
        <w:tc>
          <w:tcPr>
            <w:tcW w:w="1661" w:type="dxa"/>
            <w:vAlign w:val="center"/>
          </w:tcPr>
          <w:p w14:paraId="5EA0F5EE">
            <w:pPr>
              <w:jc w:val="right"/>
            </w:pPr>
            <w:r>
              <w:rPr>
                <w:rFonts w:hint="eastAsia"/>
              </w:rPr>
              <w:t>-</w:t>
            </w:r>
          </w:p>
        </w:tc>
        <w:tc>
          <w:tcPr>
            <w:tcW w:w="1661" w:type="dxa"/>
            <w:vAlign w:val="center"/>
          </w:tcPr>
          <w:p w14:paraId="7042FCA7">
            <w:pPr>
              <w:jc w:val="right"/>
            </w:pPr>
            <w:r>
              <w:rPr>
                <w:rFonts w:hint="eastAsia"/>
              </w:rPr>
              <w:t>-27,705,471.72</w:t>
            </w:r>
          </w:p>
        </w:tc>
        <w:tc>
          <w:tcPr>
            <w:tcW w:w="1661" w:type="dxa"/>
            <w:vAlign w:val="center"/>
          </w:tcPr>
          <w:p w14:paraId="3AC79306">
            <w:pPr>
              <w:jc w:val="right"/>
            </w:pPr>
            <w:r>
              <w:rPr>
                <w:rFonts w:hint="eastAsia"/>
              </w:rPr>
              <w:t>-1,859,963,765.39</w:t>
            </w:r>
          </w:p>
        </w:tc>
      </w:tr>
      <w:tr w14:paraId="0687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A8D95A">
            <w:r>
              <w:rPr>
                <w:rFonts w:hint="eastAsia"/>
              </w:rPr>
              <w:t>其中：1.基金申购款</w:t>
            </w:r>
          </w:p>
        </w:tc>
        <w:tc>
          <w:tcPr>
            <w:tcW w:w="1661" w:type="dxa"/>
            <w:vAlign w:val="center"/>
          </w:tcPr>
          <w:p w14:paraId="19C3A00F">
            <w:pPr>
              <w:jc w:val="right"/>
            </w:pPr>
            <w:r>
              <w:rPr>
                <w:rFonts w:hint="eastAsia"/>
              </w:rPr>
              <w:t>842,610,806.73</w:t>
            </w:r>
          </w:p>
        </w:tc>
        <w:tc>
          <w:tcPr>
            <w:tcW w:w="1661" w:type="dxa"/>
            <w:vAlign w:val="center"/>
          </w:tcPr>
          <w:p w14:paraId="3A2E8F4F">
            <w:pPr>
              <w:jc w:val="right"/>
            </w:pPr>
            <w:r>
              <w:rPr>
                <w:rFonts w:hint="eastAsia"/>
              </w:rPr>
              <w:t>-</w:t>
            </w:r>
          </w:p>
        </w:tc>
        <w:tc>
          <w:tcPr>
            <w:tcW w:w="1661" w:type="dxa"/>
            <w:vAlign w:val="center"/>
          </w:tcPr>
          <w:p w14:paraId="2EDCA04E">
            <w:pPr>
              <w:jc w:val="right"/>
            </w:pPr>
            <w:r>
              <w:rPr>
                <w:rFonts w:hint="eastAsia"/>
              </w:rPr>
              <w:t>11,083,428.78</w:t>
            </w:r>
          </w:p>
        </w:tc>
        <w:tc>
          <w:tcPr>
            <w:tcW w:w="1661" w:type="dxa"/>
            <w:vAlign w:val="center"/>
          </w:tcPr>
          <w:p w14:paraId="0B8A5BCF">
            <w:pPr>
              <w:jc w:val="right"/>
            </w:pPr>
            <w:r>
              <w:rPr>
                <w:rFonts w:hint="eastAsia"/>
              </w:rPr>
              <w:t>853,694,235.51</w:t>
            </w:r>
          </w:p>
        </w:tc>
      </w:tr>
      <w:tr w14:paraId="6435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60CFB9">
            <w:r>
              <w:rPr>
                <w:rFonts w:hint="eastAsia"/>
              </w:rPr>
              <w:t xml:space="preserve">      2.基金赎回款</w:t>
            </w:r>
          </w:p>
        </w:tc>
        <w:tc>
          <w:tcPr>
            <w:tcW w:w="1661" w:type="dxa"/>
            <w:vAlign w:val="center"/>
          </w:tcPr>
          <w:p w14:paraId="2432B18A">
            <w:pPr>
              <w:jc w:val="right"/>
            </w:pPr>
            <w:r>
              <w:rPr>
                <w:rFonts w:hint="eastAsia"/>
              </w:rPr>
              <w:t>-2,674,869,100.40</w:t>
            </w:r>
          </w:p>
        </w:tc>
        <w:tc>
          <w:tcPr>
            <w:tcW w:w="1661" w:type="dxa"/>
            <w:vAlign w:val="center"/>
          </w:tcPr>
          <w:p w14:paraId="6D994AF8">
            <w:pPr>
              <w:jc w:val="right"/>
            </w:pPr>
            <w:r>
              <w:rPr>
                <w:rFonts w:hint="eastAsia"/>
              </w:rPr>
              <w:t>-</w:t>
            </w:r>
          </w:p>
        </w:tc>
        <w:tc>
          <w:tcPr>
            <w:tcW w:w="1661" w:type="dxa"/>
            <w:vAlign w:val="center"/>
          </w:tcPr>
          <w:p w14:paraId="26DAED31">
            <w:pPr>
              <w:jc w:val="right"/>
            </w:pPr>
            <w:r>
              <w:rPr>
                <w:rFonts w:hint="eastAsia"/>
              </w:rPr>
              <w:t>-38,788,900.50</w:t>
            </w:r>
          </w:p>
        </w:tc>
        <w:tc>
          <w:tcPr>
            <w:tcW w:w="1661" w:type="dxa"/>
            <w:vAlign w:val="center"/>
          </w:tcPr>
          <w:p w14:paraId="6D125BD9">
            <w:pPr>
              <w:jc w:val="right"/>
            </w:pPr>
            <w:r>
              <w:rPr>
                <w:rFonts w:hint="eastAsia"/>
              </w:rPr>
              <w:t>-2,713,658,000.90</w:t>
            </w:r>
          </w:p>
        </w:tc>
      </w:tr>
      <w:tr w14:paraId="785B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247049">
            <w:r>
              <w:rPr>
                <w:rFonts w:hint="eastAsia"/>
              </w:rPr>
              <w:t>（三）、本期向基金份额持有人分配利润产生的净资产变动（净资产减少以“-”号填列）</w:t>
            </w:r>
          </w:p>
        </w:tc>
        <w:tc>
          <w:tcPr>
            <w:tcW w:w="1661" w:type="dxa"/>
            <w:vAlign w:val="center"/>
          </w:tcPr>
          <w:p w14:paraId="05C00674">
            <w:pPr>
              <w:jc w:val="right"/>
            </w:pPr>
            <w:r>
              <w:rPr>
                <w:rFonts w:hint="eastAsia"/>
              </w:rPr>
              <w:t>-</w:t>
            </w:r>
          </w:p>
        </w:tc>
        <w:tc>
          <w:tcPr>
            <w:tcW w:w="1661" w:type="dxa"/>
            <w:vAlign w:val="center"/>
          </w:tcPr>
          <w:p w14:paraId="0C6E540E">
            <w:pPr>
              <w:jc w:val="right"/>
            </w:pPr>
            <w:r>
              <w:rPr>
                <w:rFonts w:hint="eastAsia"/>
              </w:rPr>
              <w:t>-</w:t>
            </w:r>
          </w:p>
        </w:tc>
        <w:tc>
          <w:tcPr>
            <w:tcW w:w="1661" w:type="dxa"/>
            <w:vAlign w:val="center"/>
          </w:tcPr>
          <w:p w14:paraId="02B1B3A2">
            <w:pPr>
              <w:jc w:val="right"/>
            </w:pPr>
            <w:r>
              <w:rPr>
                <w:rFonts w:hint="eastAsia"/>
              </w:rPr>
              <w:t>-</w:t>
            </w:r>
          </w:p>
        </w:tc>
        <w:tc>
          <w:tcPr>
            <w:tcW w:w="1661" w:type="dxa"/>
            <w:vAlign w:val="center"/>
          </w:tcPr>
          <w:p w14:paraId="7BEEAC57">
            <w:pPr>
              <w:jc w:val="right"/>
            </w:pPr>
            <w:r>
              <w:rPr>
                <w:rFonts w:hint="eastAsia"/>
              </w:rPr>
              <w:t>-</w:t>
            </w:r>
          </w:p>
        </w:tc>
      </w:tr>
      <w:tr w14:paraId="1911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305684">
            <w:r>
              <w:rPr>
                <w:rFonts w:hint="eastAsia"/>
              </w:rPr>
              <w:t>（四）、其他综合收益结转留存收益</w:t>
            </w:r>
          </w:p>
        </w:tc>
        <w:tc>
          <w:tcPr>
            <w:tcW w:w="1661" w:type="dxa"/>
            <w:vAlign w:val="center"/>
          </w:tcPr>
          <w:p w14:paraId="560B9CCA">
            <w:pPr>
              <w:jc w:val="right"/>
            </w:pPr>
            <w:r>
              <w:rPr>
                <w:rFonts w:hint="eastAsia"/>
              </w:rPr>
              <w:t>-</w:t>
            </w:r>
          </w:p>
        </w:tc>
        <w:tc>
          <w:tcPr>
            <w:tcW w:w="1661" w:type="dxa"/>
            <w:vAlign w:val="center"/>
          </w:tcPr>
          <w:p w14:paraId="4F95B2DB">
            <w:pPr>
              <w:jc w:val="right"/>
            </w:pPr>
            <w:r>
              <w:rPr>
                <w:rFonts w:hint="eastAsia"/>
              </w:rPr>
              <w:t>-</w:t>
            </w:r>
          </w:p>
        </w:tc>
        <w:tc>
          <w:tcPr>
            <w:tcW w:w="1661" w:type="dxa"/>
            <w:vAlign w:val="center"/>
          </w:tcPr>
          <w:p w14:paraId="4AB89BE4">
            <w:pPr>
              <w:jc w:val="right"/>
            </w:pPr>
            <w:r>
              <w:rPr>
                <w:rFonts w:hint="eastAsia"/>
              </w:rPr>
              <w:t>-</w:t>
            </w:r>
          </w:p>
        </w:tc>
        <w:tc>
          <w:tcPr>
            <w:tcW w:w="1661" w:type="dxa"/>
            <w:vAlign w:val="center"/>
          </w:tcPr>
          <w:p w14:paraId="33866225">
            <w:pPr>
              <w:jc w:val="right"/>
            </w:pPr>
            <w:r>
              <w:rPr>
                <w:rFonts w:hint="eastAsia"/>
              </w:rPr>
              <w:t>-</w:t>
            </w:r>
          </w:p>
        </w:tc>
      </w:tr>
      <w:tr w14:paraId="396D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91D2E">
            <w:r>
              <w:rPr>
                <w:rFonts w:hint="eastAsia"/>
              </w:rPr>
              <w:t>四、本期期末净资产</w:t>
            </w:r>
          </w:p>
        </w:tc>
        <w:tc>
          <w:tcPr>
            <w:tcW w:w="1661" w:type="dxa"/>
            <w:vAlign w:val="center"/>
          </w:tcPr>
          <w:p w14:paraId="1660A938">
            <w:pPr>
              <w:jc w:val="right"/>
            </w:pPr>
            <w:r>
              <w:rPr>
                <w:rFonts w:hint="eastAsia"/>
              </w:rPr>
              <w:t>3,165,890,304.87</w:t>
            </w:r>
          </w:p>
        </w:tc>
        <w:tc>
          <w:tcPr>
            <w:tcW w:w="1661" w:type="dxa"/>
            <w:vAlign w:val="center"/>
          </w:tcPr>
          <w:p w14:paraId="494944A1">
            <w:pPr>
              <w:jc w:val="right"/>
            </w:pPr>
            <w:r>
              <w:rPr>
                <w:rFonts w:hint="eastAsia"/>
              </w:rPr>
              <w:t>-</w:t>
            </w:r>
          </w:p>
        </w:tc>
        <w:tc>
          <w:tcPr>
            <w:tcW w:w="1661" w:type="dxa"/>
            <w:vAlign w:val="center"/>
          </w:tcPr>
          <w:p w14:paraId="7CD82E3D">
            <w:pPr>
              <w:jc w:val="right"/>
            </w:pPr>
            <w:r>
              <w:rPr>
                <w:rFonts w:hint="eastAsia"/>
              </w:rPr>
              <w:t>46,230,977.73</w:t>
            </w:r>
          </w:p>
        </w:tc>
        <w:tc>
          <w:tcPr>
            <w:tcW w:w="1661" w:type="dxa"/>
            <w:vAlign w:val="center"/>
          </w:tcPr>
          <w:p w14:paraId="6933C632">
            <w:pPr>
              <w:jc w:val="right"/>
            </w:pPr>
            <w:r>
              <w:rPr>
                <w:rFonts w:hint="eastAsia"/>
              </w:rPr>
              <w:t>3,212,121,282.60</w:t>
            </w:r>
          </w:p>
        </w:tc>
      </w:tr>
    </w:tbl>
    <w:p w14:paraId="4E9A3B58">
      <w:pPr>
        <w:pStyle w:val="18"/>
        <w:rPr>
          <w:rFonts w:hint="eastAsia"/>
        </w:rPr>
      </w:pPr>
      <w:r>
        <w:rPr>
          <w:rFonts w:hint="eastAsia"/>
        </w:rPr>
        <w:t>报表附注为财务报表的组成部分。</w:t>
      </w:r>
    </w:p>
    <w:p w14:paraId="18A39642">
      <w:pPr>
        <w:pStyle w:val="18"/>
        <w:rPr>
          <w:rFonts w:hint="eastAsia"/>
        </w:rPr>
      </w:pPr>
      <w:r>
        <w:rPr>
          <w:rFonts w:hint="eastAsia"/>
        </w:rPr>
        <w:t>本报告 7.1 至 7.4 财务报表由下列负责人签署：</w:t>
      </w:r>
    </w:p>
    <w:p w14:paraId="4C0805CB">
      <w:pPr>
        <w:pStyle w:val="18"/>
        <w:rPr>
          <w:rFonts w:hint="eastAsia"/>
        </w:rPr>
      </w:pPr>
      <w:r>
        <w:rPr>
          <w:rFonts w:hint="eastAsia"/>
        </w:rPr>
        <w:t>____杨小松___           ____蔡忠评______          ____徐超____</w:t>
      </w:r>
    </w:p>
    <w:p w14:paraId="7D94BC08">
      <w:pPr>
        <w:pStyle w:val="18"/>
        <w:rPr>
          <w:rFonts w:hint="eastAsia"/>
        </w:rPr>
      </w:pPr>
      <w:r>
        <w:rPr>
          <w:rFonts w:hint="eastAsia"/>
        </w:rPr>
        <w:t>基金管理人负责人     主管会计工作负责人         会计机构负责人</w:t>
      </w:r>
    </w:p>
    <w:p w14:paraId="05075DE8">
      <w:pPr>
        <w:pStyle w:val="23"/>
      </w:pPr>
      <w:bookmarkStart w:id="49" w:name="_Toc20739"/>
      <w:r>
        <w:t>报表附注</w:t>
      </w:r>
      <w:bookmarkEnd w:id="49"/>
      <w:r>
        <w:t xml:space="preserve"> </w:t>
      </w:r>
    </w:p>
    <w:p w14:paraId="2DD253DD">
      <w:pPr>
        <w:pStyle w:val="28"/>
      </w:pPr>
      <w:bookmarkStart w:id="50" w:name="_Toc50"/>
      <w:r>
        <w:t>基金基本情况</w:t>
      </w:r>
      <w:bookmarkEnd w:id="50"/>
    </w:p>
    <w:p w14:paraId="0D41C1AA">
      <w:pPr>
        <w:pStyle w:val="18"/>
        <w:rPr>
          <w:rFonts w:hint="eastAsia"/>
        </w:rPr>
      </w:pPr>
      <w:r>
        <w:rPr>
          <w:rFonts w:hint="eastAsia"/>
        </w:rPr>
        <w:t>南方益稳稳健增利债券型证券投资基金（以下简称“本基金”）经中国证券监督管理委员会（简称“中国证监会”）[2025]1430号文《关于准予南方益稳稳健增利债券型证券投资基金注册的批复》注册，由南方基金管理股份有限公司依照《中华人民共和国证券投资基金法》和《南方益稳稳健增利债券型证券投资基金基金合同》（以下简称“基金合同”）负责公开募集。本基金为契约型开放式基金，存续期限不定，募集期间为2025年7月28日至2025年8月4日，首次设立募集不包括认购资金利息共募集人民币4,997,958,733.43元，经安永华明会计师事务所（特殊普通合伙）安永华明（2025）验字第70027797_H05号验资报告予以验证。经向中国证监会备案，《南方益稳稳健增利债券型证券投资基金基金合同》于2025年8月6日正式生效，基金合同生效日的基金份额总额为4,998,148,598.54份基金份额，其中认购资金利息折合189,865.11份基金份额。本基金的基金管理人为南方基金管理股份有限公司，基金托管人为广发银行股份有限公司。</w:t>
      </w:r>
    </w:p>
    <w:p w14:paraId="6A85099E">
      <w:pPr>
        <w:pStyle w:val="18"/>
        <w:rPr>
          <w:rFonts w:hint="eastAsia"/>
        </w:rPr>
      </w:pPr>
      <w:r>
        <w:rPr>
          <w:rFonts w:hint="eastAsia"/>
        </w:rPr>
        <w:t>根据认购/申购费用、销售服务费收取方式的不同，将基金份额分为不同的类别。其中A类基金份额类别为在投资人认购/申购时收取前端认购/申购费用，但不从本类别基金资产净值中计提销售服务费的基金份额；C类基金份额为从本类别基金资产净值中计提销售服务费，且不收取认购/申购费用的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F53365B">
      <w:pPr>
        <w:pStyle w:val="18"/>
        <w:rPr>
          <w:rFonts w:hint="eastAsia"/>
        </w:rPr>
      </w:pPr>
      <w:r>
        <w:rPr>
          <w:rFonts w:hint="eastAsia"/>
        </w:rPr>
        <w:t>根据《中华人民共和国证券投资基金法》、基金合同及招募说明书的有关规定，本基金的投资范围包括国内依法发行上市的股票（包括主板、创业板及其他经中国证监会核准或注册上市的股票（含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国债期货、信用衍生品、货币市场工具、经中国证监会依法核准或注册的公开募集证券投资基金（仅包括全市场的股票型ETF及本基金管理人旗下的股票型基金、计入权益类资产的混合型基金，不包括QDII基金、香港互认基金、基金中基金和其他可投资公募基金的基金、货币市场基金、非本基金管理人管理的基金（全市场的股票型ETF除外））以及法律法规或中国证监会允许基金投资的其他金融工具（但须符合中国证监会相关规定）。如法律法规或监管机构以后允许基金投资其他品种，基金管理人在履行适当程序后，可以将其纳入投资范围，并可依据届时有效的法律法规适时合理地调整投资范围。基金的投资组合比例为：本基金投资于债券资产的比例不低于基金资产的80%；本基金投资于股票（含存托凭证）、股票型基金、混合型基金等权益类资产以及可转换债券和可交换债券的比例合计为基金资产的5%-20%（其中投资于境内股票资产的比例不低于基金资产的5%，港股通股票投资比例不得超过股票资产的50%）。本基金投资于经中国证监会依法核准或注册的公开募集的基金份额的比例不超过基金资产净值的10%。每个交易日日终在扣除国债期货合约需缴纳的交易保证金后，本基金保留的现金或到期日在一年以内的政府债券的比例合计不低于基金资产净值的5%，其中现金不包括结算备付金、存出保证金和应收申购款等。计入上述权益类资产的混合型基金需符合下列两个条件之一：1、基金合同约定股票及存托凭证资产投资比例不低于基金资产60%的混合型基金；2、根据基金披露的定期报告，最近四个季度中任一季度股票及存托凭证资产占基金资产比例均不低于60%的混合型基金。本基金的业绩比较基准为：沪深300指数收益率×10%+中证港股通综合指数（人民币）收益率×5%+中债综合指数收益率×85%。</w:t>
      </w:r>
    </w:p>
    <w:p w14:paraId="10B791B3">
      <w:pPr>
        <w:pStyle w:val="18"/>
        <w:rPr>
          <w:rFonts w:hint="eastAsia"/>
        </w:rPr>
      </w:pPr>
      <w:r>
        <w:rPr>
          <w:rFonts w:hint="eastAsia"/>
        </w:rPr>
        <w:t>本财务报表由本基金的基金管理人南方基金管理股份有限公司于2026年3月27日批准报出。</w:t>
      </w:r>
    </w:p>
    <w:p w14:paraId="47AE6A9D">
      <w:pPr>
        <w:pStyle w:val="28"/>
      </w:pPr>
      <w:bookmarkStart w:id="51" w:name="_Toc51"/>
      <w:r>
        <w:t xml:space="preserve"> 会计报表的编制基础 </w:t>
      </w:r>
      <w:bookmarkEnd w:id="51"/>
    </w:p>
    <w:p w14:paraId="3A71E70C">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3E50031">
      <w:pPr>
        <w:pStyle w:val="18"/>
        <w:rPr>
          <w:rFonts w:hint="eastAsia"/>
        </w:rPr>
      </w:pPr>
      <w:r>
        <w:rPr>
          <w:rFonts w:hint="eastAsia"/>
        </w:rPr>
        <w:t>本财务报表以本基金持续经营为基础列报。</w:t>
      </w:r>
    </w:p>
    <w:p w14:paraId="3D6417E9">
      <w:pPr>
        <w:pStyle w:val="28"/>
      </w:pPr>
      <w:bookmarkStart w:id="52" w:name="_Toc52"/>
      <w:r>
        <w:t xml:space="preserve"> 遵循企业会计准则及其他有关规定的声明</w:t>
      </w:r>
      <w:bookmarkEnd w:id="52"/>
    </w:p>
    <w:p w14:paraId="4DC5B12E">
      <w:pPr>
        <w:pStyle w:val="18"/>
        <w:rPr>
          <w:rFonts w:hint="eastAsia"/>
        </w:rPr>
      </w:pPr>
      <w:r>
        <w:rPr>
          <w:rFonts w:hint="eastAsia"/>
        </w:rPr>
        <w:t>本财务报表符合企业会计准则的要求，真实、完整地反映了本基金于2025年12月31日的财务状况以及2025年8月6日（基金合同生效日）至2025年12月31日止的经营成果和净资产变动情况。</w:t>
      </w:r>
    </w:p>
    <w:p w14:paraId="676C20FC">
      <w:pPr>
        <w:pStyle w:val="28"/>
      </w:pPr>
      <w:bookmarkStart w:id="53" w:name="_Toc53"/>
      <w:r>
        <w:t xml:space="preserve">重要会计政策和会计估计 </w:t>
      </w:r>
      <w:bookmarkEnd w:id="53"/>
    </w:p>
    <w:p w14:paraId="757E87C1">
      <w:pPr>
        <w:pStyle w:val="35"/>
      </w:pPr>
      <w:bookmarkStart w:id="54" w:name="_Toc54"/>
      <w:r>
        <w:t>会计年度</w:t>
      </w:r>
      <w:bookmarkEnd w:id="54"/>
    </w:p>
    <w:p w14:paraId="77333E8F">
      <w:pPr>
        <w:pStyle w:val="18"/>
        <w:rPr>
          <w:rFonts w:hint="eastAsia"/>
        </w:rPr>
      </w:pPr>
      <w:r>
        <w:rPr>
          <w:rFonts w:hint="eastAsia"/>
        </w:rPr>
        <w:t>本基金会计年度采用公历年度，即每年1月1日起至12月31日止。本期财务报表的实际编制期间系自2025年8月6日（基金合同生效日）至2025年12月31日止。</w:t>
      </w:r>
    </w:p>
    <w:p w14:paraId="29BBBC49">
      <w:pPr>
        <w:pStyle w:val="35"/>
      </w:pPr>
      <w:bookmarkStart w:id="55" w:name="_Toc55"/>
      <w:r>
        <w:t>记账本位币</w:t>
      </w:r>
      <w:bookmarkEnd w:id="55"/>
    </w:p>
    <w:p w14:paraId="561E1CC4">
      <w:pPr>
        <w:pStyle w:val="18"/>
        <w:rPr>
          <w:rFonts w:hint="eastAsia"/>
        </w:rPr>
      </w:pPr>
      <w:r>
        <w:rPr>
          <w:rFonts w:hint="eastAsia"/>
        </w:rPr>
        <w:t>本基金记账本位币和编制本财务报表所采用的货币均为人民币。除有特别说明外，均以人民币元为单位表示。</w:t>
      </w:r>
    </w:p>
    <w:p w14:paraId="5DCF6142">
      <w:pPr>
        <w:pStyle w:val="35"/>
      </w:pPr>
      <w:bookmarkStart w:id="56" w:name="_Toc56"/>
      <w:r>
        <w:t>金融资产和金融负债的分类</w:t>
      </w:r>
      <w:bookmarkEnd w:id="56"/>
    </w:p>
    <w:p w14:paraId="510AF976">
      <w:pPr>
        <w:pStyle w:val="18"/>
        <w:rPr>
          <w:rFonts w:hint="eastAsia"/>
        </w:rPr>
      </w:pPr>
      <w:r>
        <w:rPr>
          <w:rFonts w:hint="eastAsia"/>
        </w:rPr>
        <w:t>金融工具是指形成本基金的金融资产（或负债），并形成其他单位的金融负债（或资产）或权益工具的合同。</w:t>
      </w:r>
    </w:p>
    <w:p w14:paraId="153C3863">
      <w:pPr>
        <w:pStyle w:val="18"/>
        <w:rPr>
          <w:rFonts w:hint="eastAsia"/>
        </w:rPr>
      </w:pPr>
      <w:r>
        <w:rPr>
          <w:rFonts w:hint="eastAsia"/>
        </w:rPr>
        <w:t>（1）金融资产分类</w:t>
      </w:r>
    </w:p>
    <w:p w14:paraId="31734AF5">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C59F455">
      <w:pPr>
        <w:pStyle w:val="18"/>
        <w:rPr>
          <w:rFonts w:hint="eastAsia"/>
        </w:rPr>
      </w:pPr>
      <w:r>
        <w:rPr>
          <w:rFonts w:hint="eastAsia"/>
        </w:rPr>
        <w:t>（2）金融负债分类</w:t>
      </w:r>
    </w:p>
    <w:p w14:paraId="1A5F7AEB">
      <w:pPr>
        <w:pStyle w:val="18"/>
        <w:rPr>
          <w:rFonts w:hint="eastAsia"/>
        </w:rPr>
      </w:pPr>
      <w:r>
        <w:rPr>
          <w:rFonts w:hint="eastAsia"/>
        </w:rPr>
        <w:t>本基金的金融负债于初始确认时分类为：以公允价值计量且其变动计入当期损益的金融负债、以摊余成本计量的金融负债。</w:t>
      </w:r>
    </w:p>
    <w:p w14:paraId="233640A8">
      <w:pPr>
        <w:pStyle w:val="35"/>
      </w:pPr>
      <w:bookmarkStart w:id="57" w:name="_Toc57"/>
      <w:r>
        <w:t xml:space="preserve">金融资产和金融负债的初始确认、后续计量和终止确认 </w:t>
      </w:r>
      <w:bookmarkEnd w:id="57"/>
    </w:p>
    <w:p w14:paraId="5B1D6708">
      <w:pPr>
        <w:pStyle w:val="18"/>
        <w:rPr>
          <w:rFonts w:hint="eastAsia"/>
        </w:rPr>
      </w:pPr>
      <w:r>
        <w:rPr>
          <w:rFonts w:hint="eastAsia"/>
        </w:rPr>
        <w:t>本基金于成为金融工具合同的一方时确认一项金融资产或金融负债。</w:t>
      </w:r>
    </w:p>
    <w:p w14:paraId="62FEBDEE">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6A03B4BB">
      <w:pPr>
        <w:pStyle w:val="18"/>
        <w:rPr>
          <w:rFonts w:hint="eastAsia"/>
        </w:rPr>
      </w:pPr>
      <w:r>
        <w:rPr>
          <w:rFonts w:hint="eastAsia"/>
        </w:rPr>
        <w:t>划分为以摊余成本计量的金融资产和金融负债，按照取得时的公允价值作为初始确认金额，相关交易费用计入其初始确认金额。</w:t>
      </w:r>
    </w:p>
    <w:p w14:paraId="61502EC5">
      <w:pPr>
        <w:pStyle w:val="18"/>
        <w:rPr>
          <w:rFonts w:hint="eastAsia"/>
        </w:rPr>
      </w:pPr>
      <w:r>
        <w:rPr>
          <w:rFonts w:hint="eastAsia"/>
        </w:rPr>
        <w:t>对于以公允价值计量且其变动计入当期损益的金融资产，采用公允价值进行后续计量，所有公允价值变动计入当期损益。</w:t>
      </w:r>
    </w:p>
    <w:p w14:paraId="5C7E4BEE">
      <w:pPr>
        <w:pStyle w:val="18"/>
        <w:rPr>
          <w:rFonts w:hint="eastAsia"/>
        </w:rPr>
      </w:pPr>
      <w:r>
        <w:rPr>
          <w:rFonts w:hint="eastAsia"/>
        </w:rPr>
        <w:t>对于以摊余成本计量的金融资产，采用实际利率法确认利息收入，其终止确认、修改或减值产生的利得或损失，均计入当期损益。</w:t>
      </w:r>
    </w:p>
    <w:p w14:paraId="00EC76D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E5C27AB">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1A32113">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E44C2FE">
      <w:pPr>
        <w:pStyle w:val="18"/>
        <w:rPr>
          <w:rFonts w:hint="eastAsia"/>
        </w:rPr>
      </w:pPr>
      <w:r>
        <w:rPr>
          <w:rFonts w:hint="eastAsia"/>
        </w:rPr>
        <w:t>当对金融资产预期未来现金流量具有不利影响的一项或多项事件发生时，该金融资产成为已发生信用减值的金融资产。</w:t>
      </w:r>
    </w:p>
    <w:p w14:paraId="3AF353DC">
      <w:pPr>
        <w:pStyle w:val="18"/>
        <w:rPr>
          <w:rFonts w:hint="eastAsia"/>
        </w:rPr>
      </w:pPr>
      <w:r>
        <w:rPr>
          <w:rFonts w:hint="eastAsia"/>
        </w:rPr>
        <w:t>当本基金不再合理预期能够全部或部分收回金融资产合同现金流量时，本基金直接减记该金融资产的账面余额。</w:t>
      </w:r>
    </w:p>
    <w:p w14:paraId="535F0BD7">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2BFBB78C">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B6BEF63">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0FA6029">
      <w:pPr>
        <w:pStyle w:val="35"/>
      </w:pPr>
      <w:bookmarkStart w:id="58" w:name="_Toc58"/>
      <w:r>
        <w:t>金融资产和金融负债的估值原则</w:t>
      </w:r>
      <w:bookmarkEnd w:id="58"/>
    </w:p>
    <w:p w14:paraId="788BD587">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5555FFA">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833BFDE">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49DC080E">
      <w:pPr>
        <w:pStyle w:val="18"/>
        <w:rPr>
          <w:rFonts w:hint="eastAsia"/>
        </w:rPr>
      </w:pPr>
      <w:r>
        <w:rPr>
          <w:rFonts w:hint="eastAsia"/>
        </w:rPr>
        <w:t>本基金持有的以公允价值计量且其变动计入当期损益的金融资产和金融负债按如下原则确定公允价值并进行估值：</w:t>
      </w:r>
    </w:p>
    <w:p w14:paraId="70A0AF36">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D503811">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CD4769F">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38D68F9">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0F07BBD0">
      <w:pPr>
        <w:pStyle w:val="18"/>
        <w:rPr>
          <w:rFonts w:hint="eastAsia"/>
        </w:rPr>
      </w:pPr>
      <w:r>
        <w:rPr>
          <w:rFonts w:hint="eastAsia"/>
        </w:rPr>
        <w:t>（4）如有新增事项，按国家最新规定估值。</w:t>
      </w:r>
    </w:p>
    <w:p w14:paraId="11EC2739">
      <w:pPr>
        <w:pStyle w:val="35"/>
      </w:pPr>
      <w:bookmarkStart w:id="59" w:name="_Toc59"/>
      <w:r>
        <w:t>金融资产和金融负债的抵销</w:t>
      </w:r>
      <w:bookmarkEnd w:id="59"/>
    </w:p>
    <w:p w14:paraId="181FFE23">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7A50485">
      <w:pPr>
        <w:pStyle w:val="35"/>
      </w:pPr>
      <w:bookmarkStart w:id="60" w:name="_Toc60"/>
      <w:r>
        <w:t>实收基金</w:t>
      </w:r>
      <w:bookmarkEnd w:id="60"/>
    </w:p>
    <w:p w14:paraId="3B00E12D">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341570E">
      <w:pPr>
        <w:pStyle w:val="35"/>
      </w:pPr>
      <w:bookmarkStart w:id="61" w:name="_Toc61"/>
      <w:r>
        <w:t>损益平准金</w:t>
      </w:r>
      <w:bookmarkEnd w:id="61"/>
    </w:p>
    <w:p w14:paraId="6AE3AFAF">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5F7EEBE">
      <w:pPr>
        <w:pStyle w:val="18"/>
        <w:rPr>
          <w:rFonts w:hint="eastAsia"/>
        </w:rPr>
      </w:pPr>
      <w:r>
        <w:rPr>
          <w:rFonts w:hint="eastAsia"/>
        </w:rPr>
        <w:t>未实现损益平准金与已实现损益平准金均在“损益平准金”科目中核算，并于期末全额转入“未分配利润/（累计亏损）”。</w:t>
      </w:r>
    </w:p>
    <w:p w14:paraId="7CE3C307">
      <w:pPr>
        <w:pStyle w:val="35"/>
      </w:pPr>
      <w:bookmarkStart w:id="62" w:name="_Toc62"/>
      <w:r>
        <w:t>收入/（损失）的确认和计量</w:t>
      </w:r>
      <w:bookmarkEnd w:id="62"/>
    </w:p>
    <w:p w14:paraId="3B620699">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D05EDE6">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AEF43D7">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CB2110E">
      <w:pPr>
        <w:pStyle w:val="18"/>
        <w:rPr>
          <w:rFonts w:hint="eastAsia"/>
        </w:rPr>
      </w:pPr>
      <w:r>
        <w:rPr>
          <w:rFonts w:hint="eastAsia"/>
        </w:rPr>
        <w:t>（3）其他收入在经济利益很可能流入从而导致资产增加或者负债减少、且经济利益的流入额能够可靠计量时确认。</w:t>
      </w:r>
    </w:p>
    <w:p w14:paraId="379A470D">
      <w:pPr>
        <w:pStyle w:val="35"/>
      </w:pPr>
      <w:bookmarkStart w:id="63" w:name="_Toc63"/>
      <w:r>
        <w:t>费用的确认和计量</w:t>
      </w:r>
      <w:bookmarkEnd w:id="63"/>
    </w:p>
    <w:p w14:paraId="688CD11E">
      <w:pPr>
        <w:pStyle w:val="18"/>
        <w:rPr>
          <w:rFonts w:hint="eastAsia"/>
        </w:rPr>
      </w:pPr>
      <w:r>
        <w:rPr>
          <w:rFonts w:hint="eastAsia"/>
        </w:rPr>
        <w:t>本基金的管理人报酬和托管费等费用按照权责发生制原则，在本基金接受相关服务的期间计入当期损益。</w:t>
      </w:r>
    </w:p>
    <w:p w14:paraId="4BEB579C">
      <w:pPr>
        <w:pStyle w:val="18"/>
        <w:rPr>
          <w:rFonts w:hint="eastAsia"/>
        </w:rPr>
      </w:pPr>
      <w:r>
        <w:rPr>
          <w:rFonts w:hint="eastAsia"/>
        </w:rPr>
        <w:t>以摊余成本计量的金融负债在持有期间确认的利息支出按实际利率法计算，实际利率法与直线法差异较小的则按直线法计算。</w:t>
      </w:r>
    </w:p>
    <w:p w14:paraId="0A9C3A98">
      <w:pPr>
        <w:pStyle w:val="35"/>
      </w:pPr>
      <w:bookmarkStart w:id="64" w:name="_Toc64"/>
      <w:r>
        <w:t>基金的收益分配政策</w:t>
      </w:r>
      <w:bookmarkEnd w:id="64"/>
    </w:p>
    <w:p w14:paraId="3DB3D870">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基金管理人可每季度评估是否进行收益分配。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403F959F">
      <w:pPr>
        <w:pStyle w:val="18"/>
        <w:rPr>
          <w:rFonts w:hint="eastAsia"/>
        </w:rPr>
      </w:pPr>
      <w:r>
        <w:rPr>
          <w:rFonts w:hint="eastAsia"/>
        </w:rPr>
        <w:t>经宣告的拟分配基金收益于分红除权日从净资产转出。</w:t>
      </w:r>
    </w:p>
    <w:p w14:paraId="275FE192">
      <w:pPr>
        <w:pStyle w:val="35"/>
      </w:pPr>
      <w:bookmarkStart w:id="65" w:name="_Toc65"/>
      <w:r>
        <w:t>外币交易</w:t>
      </w:r>
      <w:bookmarkEnd w:id="65"/>
    </w:p>
    <w:p w14:paraId="41EC2C55">
      <w:pPr>
        <w:pStyle w:val="18"/>
        <w:rPr>
          <w:rFonts w:hint="eastAsia"/>
        </w:rPr>
      </w:pPr>
      <w:r>
        <w:rPr>
          <w:rFonts w:hint="eastAsia"/>
        </w:rPr>
        <w:t>外币交易按交易发生日的即期汇率将外币金额折算为人民币金额。</w:t>
      </w:r>
    </w:p>
    <w:p w14:paraId="14A680D7">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6688AB95">
      <w:pPr>
        <w:pStyle w:val="35"/>
      </w:pPr>
      <w:bookmarkStart w:id="66" w:name="_Toc66"/>
      <w:r>
        <w:t xml:space="preserve"> 分部报告</w:t>
      </w:r>
      <w:bookmarkEnd w:id="66"/>
    </w:p>
    <w:p w14:paraId="72E4EC71">
      <w:pPr>
        <w:pStyle w:val="18"/>
        <w:rPr>
          <w:rFonts w:hint="eastAsia"/>
        </w:rPr>
      </w:pPr>
      <w:r>
        <w:rPr>
          <w:rFonts w:hint="eastAsia"/>
        </w:rPr>
        <w:t>经营分部是指本基金内同时满足下列条件的组成部分：</w:t>
      </w:r>
    </w:p>
    <w:p w14:paraId="16CDC417">
      <w:pPr>
        <w:pStyle w:val="18"/>
        <w:rPr>
          <w:rFonts w:hint="eastAsia"/>
        </w:rPr>
      </w:pPr>
      <w:r>
        <w:rPr>
          <w:rFonts w:hint="eastAsia"/>
        </w:rPr>
        <w:t>（1）该组成部分能够在日常活动中产生收入、发生费用；</w:t>
      </w:r>
    </w:p>
    <w:p w14:paraId="156D55E5">
      <w:pPr>
        <w:pStyle w:val="18"/>
        <w:rPr>
          <w:rFonts w:hint="eastAsia"/>
        </w:rPr>
      </w:pPr>
      <w:r>
        <w:rPr>
          <w:rFonts w:hint="eastAsia"/>
        </w:rPr>
        <w:t>（2）能够定期评价该组成部分的经营成果，以决定向其配置资源、评价其业绩；</w:t>
      </w:r>
    </w:p>
    <w:p w14:paraId="52A5C243">
      <w:pPr>
        <w:pStyle w:val="18"/>
        <w:rPr>
          <w:rFonts w:hint="eastAsia"/>
        </w:rPr>
      </w:pPr>
      <w:r>
        <w:rPr>
          <w:rFonts w:hint="eastAsia"/>
        </w:rPr>
        <w:t>（3）能够取得该组成部分的财务状况、经营成果和现金流量等有关会计信息。</w:t>
      </w:r>
    </w:p>
    <w:p w14:paraId="3184C9B4">
      <w:pPr>
        <w:pStyle w:val="18"/>
        <w:rPr>
          <w:rFonts w:hint="eastAsia"/>
        </w:rPr>
      </w:pPr>
      <w:r>
        <w:rPr>
          <w:rFonts w:hint="eastAsia"/>
        </w:rPr>
        <w:t>如果两个或多个经营分部具有相似的经济特征，并且满足一定条件的，则合并为一个经营分部。</w:t>
      </w:r>
    </w:p>
    <w:p w14:paraId="4FAE1CE5">
      <w:pPr>
        <w:pStyle w:val="18"/>
        <w:rPr>
          <w:rFonts w:hint="eastAsia"/>
        </w:rPr>
      </w:pPr>
      <w:r>
        <w:rPr>
          <w:rFonts w:hint="eastAsia"/>
        </w:rPr>
        <w:t>本基金目前以一个经营分部运作，不需要进行分部报告的披露。</w:t>
      </w:r>
    </w:p>
    <w:p w14:paraId="416CE033">
      <w:pPr>
        <w:pStyle w:val="35"/>
      </w:pPr>
      <w:bookmarkStart w:id="67" w:name="_Toc67"/>
      <w:r>
        <w:t>其他重要的会计政策和会计估计</w:t>
      </w:r>
      <w:bookmarkEnd w:id="67"/>
    </w:p>
    <w:p w14:paraId="758EEC70">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E6FE99F">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8325353">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202EE8C">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F000364">
      <w:pPr>
        <w:pStyle w:val="28"/>
      </w:pPr>
      <w:bookmarkStart w:id="68" w:name="_Toc68"/>
      <w:r>
        <w:t xml:space="preserve">会计政策和会计估计变更以及差错更正的说明 </w:t>
      </w:r>
      <w:bookmarkEnd w:id="68"/>
    </w:p>
    <w:p w14:paraId="30ED7319">
      <w:pPr>
        <w:pStyle w:val="35"/>
      </w:pPr>
      <w:bookmarkStart w:id="69" w:name="_Toc69"/>
      <w:r>
        <w:t xml:space="preserve">会计政策变更的说明 </w:t>
      </w:r>
      <w:bookmarkEnd w:id="69"/>
    </w:p>
    <w:p w14:paraId="7586948E">
      <w:pPr>
        <w:pStyle w:val="18"/>
        <w:rPr>
          <w:rFonts w:hint="eastAsia"/>
        </w:rPr>
      </w:pPr>
      <w:r>
        <w:rPr>
          <w:rFonts w:hint="eastAsia"/>
        </w:rPr>
        <w:t>本基金本报告期未发生会计政策变更。</w:t>
      </w:r>
    </w:p>
    <w:p w14:paraId="3530D75D">
      <w:pPr>
        <w:pStyle w:val="35"/>
      </w:pPr>
      <w:bookmarkStart w:id="70" w:name="_Toc70"/>
      <w:r>
        <w:t>会计估计变更的说明</w:t>
      </w:r>
      <w:bookmarkEnd w:id="70"/>
    </w:p>
    <w:p w14:paraId="7F15C64D">
      <w:pPr>
        <w:pStyle w:val="18"/>
        <w:rPr>
          <w:rFonts w:hint="eastAsia"/>
        </w:rPr>
      </w:pPr>
      <w:r>
        <w:rPr>
          <w:rFonts w:hint="eastAsia"/>
        </w:rPr>
        <w:t>本基金本报告期未发生会计估计变更。</w:t>
      </w:r>
    </w:p>
    <w:p w14:paraId="37D66EB2">
      <w:pPr>
        <w:pStyle w:val="35"/>
      </w:pPr>
      <w:bookmarkStart w:id="71" w:name="_Toc71"/>
      <w:r>
        <w:t>差错更正的说明</w:t>
      </w:r>
      <w:bookmarkEnd w:id="71"/>
    </w:p>
    <w:p w14:paraId="011EA9B5">
      <w:pPr>
        <w:pStyle w:val="18"/>
        <w:rPr>
          <w:rFonts w:hint="eastAsia"/>
        </w:rPr>
      </w:pPr>
      <w:r>
        <w:rPr>
          <w:rFonts w:hint="eastAsia"/>
        </w:rPr>
        <w:t>本基金在本报告期间无须说明的会计差错更正。</w:t>
      </w:r>
    </w:p>
    <w:p w14:paraId="7706D422">
      <w:pPr>
        <w:pStyle w:val="28"/>
      </w:pPr>
      <w:bookmarkStart w:id="72" w:name="_Toc72"/>
      <w:r>
        <w:t>税项</w:t>
      </w:r>
      <w:bookmarkEnd w:id="72"/>
    </w:p>
    <w:p w14:paraId="04B43310">
      <w:pPr>
        <w:pStyle w:val="18"/>
        <w:rPr>
          <w:rFonts w:hint="eastAsia"/>
        </w:rPr>
      </w:pPr>
      <w:r>
        <w:rPr>
          <w:rFonts w:hint="eastAsia"/>
        </w:rPr>
        <w:t>（1）增值税及附加</w:t>
      </w:r>
    </w:p>
    <w:p w14:paraId="6929EA45">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1B033A95">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7944B5E9">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4A168A3">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14C4598">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48F0DCA">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D27D345">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29CF4806">
      <w:pPr>
        <w:pStyle w:val="18"/>
        <w:rPr>
          <w:rFonts w:hint="eastAsia"/>
        </w:rPr>
      </w:pPr>
      <w:r>
        <w:rPr>
          <w:rFonts w:hint="eastAsia"/>
        </w:rPr>
        <w:t>（2）企业所得税</w:t>
      </w:r>
    </w:p>
    <w:p w14:paraId="65D8F211">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493D25A">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CB516C6">
      <w:pPr>
        <w:pStyle w:val="18"/>
        <w:rPr>
          <w:rFonts w:hint="eastAsia"/>
        </w:rPr>
      </w:pPr>
      <w:r>
        <w:rPr>
          <w:rFonts w:hint="eastAsia"/>
        </w:rPr>
        <w:t>（3）个人所得税</w:t>
      </w:r>
    </w:p>
    <w:p w14:paraId="00B8C4D8">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EA76F85">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61ED124">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7F2A2061">
      <w:pPr>
        <w:pStyle w:val="18"/>
        <w:rPr>
          <w:rFonts w:hint="eastAsia"/>
        </w:rPr>
      </w:pPr>
      <w:r>
        <w:rPr>
          <w:rFonts w:hint="eastAsia"/>
        </w:rPr>
        <w:t>（4）印花税（如适用）</w:t>
      </w:r>
    </w:p>
    <w:p w14:paraId="590971B4">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61BBD16">
      <w:pPr>
        <w:pStyle w:val="18"/>
        <w:rPr>
          <w:rFonts w:hint="eastAsia"/>
        </w:rPr>
      </w:pPr>
      <w:r>
        <w:rPr>
          <w:rFonts w:hint="eastAsia"/>
        </w:rPr>
        <w:t>（5）境外投资</w:t>
      </w:r>
    </w:p>
    <w:p w14:paraId="413687FD">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6D90B1C5">
      <w:pPr>
        <w:pStyle w:val="28"/>
      </w:pPr>
      <w:bookmarkStart w:id="73" w:name="_Toc73"/>
      <w:r>
        <w:t xml:space="preserve">重要财务报表项目的说明 </w:t>
      </w:r>
      <w:bookmarkEnd w:id="73"/>
    </w:p>
    <w:p w14:paraId="1F157F48">
      <w:pPr>
        <w:pStyle w:val="35"/>
      </w:pPr>
      <w:bookmarkStart w:id="74" w:name="_Toc74"/>
      <w:r>
        <w:t>货币资金</w:t>
      </w:r>
      <w:bookmarkEnd w:id="74"/>
    </w:p>
    <w:p w14:paraId="6C231B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96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A429BC2">
            <w:pPr>
              <w:jc w:val="center"/>
            </w:pPr>
            <w:r>
              <w:rPr>
                <w:rFonts w:hint="eastAsia"/>
                <w:b/>
              </w:rPr>
              <w:t>项目</w:t>
            </w:r>
          </w:p>
        </w:tc>
        <w:tc>
          <w:tcPr>
            <w:tcW w:w="4153" w:type="dxa"/>
            <w:shd w:val="clear" w:color="auto" w:fill="BFBFBF"/>
            <w:vAlign w:val="center"/>
          </w:tcPr>
          <w:p w14:paraId="22873FC8">
            <w:pPr>
              <w:jc w:val="center"/>
            </w:pPr>
            <w:r>
              <w:rPr>
                <w:rFonts w:hint="eastAsia"/>
                <w:b/>
              </w:rPr>
              <w:t>本期末2025年12月31日</w:t>
            </w:r>
          </w:p>
        </w:tc>
      </w:tr>
      <w:tr w14:paraId="0F9B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4C46F6">
            <w:r>
              <w:rPr>
                <w:rFonts w:hint="eastAsia"/>
              </w:rPr>
              <w:t>活期存款</w:t>
            </w:r>
          </w:p>
        </w:tc>
        <w:tc>
          <w:tcPr>
            <w:tcW w:w="4153" w:type="dxa"/>
            <w:vAlign w:val="center"/>
          </w:tcPr>
          <w:p w14:paraId="6150E1B0">
            <w:pPr>
              <w:jc w:val="right"/>
            </w:pPr>
            <w:r>
              <w:rPr>
                <w:rFonts w:hint="eastAsia"/>
              </w:rPr>
              <w:t>17,594,995.04</w:t>
            </w:r>
          </w:p>
        </w:tc>
      </w:tr>
      <w:tr w14:paraId="04B9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273B06">
            <w:r>
              <w:rPr>
                <w:rFonts w:hint="eastAsia"/>
              </w:rPr>
              <w:t>等于：本金</w:t>
            </w:r>
          </w:p>
        </w:tc>
        <w:tc>
          <w:tcPr>
            <w:tcW w:w="4153" w:type="dxa"/>
            <w:vAlign w:val="center"/>
          </w:tcPr>
          <w:p w14:paraId="5BB52C1D">
            <w:pPr>
              <w:jc w:val="right"/>
            </w:pPr>
            <w:r>
              <w:rPr>
                <w:rFonts w:hint="eastAsia"/>
              </w:rPr>
              <w:t>17,562,145.93</w:t>
            </w:r>
          </w:p>
        </w:tc>
      </w:tr>
      <w:tr w14:paraId="046E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E14601">
            <w:r>
              <w:rPr>
                <w:rFonts w:hint="eastAsia"/>
              </w:rPr>
              <w:t xml:space="preserve">      加：应计利息</w:t>
            </w:r>
          </w:p>
        </w:tc>
        <w:tc>
          <w:tcPr>
            <w:tcW w:w="4153" w:type="dxa"/>
            <w:vAlign w:val="center"/>
          </w:tcPr>
          <w:p w14:paraId="20070FE8">
            <w:pPr>
              <w:jc w:val="right"/>
            </w:pPr>
            <w:r>
              <w:rPr>
                <w:rFonts w:hint="eastAsia"/>
              </w:rPr>
              <w:t>32,849.11</w:t>
            </w:r>
          </w:p>
        </w:tc>
      </w:tr>
      <w:tr w14:paraId="5364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BDD3D7">
            <w:r>
              <w:rPr>
                <w:rFonts w:hint="eastAsia"/>
              </w:rPr>
              <w:t xml:space="preserve">      减：坏账准备</w:t>
            </w:r>
          </w:p>
        </w:tc>
        <w:tc>
          <w:tcPr>
            <w:tcW w:w="4153" w:type="dxa"/>
            <w:vAlign w:val="center"/>
          </w:tcPr>
          <w:p w14:paraId="23A16940">
            <w:pPr>
              <w:jc w:val="right"/>
            </w:pPr>
            <w:r>
              <w:rPr>
                <w:rFonts w:hint="eastAsia"/>
              </w:rPr>
              <w:t>-</w:t>
            </w:r>
          </w:p>
        </w:tc>
      </w:tr>
      <w:tr w14:paraId="0AE0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D31DB6">
            <w:r>
              <w:rPr>
                <w:rFonts w:hint="eastAsia"/>
              </w:rPr>
              <w:t>定期存款</w:t>
            </w:r>
          </w:p>
        </w:tc>
        <w:tc>
          <w:tcPr>
            <w:tcW w:w="4153" w:type="dxa"/>
            <w:vAlign w:val="center"/>
          </w:tcPr>
          <w:p w14:paraId="28131E27">
            <w:pPr>
              <w:jc w:val="right"/>
            </w:pPr>
            <w:r>
              <w:rPr>
                <w:rFonts w:hint="eastAsia"/>
              </w:rPr>
              <w:t>-</w:t>
            </w:r>
          </w:p>
        </w:tc>
      </w:tr>
      <w:tr w14:paraId="6118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0EC2F8">
            <w:r>
              <w:rPr>
                <w:rFonts w:hint="eastAsia"/>
              </w:rPr>
              <w:t>等于：本金</w:t>
            </w:r>
          </w:p>
        </w:tc>
        <w:tc>
          <w:tcPr>
            <w:tcW w:w="4153" w:type="dxa"/>
            <w:vAlign w:val="center"/>
          </w:tcPr>
          <w:p w14:paraId="76F06C1F">
            <w:pPr>
              <w:jc w:val="right"/>
            </w:pPr>
            <w:r>
              <w:rPr>
                <w:rFonts w:hint="eastAsia"/>
              </w:rPr>
              <w:t>-</w:t>
            </w:r>
          </w:p>
        </w:tc>
      </w:tr>
      <w:tr w14:paraId="683C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5E606C">
            <w:r>
              <w:rPr>
                <w:rFonts w:hint="eastAsia"/>
              </w:rPr>
              <w:t xml:space="preserve">      加：应计利息</w:t>
            </w:r>
          </w:p>
        </w:tc>
        <w:tc>
          <w:tcPr>
            <w:tcW w:w="4153" w:type="dxa"/>
            <w:vAlign w:val="center"/>
          </w:tcPr>
          <w:p w14:paraId="1C76154F">
            <w:pPr>
              <w:jc w:val="right"/>
            </w:pPr>
            <w:r>
              <w:rPr>
                <w:rFonts w:hint="eastAsia"/>
              </w:rPr>
              <w:t>-</w:t>
            </w:r>
          </w:p>
        </w:tc>
      </w:tr>
      <w:tr w14:paraId="25E0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0DD382">
            <w:r>
              <w:rPr>
                <w:rFonts w:hint="eastAsia"/>
              </w:rPr>
              <w:t xml:space="preserve">      减：坏账准备</w:t>
            </w:r>
          </w:p>
        </w:tc>
        <w:tc>
          <w:tcPr>
            <w:tcW w:w="4153" w:type="dxa"/>
            <w:vAlign w:val="center"/>
          </w:tcPr>
          <w:p w14:paraId="603E6BCC">
            <w:pPr>
              <w:jc w:val="right"/>
            </w:pPr>
            <w:r>
              <w:rPr>
                <w:rFonts w:hint="eastAsia"/>
              </w:rPr>
              <w:t>-</w:t>
            </w:r>
          </w:p>
        </w:tc>
      </w:tr>
      <w:tr w14:paraId="217E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668EA5">
            <w:r>
              <w:rPr>
                <w:rFonts w:hint="eastAsia"/>
              </w:rPr>
              <w:t>其中：存款期限1个月以内</w:t>
            </w:r>
          </w:p>
        </w:tc>
        <w:tc>
          <w:tcPr>
            <w:tcW w:w="4153" w:type="dxa"/>
            <w:vAlign w:val="center"/>
          </w:tcPr>
          <w:p w14:paraId="169CF731">
            <w:pPr>
              <w:jc w:val="right"/>
            </w:pPr>
            <w:r>
              <w:rPr>
                <w:rFonts w:hint="eastAsia"/>
              </w:rPr>
              <w:t>-</w:t>
            </w:r>
          </w:p>
        </w:tc>
      </w:tr>
      <w:tr w14:paraId="3297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D367A4">
            <w:r>
              <w:rPr>
                <w:rFonts w:hint="eastAsia"/>
              </w:rPr>
              <w:t xml:space="preserve">      存款期限1-3个月</w:t>
            </w:r>
          </w:p>
        </w:tc>
        <w:tc>
          <w:tcPr>
            <w:tcW w:w="4153" w:type="dxa"/>
            <w:vAlign w:val="center"/>
          </w:tcPr>
          <w:p w14:paraId="27609DDE">
            <w:pPr>
              <w:jc w:val="right"/>
            </w:pPr>
            <w:r>
              <w:rPr>
                <w:rFonts w:hint="eastAsia"/>
              </w:rPr>
              <w:t>-</w:t>
            </w:r>
          </w:p>
        </w:tc>
      </w:tr>
      <w:tr w14:paraId="2554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99AF49">
            <w:r>
              <w:rPr>
                <w:rFonts w:hint="eastAsia"/>
              </w:rPr>
              <w:t xml:space="preserve">      存款期限3个月以上</w:t>
            </w:r>
          </w:p>
        </w:tc>
        <w:tc>
          <w:tcPr>
            <w:tcW w:w="4153" w:type="dxa"/>
            <w:vAlign w:val="center"/>
          </w:tcPr>
          <w:p w14:paraId="51AC6204">
            <w:pPr>
              <w:jc w:val="right"/>
            </w:pPr>
            <w:r>
              <w:rPr>
                <w:rFonts w:hint="eastAsia"/>
              </w:rPr>
              <w:t>-</w:t>
            </w:r>
          </w:p>
        </w:tc>
      </w:tr>
      <w:tr w14:paraId="5DB0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2CA654">
            <w:r>
              <w:rPr>
                <w:rFonts w:hint="eastAsia"/>
              </w:rPr>
              <w:t>其他存款</w:t>
            </w:r>
          </w:p>
        </w:tc>
        <w:tc>
          <w:tcPr>
            <w:tcW w:w="4153" w:type="dxa"/>
            <w:vAlign w:val="center"/>
          </w:tcPr>
          <w:p w14:paraId="2020815B">
            <w:pPr>
              <w:jc w:val="right"/>
            </w:pPr>
            <w:r>
              <w:rPr>
                <w:rFonts w:hint="eastAsia"/>
              </w:rPr>
              <w:t>-</w:t>
            </w:r>
          </w:p>
        </w:tc>
      </w:tr>
      <w:tr w14:paraId="4AA5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1E1C3D">
            <w:r>
              <w:rPr>
                <w:rFonts w:hint="eastAsia"/>
              </w:rPr>
              <w:t>等于：本金</w:t>
            </w:r>
          </w:p>
        </w:tc>
        <w:tc>
          <w:tcPr>
            <w:tcW w:w="4153" w:type="dxa"/>
            <w:vAlign w:val="center"/>
          </w:tcPr>
          <w:p w14:paraId="4FA0DDBF">
            <w:pPr>
              <w:jc w:val="right"/>
            </w:pPr>
            <w:r>
              <w:rPr>
                <w:rFonts w:hint="eastAsia"/>
              </w:rPr>
              <w:t>-</w:t>
            </w:r>
          </w:p>
        </w:tc>
      </w:tr>
      <w:tr w14:paraId="7F62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670AE5">
            <w:r>
              <w:rPr>
                <w:rFonts w:hint="eastAsia"/>
              </w:rPr>
              <w:t xml:space="preserve">      加：应计利息</w:t>
            </w:r>
          </w:p>
        </w:tc>
        <w:tc>
          <w:tcPr>
            <w:tcW w:w="4153" w:type="dxa"/>
            <w:vAlign w:val="center"/>
          </w:tcPr>
          <w:p w14:paraId="6B81710D">
            <w:pPr>
              <w:jc w:val="right"/>
            </w:pPr>
            <w:r>
              <w:rPr>
                <w:rFonts w:hint="eastAsia"/>
              </w:rPr>
              <w:t>-</w:t>
            </w:r>
          </w:p>
        </w:tc>
      </w:tr>
      <w:tr w14:paraId="48A1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F70CF2">
            <w:r>
              <w:rPr>
                <w:rFonts w:hint="eastAsia"/>
              </w:rPr>
              <w:t xml:space="preserve">      减：坏账准备</w:t>
            </w:r>
          </w:p>
        </w:tc>
        <w:tc>
          <w:tcPr>
            <w:tcW w:w="4153" w:type="dxa"/>
            <w:vAlign w:val="center"/>
          </w:tcPr>
          <w:p w14:paraId="0DEE408D">
            <w:pPr>
              <w:jc w:val="right"/>
            </w:pPr>
            <w:r>
              <w:rPr>
                <w:rFonts w:hint="eastAsia"/>
              </w:rPr>
              <w:t>-</w:t>
            </w:r>
          </w:p>
        </w:tc>
      </w:tr>
      <w:tr w14:paraId="1825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1EF66D">
            <w:r>
              <w:rPr>
                <w:rFonts w:hint="eastAsia"/>
              </w:rPr>
              <w:t>合计</w:t>
            </w:r>
          </w:p>
        </w:tc>
        <w:tc>
          <w:tcPr>
            <w:tcW w:w="4153" w:type="dxa"/>
            <w:vAlign w:val="center"/>
          </w:tcPr>
          <w:p w14:paraId="48DF6423">
            <w:pPr>
              <w:jc w:val="right"/>
            </w:pPr>
            <w:r>
              <w:rPr>
                <w:rFonts w:hint="eastAsia"/>
              </w:rPr>
              <w:t>17,594,995.04</w:t>
            </w:r>
          </w:p>
        </w:tc>
      </w:tr>
    </w:tbl>
    <w:p w14:paraId="5609648F">
      <w:pPr>
        <w:pStyle w:val="35"/>
      </w:pPr>
      <w:bookmarkStart w:id="75" w:name="_Toc75"/>
      <w:r>
        <w:t>交易性金融资产</w:t>
      </w:r>
      <w:bookmarkEnd w:id="75"/>
    </w:p>
    <w:p w14:paraId="1A9BD7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5C6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1D2D84D0">
            <w:pPr>
              <w:jc w:val="center"/>
            </w:pPr>
            <w:r>
              <w:rPr>
                <w:rFonts w:hint="eastAsia"/>
                <w:b/>
              </w:rPr>
              <w:t>项目</w:t>
            </w:r>
          </w:p>
        </w:tc>
        <w:tc>
          <w:tcPr>
            <w:tcW w:w="1860" w:type="dxa"/>
            <w:gridSpan w:val="4"/>
            <w:shd w:val="clear" w:color="auto" w:fill="BFBFBF"/>
            <w:vAlign w:val="center"/>
          </w:tcPr>
          <w:p w14:paraId="130CC4F1">
            <w:pPr>
              <w:jc w:val="center"/>
            </w:pPr>
            <w:r>
              <w:rPr>
                <w:rFonts w:hint="eastAsia"/>
                <w:b/>
              </w:rPr>
              <w:t>本期末2025年12月31日</w:t>
            </w:r>
          </w:p>
        </w:tc>
      </w:tr>
      <w:tr w14:paraId="2CD9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C201DCD"/>
        </w:tc>
        <w:tc>
          <w:tcPr>
            <w:tcW w:w="1860" w:type="dxa"/>
            <w:shd w:val="clear" w:color="auto" w:fill="BFBFBF"/>
            <w:vAlign w:val="center"/>
          </w:tcPr>
          <w:p w14:paraId="3305BD47">
            <w:pPr>
              <w:jc w:val="center"/>
            </w:pPr>
            <w:r>
              <w:rPr>
                <w:rFonts w:hint="eastAsia"/>
                <w:b/>
              </w:rPr>
              <w:t>成本</w:t>
            </w:r>
          </w:p>
        </w:tc>
        <w:tc>
          <w:tcPr>
            <w:tcW w:w="1517" w:type="dxa"/>
            <w:shd w:val="clear" w:color="auto" w:fill="BFBFBF"/>
            <w:vAlign w:val="center"/>
          </w:tcPr>
          <w:p w14:paraId="015B881B">
            <w:pPr>
              <w:jc w:val="center"/>
            </w:pPr>
            <w:r>
              <w:rPr>
                <w:rFonts w:hint="eastAsia"/>
                <w:b/>
              </w:rPr>
              <w:t>应计利息</w:t>
            </w:r>
          </w:p>
        </w:tc>
        <w:tc>
          <w:tcPr>
            <w:tcW w:w="1860" w:type="dxa"/>
            <w:shd w:val="clear" w:color="auto" w:fill="BFBFBF"/>
            <w:vAlign w:val="center"/>
          </w:tcPr>
          <w:p w14:paraId="733AA6F7">
            <w:pPr>
              <w:jc w:val="center"/>
            </w:pPr>
            <w:r>
              <w:rPr>
                <w:rFonts w:hint="eastAsia"/>
                <w:b/>
              </w:rPr>
              <w:t>公允价值</w:t>
            </w:r>
          </w:p>
        </w:tc>
        <w:tc>
          <w:tcPr>
            <w:tcW w:w="1517" w:type="dxa"/>
            <w:shd w:val="clear" w:color="auto" w:fill="BFBFBF"/>
            <w:vAlign w:val="center"/>
          </w:tcPr>
          <w:p w14:paraId="791DC1E8">
            <w:pPr>
              <w:jc w:val="center"/>
            </w:pPr>
            <w:r>
              <w:rPr>
                <w:rFonts w:hint="eastAsia"/>
                <w:b/>
              </w:rPr>
              <w:t>公允价值变动</w:t>
            </w:r>
          </w:p>
        </w:tc>
      </w:tr>
      <w:tr w14:paraId="7F10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9016BF">
            <w:r>
              <w:rPr>
                <w:rFonts w:hint="eastAsia"/>
              </w:rPr>
              <w:t>股票</w:t>
            </w:r>
          </w:p>
        </w:tc>
        <w:tc>
          <w:tcPr>
            <w:tcW w:w="1860" w:type="dxa"/>
            <w:vAlign w:val="center"/>
          </w:tcPr>
          <w:p w14:paraId="28E28DED">
            <w:pPr>
              <w:jc w:val="right"/>
            </w:pPr>
            <w:r>
              <w:rPr>
                <w:rFonts w:hint="eastAsia"/>
              </w:rPr>
              <w:t>585,458,487.09</w:t>
            </w:r>
          </w:p>
        </w:tc>
        <w:tc>
          <w:tcPr>
            <w:tcW w:w="1517" w:type="dxa"/>
            <w:vAlign w:val="center"/>
          </w:tcPr>
          <w:p w14:paraId="20322389">
            <w:pPr>
              <w:jc w:val="right"/>
            </w:pPr>
            <w:r>
              <w:rPr>
                <w:rFonts w:hint="eastAsia"/>
              </w:rPr>
              <w:t>-</w:t>
            </w:r>
          </w:p>
        </w:tc>
        <w:tc>
          <w:tcPr>
            <w:tcW w:w="1860" w:type="dxa"/>
            <w:vAlign w:val="center"/>
          </w:tcPr>
          <w:p w14:paraId="1D573271">
            <w:pPr>
              <w:jc w:val="right"/>
            </w:pPr>
            <w:r>
              <w:rPr>
                <w:rFonts w:hint="eastAsia"/>
              </w:rPr>
              <w:t>625,676,085.39</w:t>
            </w:r>
          </w:p>
        </w:tc>
        <w:tc>
          <w:tcPr>
            <w:tcW w:w="1517" w:type="dxa"/>
            <w:vAlign w:val="center"/>
          </w:tcPr>
          <w:p w14:paraId="4B77A8C1">
            <w:pPr>
              <w:jc w:val="right"/>
            </w:pPr>
            <w:r>
              <w:rPr>
                <w:rFonts w:hint="eastAsia"/>
              </w:rPr>
              <w:t>40,217,598.30</w:t>
            </w:r>
          </w:p>
        </w:tc>
      </w:tr>
      <w:tr w14:paraId="194C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76FFAB">
            <w:r>
              <w:rPr>
                <w:rFonts w:hint="eastAsia"/>
              </w:rPr>
              <w:t>贵金属投资-金交所黄金合约</w:t>
            </w:r>
          </w:p>
        </w:tc>
        <w:tc>
          <w:tcPr>
            <w:tcW w:w="1860" w:type="dxa"/>
            <w:vAlign w:val="center"/>
          </w:tcPr>
          <w:p w14:paraId="2C91163B">
            <w:pPr>
              <w:jc w:val="right"/>
            </w:pPr>
            <w:r>
              <w:rPr>
                <w:rFonts w:hint="eastAsia"/>
              </w:rPr>
              <w:t>-</w:t>
            </w:r>
          </w:p>
        </w:tc>
        <w:tc>
          <w:tcPr>
            <w:tcW w:w="1517" w:type="dxa"/>
            <w:vAlign w:val="center"/>
          </w:tcPr>
          <w:p w14:paraId="07B57196">
            <w:pPr>
              <w:jc w:val="right"/>
            </w:pPr>
            <w:r>
              <w:rPr>
                <w:rFonts w:hint="eastAsia"/>
              </w:rPr>
              <w:t>-</w:t>
            </w:r>
          </w:p>
        </w:tc>
        <w:tc>
          <w:tcPr>
            <w:tcW w:w="1860" w:type="dxa"/>
            <w:vAlign w:val="center"/>
          </w:tcPr>
          <w:p w14:paraId="722877AC">
            <w:pPr>
              <w:jc w:val="right"/>
            </w:pPr>
            <w:r>
              <w:rPr>
                <w:rFonts w:hint="eastAsia"/>
              </w:rPr>
              <w:t>-</w:t>
            </w:r>
          </w:p>
        </w:tc>
        <w:tc>
          <w:tcPr>
            <w:tcW w:w="1517" w:type="dxa"/>
            <w:vAlign w:val="center"/>
          </w:tcPr>
          <w:p w14:paraId="77F8BD15">
            <w:pPr>
              <w:jc w:val="right"/>
            </w:pPr>
            <w:r>
              <w:rPr>
                <w:rFonts w:hint="eastAsia"/>
              </w:rPr>
              <w:t>-</w:t>
            </w:r>
          </w:p>
        </w:tc>
      </w:tr>
      <w:tr w14:paraId="146D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45B65F9">
            <w:r>
              <w:rPr>
                <w:rFonts w:hint="eastAsia"/>
              </w:rPr>
              <w:t>债券</w:t>
            </w:r>
          </w:p>
        </w:tc>
        <w:tc>
          <w:tcPr>
            <w:tcW w:w="897" w:type="dxa"/>
            <w:vAlign w:val="center"/>
          </w:tcPr>
          <w:p w14:paraId="7EC6C289">
            <w:r>
              <w:rPr>
                <w:rFonts w:hint="eastAsia"/>
              </w:rPr>
              <w:t>交易所市场</w:t>
            </w:r>
          </w:p>
        </w:tc>
        <w:tc>
          <w:tcPr>
            <w:tcW w:w="1860" w:type="dxa"/>
            <w:vAlign w:val="center"/>
          </w:tcPr>
          <w:p w14:paraId="3DFCAAA6">
            <w:pPr>
              <w:jc w:val="right"/>
            </w:pPr>
            <w:r>
              <w:rPr>
                <w:rFonts w:hint="eastAsia"/>
              </w:rPr>
              <w:t>427,261,849.72</w:t>
            </w:r>
          </w:p>
        </w:tc>
        <w:tc>
          <w:tcPr>
            <w:tcW w:w="1517" w:type="dxa"/>
            <w:vAlign w:val="center"/>
          </w:tcPr>
          <w:p w14:paraId="17C4D07E">
            <w:pPr>
              <w:jc w:val="right"/>
            </w:pPr>
            <w:r>
              <w:rPr>
                <w:rFonts w:hint="eastAsia"/>
              </w:rPr>
              <w:t>3,155,640.57</w:t>
            </w:r>
          </w:p>
        </w:tc>
        <w:tc>
          <w:tcPr>
            <w:tcW w:w="1860" w:type="dxa"/>
            <w:vAlign w:val="center"/>
          </w:tcPr>
          <w:p w14:paraId="00047A19">
            <w:pPr>
              <w:jc w:val="right"/>
            </w:pPr>
            <w:r>
              <w:rPr>
                <w:rFonts w:hint="eastAsia"/>
              </w:rPr>
              <w:t>430,137,440.57</w:t>
            </w:r>
          </w:p>
        </w:tc>
        <w:tc>
          <w:tcPr>
            <w:tcW w:w="1517" w:type="dxa"/>
            <w:vAlign w:val="center"/>
          </w:tcPr>
          <w:p w14:paraId="589C2952">
            <w:pPr>
              <w:jc w:val="right"/>
            </w:pPr>
            <w:r>
              <w:rPr>
                <w:rFonts w:hint="eastAsia"/>
              </w:rPr>
              <w:t>-280,049.72</w:t>
            </w:r>
          </w:p>
        </w:tc>
      </w:tr>
      <w:tr w14:paraId="3FD6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3F7E0E"/>
        </w:tc>
        <w:tc>
          <w:tcPr>
            <w:tcW w:w="897" w:type="dxa"/>
            <w:vAlign w:val="center"/>
          </w:tcPr>
          <w:p w14:paraId="4212B468">
            <w:r>
              <w:rPr>
                <w:rFonts w:hint="eastAsia"/>
              </w:rPr>
              <w:t>银行间市场</w:t>
            </w:r>
          </w:p>
        </w:tc>
        <w:tc>
          <w:tcPr>
            <w:tcW w:w="1860" w:type="dxa"/>
            <w:vAlign w:val="center"/>
          </w:tcPr>
          <w:p w14:paraId="4ED56E08">
            <w:pPr>
              <w:jc w:val="right"/>
            </w:pPr>
            <w:r>
              <w:rPr>
                <w:rFonts w:hint="eastAsia"/>
              </w:rPr>
              <w:t>2,376,573,712.03</w:t>
            </w:r>
          </w:p>
        </w:tc>
        <w:tc>
          <w:tcPr>
            <w:tcW w:w="1517" w:type="dxa"/>
            <w:vAlign w:val="center"/>
          </w:tcPr>
          <w:p w14:paraId="4D0813F5">
            <w:pPr>
              <w:jc w:val="right"/>
            </w:pPr>
            <w:r>
              <w:rPr>
                <w:rFonts w:hint="eastAsia"/>
              </w:rPr>
              <w:t>23,693,705.42</w:t>
            </w:r>
          </w:p>
        </w:tc>
        <w:tc>
          <w:tcPr>
            <w:tcW w:w="1860" w:type="dxa"/>
            <w:vAlign w:val="center"/>
          </w:tcPr>
          <w:p w14:paraId="75CB9813">
            <w:pPr>
              <w:jc w:val="right"/>
            </w:pPr>
            <w:r>
              <w:rPr>
                <w:rFonts w:hint="eastAsia"/>
              </w:rPr>
              <w:t>2,399,670,705.42</w:t>
            </w:r>
          </w:p>
        </w:tc>
        <w:tc>
          <w:tcPr>
            <w:tcW w:w="1517" w:type="dxa"/>
            <w:vAlign w:val="center"/>
          </w:tcPr>
          <w:p w14:paraId="3FADB113">
            <w:pPr>
              <w:jc w:val="right"/>
            </w:pPr>
            <w:r>
              <w:rPr>
                <w:rFonts w:hint="eastAsia"/>
              </w:rPr>
              <w:t>-596,712.03</w:t>
            </w:r>
          </w:p>
        </w:tc>
      </w:tr>
      <w:tr w14:paraId="0267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BE3CF76"/>
        </w:tc>
        <w:tc>
          <w:tcPr>
            <w:tcW w:w="897" w:type="dxa"/>
            <w:vAlign w:val="center"/>
          </w:tcPr>
          <w:p w14:paraId="77E31EA8">
            <w:r>
              <w:rPr>
                <w:rFonts w:hint="eastAsia"/>
              </w:rPr>
              <w:t>合计</w:t>
            </w:r>
          </w:p>
        </w:tc>
        <w:tc>
          <w:tcPr>
            <w:tcW w:w="1860" w:type="dxa"/>
            <w:vAlign w:val="center"/>
          </w:tcPr>
          <w:p w14:paraId="40FD4BB3">
            <w:pPr>
              <w:jc w:val="right"/>
            </w:pPr>
            <w:r>
              <w:rPr>
                <w:rFonts w:hint="eastAsia"/>
              </w:rPr>
              <w:t>2,803,835,561.75</w:t>
            </w:r>
          </w:p>
        </w:tc>
        <w:tc>
          <w:tcPr>
            <w:tcW w:w="1517" w:type="dxa"/>
            <w:vAlign w:val="center"/>
          </w:tcPr>
          <w:p w14:paraId="3C5AB841">
            <w:pPr>
              <w:jc w:val="right"/>
            </w:pPr>
            <w:r>
              <w:rPr>
                <w:rFonts w:hint="eastAsia"/>
              </w:rPr>
              <w:t>26,849,345.99</w:t>
            </w:r>
          </w:p>
        </w:tc>
        <w:tc>
          <w:tcPr>
            <w:tcW w:w="1860" w:type="dxa"/>
            <w:vAlign w:val="center"/>
          </w:tcPr>
          <w:p w14:paraId="0BE37196">
            <w:pPr>
              <w:jc w:val="right"/>
            </w:pPr>
            <w:r>
              <w:rPr>
                <w:rFonts w:hint="eastAsia"/>
              </w:rPr>
              <w:t>2,829,808,145.99</w:t>
            </w:r>
          </w:p>
        </w:tc>
        <w:tc>
          <w:tcPr>
            <w:tcW w:w="1517" w:type="dxa"/>
            <w:vAlign w:val="center"/>
          </w:tcPr>
          <w:p w14:paraId="70CE7EED">
            <w:pPr>
              <w:jc w:val="right"/>
            </w:pPr>
            <w:r>
              <w:rPr>
                <w:rFonts w:hint="eastAsia"/>
              </w:rPr>
              <w:t>-876,761.75</w:t>
            </w:r>
          </w:p>
        </w:tc>
      </w:tr>
      <w:tr w14:paraId="056B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577242">
            <w:r>
              <w:rPr>
                <w:rFonts w:hint="eastAsia"/>
              </w:rPr>
              <w:t>资产支持证券</w:t>
            </w:r>
          </w:p>
        </w:tc>
        <w:tc>
          <w:tcPr>
            <w:tcW w:w="1860" w:type="dxa"/>
            <w:vAlign w:val="center"/>
          </w:tcPr>
          <w:p w14:paraId="7DAF7817">
            <w:pPr>
              <w:jc w:val="right"/>
            </w:pPr>
            <w:r>
              <w:rPr>
                <w:rFonts w:hint="eastAsia"/>
              </w:rPr>
              <w:t>-</w:t>
            </w:r>
          </w:p>
        </w:tc>
        <w:tc>
          <w:tcPr>
            <w:tcW w:w="1517" w:type="dxa"/>
            <w:vAlign w:val="center"/>
          </w:tcPr>
          <w:p w14:paraId="47C62043">
            <w:pPr>
              <w:jc w:val="right"/>
            </w:pPr>
            <w:r>
              <w:rPr>
                <w:rFonts w:hint="eastAsia"/>
              </w:rPr>
              <w:t>-</w:t>
            </w:r>
          </w:p>
        </w:tc>
        <w:tc>
          <w:tcPr>
            <w:tcW w:w="1860" w:type="dxa"/>
            <w:vAlign w:val="center"/>
          </w:tcPr>
          <w:p w14:paraId="0711C2A2">
            <w:pPr>
              <w:jc w:val="right"/>
            </w:pPr>
            <w:r>
              <w:rPr>
                <w:rFonts w:hint="eastAsia"/>
              </w:rPr>
              <w:t>-</w:t>
            </w:r>
          </w:p>
        </w:tc>
        <w:tc>
          <w:tcPr>
            <w:tcW w:w="1517" w:type="dxa"/>
            <w:vAlign w:val="center"/>
          </w:tcPr>
          <w:p w14:paraId="31C044DA">
            <w:pPr>
              <w:jc w:val="right"/>
            </w:pPr>
            <w:r>
              <w:rPr>
                <w:rFonts w:hint="eastAsia"/>
              </w:rPr>
              <w:t>-</w:t>
            </w:r>
          </w:p>
        </w:tc>
      </w:tr>
      <w:tr w14:paraId="3C8F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BE9626">
            <w:r>
              <w:rPr>
                <w:rFonts w:hint="eastAsia"/>
              </w:rPr>
              <w:t>基金</w:t>
            </w:r>
          </w:p>
        </w:tc>
        <w:tc>
          <w:tcPr>
            <w:tcW w:w="1860" w:type="dxa"/>
            <w:vAlign w:val="center"/>
          </w:tcPr>
          <w:p w14:paraId="409B57AC">
            <w:pPr>
              <w:jc w:val="right"/>
            </w:pPr>
            <w:r>
              <w:rPr>
                <w:rFonts w:hint="eastAsia"/>
              </w:rPr>
              <w:t>-</w:t>
            </w:r>
          </w:p>
        </w:tc>
        <w:tc>
          <w:tcPr>
            <w:tcW w:w="1517" w:type="dxa"/>
            <w:vAlign w:val="center"/>
          </w:tcPr>
          <w:p w14:paraId="4ADF5EE6">
            <w:pPr>
              <w:jc w:val="right"/>
            </w:pPr>
            <w:r>
              <w:rPr>
                <w:rFonts w:hint="eastAsia"/>
              </w:rPr>
              <w:t>-</w:t>
            </w:r>
          </w:p>
        </w:tc>
        <w:tc>
          <w:tcPr>
            <w:tcW w:w="1860" w:type="dxa"/>
            <w:vAlign w:val="center"/>
          </w:tcPr>
          <w:p w14:paraId="74D2C89F">
            <w:pPr>
              <w:jc w:val="right"/>
            </w:pPr>
            <w:r>
              <w:rPr>
                <w:rFonts w:hint="eastAsia"/>
              </w:rPr>
              <w:t>-</w:t>
            </w:r>
          </w:p>
        </w:tc>
        <w:tc>
          <w:tcPr>
            <w:tcW w:w="1517" w:type="dxa"/>
            <w:vAlign w:val="center"/>
          </w:tcPr>
          <w:p w14:paraId="5FE7ADD7">
            <w:pPr>
              <w:jc w:val="right"/>
            </w:pPr>
            <w:r>
              <w:rPr>
                <w:rFonts w:hint="eastAsia"/>
              </w:rPr>
              <w:t>-</w:t>
            </w:r>
          </w:p>
        </w:tc>
      </w:tr>
      <w:tr w14:paraId="4F3B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D5A9FA">
            <w:r>
              <w:rPr>
                <w:rFonts w:hint="eastAsia"/>
              </w:rPr>
              <w:t>其他</w:t>
            </w:r>
          </w:p>
        </w:tc>
        <w:tc>
          <w:tcPr>
            <w:tcW w:w="1860" w:type="dxa"/>
            <w:vAlign w:val="center"/>
          </w:tcPr>
          <w:p w14:paraId="6D44C31D">
            <w:pPr>
              <w:jc w:val="right"/>
            </w:pPr>
            <w:r>
              <w:rPr>
                <w:rFonts w:hint="eastAsia"/>
              </w:rPr>
              <w:t>-</w:t>
            </w:r>
          </w:p>
        </w:tc>
        <w:tc>
          <w:tcPr>
            <w:tcW w:w="1517" w:type="dxa"/>
            <w:vAlign w:val="center"/>
          </w:tcPr>
          <w:p w14:paraId="536FC6E5">
            <w:pPr>
              <w:jc w:val="right"/>
            </w:pPr>
            <w:r>
              <w:rPr>
                <w:rFonts w:hint="eastAsia"/>
              </w:rPr>
              <w:t>-</w:t>
            </w:r>
          </w:p>
        </w:tc>
        <w:tc>
          <w:tcPr>
            <w:tcW w:w="1860" w:type="dxa"/>
            <w:vAlign w:val="center"/>
          </w:tcPr>
          <w:p w14:paraId="5749FDC6">
            <w:pPr>
              <w:jc w:val="right"/>
            </w:pPr>
            <w:r>
              <w:rPr>
                <w:rFonts w:hint="eastAsia"/>
              </w:rPr>
              <w:t>-</w:t>
            </w:r>
          </w:p>
        </w:tc>
        <w:tc>
          <w:tcPr>
            <w:tcW w:w="1517" w:type="dxa"/>
            <w:vAlign w:val="center"/>
          </w:tcPr>
          <w:p w14:paraId="273DFF77">
            <w:pPr>
              <w:jc w:val="right"/>
            </w:pPr>
            <w:r>
              <w:rPr>
                <w:rFonts w:hint="eastAsia"/>
              </w:rPr>
              <w:t>-</w:t>
            </w:r>
          </w:p>
        </w:tc>
      </w:tr>
      <w:tr w14:paraId="787F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D775CC">
            <w:r>
              <w:rPr>
                <w:rFonts w:hint="eastAsia"/>
              </w:rPr>
              <w:t>合计</w:t>
            </w:r>
          </w:p>
        </w:tc>
        <w:tc>
          <w:tcPr>
            <w:tcW w:w="1860" w:type="dxa"/>
            <w:vAlign w:val="center"/>
          </w:tcPr>
          <w:p w14:paraId="587B3207">
            <w:pPr>
              <w:jc w:val="right"/>
            </w:pPr>
            <w:r>
              <w:rPr>
                <w:rFonts w:hint="eastAsia"/>
              </w:rPr>
              <w:t>3,389,294,048.84</w:t>
            </w:r>
          </w:p>
        </w:tc>
        <w:tc>
          <w:tcPr>
            <w:tcW w:w="1517" w:type="dxa"/>
            <w:vAlign w:val="center"/>
          </w:tcPr>
          <w:p w14:paraId="69272284">
            <w:pPr>
              <w:jc w:val="right"/>
            </w:pPr>
            <w:r>
              <w:rPr>
                <w:rFonts w:hint="eastAsia"/>
              </w:rPr>
              <w:t>26,849,345.99</w:t>
            </w:r>
          </w:p>
        </w:tc>
        <w:tc>
          <w:tcPr>
            <w:tcW w:w="1860" w:type="dxa"/>
            <w:vAlign w:val="center"/>
          </w:tcPr>
          <w:p w14:paraId="5BC9A453">
            <w:pPr>
              <w:jc w:val="right"/>
            </w:pPr>
            <w:r>
              <w:rPr>
                <w:rFonts w:hint="eastAsia"/>
              </w:rPr>
              <w:t>3,455,484,231.38</w:t>
            </w:r>
          </w:p>
        </w:tc>
        <w:tc>
          <w:tcPr>
            <w:tcW w:w="1517" w:type="dxa"/>
            <w:vAlign w:val="center"/>
          </w:tcPr>
          <w:p w14:paraId="4DFCB2DD">
            <w:pPr>
              <w:jc w:val="right"/>
            </w:pPr>
            <w:r>
              <w:rPr>
                <w:rFonts w:hint="eastAsia"/>
              </w:rPr>
              <w:t>39,340,836.55</w:t>
            </w:r>
          </w:p>
        </w:tc>
      </w:tr>
    </w:tbl>
    <w:p w14:paraId="7D4257C9">
      <w:pPr>
        <w:pStyle w:val="35"/>
      </w:pPr>
      <w:bookmarkStart w:id="76" w:name="_Toc76"/>
      <w:r>
        <w:t>衍生金融资产/负债</w:t>
      </w:r>
      <w:bookmarkEnd w:id="76"/>
    </w:p>
    <w:p w14:paraId="3A211D4F">
      <w:pPr>
        <w:pStyle w:val="36"/>
      </w:pPr>
      <w:bookmarkStart w:id="77" w:name="_Toc77"/>
      <w:r>
        <w:t>衍生金融资产/负债期末余额</w:t>
      </w:r>
      <w:bookmarkEnd w:id="77"/>
    </w:p>
    <w:p w14:paraId="094B4162">
      <w:pPr>
        <w:pStyle w:val="18"/>
        <w:rPr>
          <w:rFonts w:hint="eastAsia"/>
        </w:rPr>
      </w:pPr>
      <w:r>
        <w:rPr>
          <w:rFonts w:hint="eastAsia"/>
        </w:rPr>
        <w:t>无。</w:t>
      </w:r>
    </w:p>
    <w:p w14:paraId="417DF6EF">
      <w:pPr>
        <w:pStyle w:val="35"/>
      </w:pPr>
      <w:bookmarkStart w:id="78" w:name="_Toc78"/>
      <w:r>
        <w:t xml:space="preserve"> 买入返售金融资产</w:t>
      </w:r>
      <w:bookmarkEnd w:id="78"/>
    </w:p>
    <w:p w14:paraId="17733307">
      <w:pPr>
        <w:pStyle w:val="36"/>
      </w:pPr>
      <w:bookmarkStart w:id="79" w:name="_Toc79"/>
      <w:r>
        <w:t>各项买入返售金融资产期末余额</w:t>
      </w:r>
      <w:bookmarkEnd w:id="79"/>
    </w:p>
    <w:p w14:paraId="650B94C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7C6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FC1039E">
            <w:r>
              <w:rPr>
                <w:rFonts w:hint="eastAsia"/>
              </w:rPr>
              <w:t>项目</w:t>
            </w:r>
          </w:p>
        </w:tc>
        <w:tc>
          <w:tcPr>
            <w:tcW w:w="2519" w:type="dxa"/>
            <w:gridSpan w:val="2"/>
            <w:vAlign w:val="center"/>
          </w:tcPr>
          <w:p w14:paraId="71F59A41">
            <w:r>
              <w:rPr>
                <w:rFonts w:hint="eastAsia"/>
              </w:rPr>
              <w:t>本期末2025年12月31日</w:t>
            </w:r>
          </w:p>
        </w:tc>
      </w:tr>
      <w:tr w14:paraId="7F34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127E0EE"/>
        </w:tc>
        <w:tc>
          <w:tcPr>
            <w:tcW w:w="2519" w:type="dxa"/>
            <w:vAlign w:val="center"/>
          </w:tcPr>
          <w:p w14:paraId="1668DFA5">
            <w:r>
              <w:rPr>
                <w:rFonts w:hint="eastAsia"/>
              </w:rPr>
              <w:t>账面余额</w:t>
            </w:r>
          </w:p>
        </w:tc>
        <w:tc>
          <w:tcPr>
            <w:tcW w:w="3322" w:type="dxa"/>
            <w:vAlign w:val="center"/>
          </w:tcPr>
          <w:p w14:paraId="60C67381">
            <w:r>
              <w:rPr>
                <w:rFonts w:hint="eastAsia"/>
              </w:rPr>
              <w:t>其中：买断式逆回购</w:t>
            </w:r>
          </w:p>
        </w:tc>
      </w:tr>
      <w:tr w14:paraId="20DB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07C6446">
            <w:r>
              <w:rPr>
                <w:rFonts w:hint="eastAsia"/>
              </w:rPr>
              <w:t>交易所市场</w:t>
            </w:r>
          </w:p>
        </w:tc>
        <w:tc>
          <w:tcPr>
            <w:tcW w:w="2519" w:type="dxa"/>
            <w:vAlign w:val="center"/>
          </w:tcPr>
          <w:p w14:paraId="5E72B8C2">
            <w:pPr>
              <w:jc w:val="right"/>
            </w:pPr>
            <w:r>
              <w:rPr>
                <w:rFonts w:hint="eastAsia"/>
              </w:rPr>
              <w:t>20,000,000.00</w:t>
            </w:r>
          </w:p>
        </w:tc>
        <w:tc>
          <w:tcPr>
            <w:tcW w:w="3322" w:type="dxa"/>
            <w:vAlign w:val="center"/>
          </w:tcPr>
          <w:p w14:paraId="2C154C12">
            <w:pPr>
              <w:jc w:val="right"/>
            </w:pPr>
            <w:r>
              <w:rPr>
                <w:rFonts w:hint="eastAsia"/>
              </w:rPr>
              <w:t>-</w:t>
            </w:r>
          </w:p>
        </w:tc>
      </w:tr>
      <w:tr w14:paraId="2D00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D03DB6B">
            <w:r>
              <w:rPr>
                <w:rFonts w:hint="eastAsia"/>
              </w:rPr>
              <w:t>银行间市场</w:t>
            </w:r>
          </w:p>
        </w:tc>
        <w:tc>
          <w:tcPr>
            <w:tcW w:w="2519" w:type="dxa"/>
            <w:vAlign w:val="center"/>
          </w:tcPr>
          <w:p w14:paraId="7249B6EB">
            <w:pPr>
              <w:jc w:val="right"/>
            </w:pPr>
            <w:r>
              <w:rPr>
                <w:rFonts w:hint="eastAsia"/>
              </w:rPr>
              <w:t>-</w:t>
            </w:r>
          </w:p>
        </w:tc>
        <w:tc>
          <w:tcPr>
            <w:tcW w:w="3322" w:type="dxa"/>
            <w:vAlign w:val="center"/>
          </w:tcPr>
          <w:p w14:paraId="5EF4B39C">
            <w:pPr>
              <w:jc w:val="right"/>
            </w:pPr>
            <w:r>
              <w:rPr>
                <w:rFonts w:hint="eastAsia"/>
              </w:rPr>
              <w:t>-</w:t>
            </w:r>
          </w:p>
        </w:tc>
      </w:tr>
      <w:tr w14:paraId="4179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0DBDBFC">
            <w:r>
              <w:rPr>
                <w:rFonts w:hint="eastAsia"/>
              </w:rPr>
              <w:t>合计</w:t>
            </w:r>
          </w:p>
        </w:tc>
        <w:tc>
          <w:tcPr>
            <w:tcW w:w="2519" w:type="dxa"/>
            <w:vAlign w:val="center"/>
          </w:tcPr>
          <w:p w14:paraId="295708A4">
            <w:pPr>
              <w:jc w:val="right"/>
            </w:pPr>
            <w:r>
              <w:rPr>
                <w:rFonts w:hint="eastAsia"/>
              </w:rPr>
              <w:t>20,000,000.00</w:t>
            </w:r>
          </w:p>
        </w:tc>
        <w:tc>
          <w:tcPr>
            <w:tcW w:w="3322" w:type="dxa"/>
            <w:vAlign w:val="center"/>
          </w:tcPr>
          <w:p w14:paraId="0876BE5D">
            <w:pPr>
              <w:jc w:val="right"/>
            </w:pPr>
            <w:r>
              <w:rPr>
                <w:rFonts w:hint="eastAsia"/>
              </w:rPr>
              <w:t>-</w:t>
            </w:r>
          </w:p>
        </w:tc>
      </w:tr>
    </w:tbl>
    <w:p w14:paraId="490E4B0E">
      <w:pPr>
        <w:pStyle w:val="36"/>
      </w:pPr>
      <w:bookmarkStart w:id="80" w:name="_Toc80"/>
      <w:r>
        <w:t xml:space="preserve"> 期末买断式逆回购交易中取得的债券</w:t>
      </w:r>
      <w:bookmarkEnd w:id="80"/>
    </w:p>
    <w:p w14:paraId="656CC687">
      <w:pPr>
        <w:pStyle w:val="18"/>
        <w:rPr>
          <w:rFonts w:hint="eastAsia"/>
        </w:rPr>
      </w:pPr>
      <w:r>
        <w:rPr>
          <w:rFonts w:hint="eastAsia"/>
        </w:rPr>
        <w:t>无。</w:t>
      </w:r>
    </w:p>
    <w:p w14:paraId="3154C4DC">
      <w:pPr>
        <w:pStyle w:val="35"/>
      </w:pPr>
      <w:bookmarkStart w:id="81" w:name="_Toc81"/>
      <w:r>
        <w:t xml:space="preserve"> 其他资产</w:t>
      </w:r>
      <w:bookmarkEnd w:id="81"/>
    </w:p>
    <w:p w14:paraId="1959A45A">
      <w:pPr>
        <w:pStyle w:val="18"/>
        <w:rPr>
          <w:rFonts w:hint="eastAsia"/>
        </w:rPr>
      </w:pPr>
      <w:r>
        <w:rPr>
          <w:rFonts w:hint="eastAsia"/>
        </w:rPr>
        <w:t>无。</w:t>
      </w:r>
    </w:p>
    <w:p w14:paraId="7F3FEB47">
      <w:pPr>
        <w:pStyle w:val="35"/>
      </w:pPr>
      <w:bookmarkStart w:id="82" w:name="_Toc82"/>
      <w:r>
        <w:t>其他负债</w:t>
      </w:r>
      <w:bookmarkEnd w:id="82"/>
    </w:p>
    <w:p w14:paraId="475312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70CD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633A49F3">
            <w:pPr>
              <w:jc w:val="center"/>
            </w:pPr>
            <w:r>
              <w:rPr>
                <w:rFonts w:hint="eastAsia"/>
                <w:b/>
              </w:rPr>
              <w:t>项目</w:t>
            </w:r>
          </w:p>
        </w:tc>
        <w:tc>
          <w:tcPr>
            <w:tcW w:w="4706" w:type="dxa"/>
            <w:shd w:val="clear" w:color="auto" w:fill="BFBFBF"/>
            <w:vAlign w:val="center"/>
          </w:tcPr>
          <w:p w14:paraId="53CBFC93">
            <w:pPr>
              <w:jc w:val="center"/>
            </w:pPr>
            <w:r>
              <w:rPr>
                <w:rFonts w:hint="eastAsia"/>
                <w:b/>
              </w:rPr>
              <w:t>本期末2025年12月31日</w:t>
            </w:r>
          </w:p>
        </w:tc>
      </w:tr>
      <w:tr w14:paraId="0F33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BC81383">
            <w:r>
              <w:rPr>
                <w:rFonts w:hint="eastAsia"/>
              </w:rPr>
              <w:t>应付券商交易单元保证金</w:t>
            </w:r>
          </w:p>
        </w:tc>
        <w:tc>
          <w:tcPr>
            <w:tcW w:w="4706" w:type="dxa"/>
            <w:vAlign w:val="center"/>
          </w:tcPr>
          <w:p w14:paraId="374A8F46">
            <w:pPr>
              <w:jc w:val="right"/>
            </w:pPr>
            <w:r>
              <w:rPr>
                <w:rFonts w:hint="eastAsia"/>
              </w:rPr>
              <w:t>-</w:t>
            </w:r>
          </w:p>
        </w:tc>
      </w:tr>
      <w:tr w14:paraId="149F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C023885">
            <w:r>
              <w:rPr>
                <w:rFonts w:hint="eastAsia"/>
              </w:rPr>
              <w:t>应付赎回费</w:t>
            </w:r>
          </w:p>
        </w:tc>
        <w:tc>
          <w:tcPr>
            <w:tcW w:w="4706" w:type="dxa"/>
            <w:vAlign w:val="center"/>
          </w:tcPr>
          <w:p w14:paraId="4C1D2517">
            <w:pPr>
              <w:jc w:val="right"/>
            </w:pPr>
            <w:r>
              <w:rPr>
                <w:rFonts w:hint="eastAsia"/>
              </w:rPr>
              <w:t>-</w:t>
            </w:r>
          </w:p>
        </w:tc>
      </w:tr>
      <w:tr w14:paraId="5E06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674F44A">
            <w:r>
              <w:rPr>
                <w:rFonts w:hint="eastAsia"/>
              </w:rPr>
              <w:t>应付证券出借违约金</w:t>
            </w:r>
          </w:p>
        </w:tc>
        <w:tc>
          <w:tcPr>
            <w:tcW w:w="4706" w:type="dxa"/>
            <w:vAlign w:val="center"/>
          </w:tcPr>
          <w:p w14:paraId="35B3A1F7">
            <w:pPr>
              <w:jc w:val="right"/>
            </w:pPr>
            <w:r>
              <w:rPr>
                <w:rFonts w:hint="eastAsia"/>
              </w:rPr>
              <w:t>-</w:t>
            </w:r>
          </w:p>
        </w:tc>
      </w:tr>
      <w:tr w14:paraId="23AB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20076FE">
            <w:r>
              <w:rPr>
                <w:rFonts w:hint="eastAsia"/>
              </w:rPr>
              <w:t>应付交易费用</w:t>
            </w:r>
          </w:p>
        </w:tc>
        <w:tc>
          <w:tcPr>
            <w:tcW w:w="4706" w:type="dxa"/>
            <w:vAlign w:val="center"/>
          </w:tcPr>
          <w:p w14:paraId="442C1796">
            <w:pPr>
              <w:jc w:val="right"/>
            </w:pPr>
            <w:r>
              <w:rPr>
                <w:rFonts w:hint="eastAsia"/>
              </w:rPr>
              <w:t>182,731.75</w:t>
            </w:r>
          </w:p>
        </w:tc>
      </w:tr>
      <w:tr w14:paraId="68F5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078A0A8">
            <w:r>
              <w:rPr>
                <w:rFonts w:hint="eastAsia"/>
              </w:rPr>
              <w:t>其中：交易所市场</w:t>
            </w:r>
          </w:p>
        </w:tc>
        <w:tc>
          <w:tcPr>
            <w:tcW w:w="4706" w:type="dxa"/>
            <w:vAlign w:val="center"/>
          </w:tcPr>
          <w:p w14:paraId="5E15AFDD">
            <w:pPr>
              <w:jc w:val="right"/>
            </w:pPr>
            <w:r>
              <w:rPr>
                <w:rFonts w:hint="eastAsia"/>
              </w:rPr>
              <w:t>161,856.75</w:t>
            </w:r>
          </w:p>
        </w:tc>
      </w:tr>
      <w:tr w14:paraId="2274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9D8A6DD">
            <w:r>
              <w:rPr>
                <w:rFonts w:hint="eastAsia"/>
              </w:rPr>
              <w:t xml:space="preserve">      银行间市场</w:t>
            </w:r>
          </w:p>
        </w:tc>
        <w:tc>
          <w:tcPr>
            <w:tcW w:w="4706" w:type="dxa"/>
            <w:vAlign w:val="center"/>
          </w:tcPr>
          <w:p w14:paraId="7025BE1D">
            <w:pPr>
              <w:jc w:val="right"/>
            </w:pPr>
            <w:r>
              <w:rPr>
                <w:rFonts w:hint="eastAsia"/>
              </w:rPr>
              <w:t>20,875.00</w:t>
            </w:r>
          </w:p>
        </w:tc>
      </w:tr>
      <w:tr w14:paraId="6030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5CF4D08">
            <w:r>
              <w:rPr>
                <w:rFonts w:hint="eastAsia"/>
              </w:rPr>
              <w:t>应付利息</w:t>
            </w:r>
          </w:p>
        </w:tc>
        <w:tc>
          <w:tcPr>
            <w:tcW w:w="4706" w:type="dxa"/>
            <w:vAlign w:val="center"/>
          </w:tcPr>
          <w:p w14:paraId="60DDB92E">
            <w:pPr>
              <w:jc w:val="right"/>
            </w:pPr>
            <w:r>
              <w:rPr>
                <w:rFonts w:hint="eastAsia"/>
              </w:rPr>
              <w:t>-</w:t>
            </w:r>
          </w:p>
        </w:tc>
      </w:tr>
      <w:tr w14:paraId="7E21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C8ED757">
            <w:r>
              <w:rPr>
                <w:rFonts w:hint="eastAsia"/>
              </w:rPr>
              <w:t>预提费用</w:t>
            </w:r>
          </w:p>
        </w:tc>
        <w:tc>
          <w:tcPr>
            <w:tcW w:w="4706" w:type="dxa"/>
            <w:vAlign w:val="center"/>
          </w:tcPr>
          <w:p w14:paraId="276EE44C">
            <w:pPr>
              <w:jc w:val="right"/>
            </w:pPr>
            <w:r>
              <w:rPr>
                <w:rFonts w:hint="eastAsia"/>
              </w:rPr>
              <w:t>48,000.00</w:t>
            </w:r>
          </w:p>
        </w:tc>
      </w:tr>
      <w:tr w14:paraId="2DE40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9A8AB8C">
            <w:r>
              <w:rPr>
                <w:rFonts w:hint="eastAsia"/>
              </w:rPr>
              <w:t>合计</w:t>
            </w:r>
          </w:p>
        </w:tc>
        <w:tc>
          <w:tcPr>
            <w:tcW w:w="4706" w:type="dxa"/>
            <w:vAlign w:val="center"/>
          </w:tcPr>
          <w:p w14:paraId="221ED29A">
            <w:pPr>
              <w:jc w:val="right"/>
            </w:pPr>
            <w:r>
              <w:rPr>
                <w:rFonts w:hint="eastAsia"/>
              </w:rPr>
              <w:t>230,731.75</w:t>
            </w:r>
          </w:p>
        </w:tc>
      </w:tr>
    </w:tbl>
    <w:p w14:paraId="6ECF1B70">
      <w:pPr>
        <w:pStyle w:val="35"/>
      </w:pPr>
      <w:bookmarkStart w:id="83" w:name="_Toc83"/>
      <w:r>
        <w:t xml:space="preserve">实收基金 </w:t>
      </w:r>
      <w:bookmarkEnd w:id="83"/>
    </w:p>
    <w:p w14:paraId="36CAEA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B42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9F03F8C">
            <w:pPr>
              <w:jc w:val="center"/>
            </w:pPr>
            <w:r>
              <w:rPr>
                <w:rFonts w:hint="eastAsia"/>
                <w:b/>
              </w:rPr>
              <w:t>南方益稳稳健增利债券A</w:t>
            </w:r>
          </w:p>
        </w:tc>
      </w:tr>
      <w:tr w14:paraId="6F211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02953BE">
            <w:pPr>
              <w:jc w:val="center"/>
            </w:pPr>
            <w:r>
              <w:rPr>
                <w:rFonts w:hint="eastAsia"/>
                <w:b/>
              </w:rPr>
              <w:t>项目</w:t>
            </w:r>
          </w:p>
        </w:tc>
        <w:tc>
          <w:tcPr>
            <w:tcW w:w="2491" w:type="dxa"/>
            <w:gridSpan w:val="2"/>
            <w:shd w:val="clear" w:color="auto" w:fill="BFBFBF"/>
            <w:vAlign w:val="center"/>
          </w:tcPr>
          <w:p w14:paraId="78993B9E">
            <w:pPr>
              <w:jc w:val="center"/>
            </w:pPr>
            <w:r>
              <w:rPr>
                <w:rFonts w:hint="eastAsia"/>
                <w:b/>
              </w:rPr>
              <w:t>本期2025年8月6日（基金合同生效日）至2025年12月31日</w:t>
            </w:r>
          </w:p>
        </w:tc>
      </w:tr>
      <w:tr w14:paraId="6AEC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B299249"/>
        </w:tc>
        <w:tc>
          <w:tcPr>
            <w:tcW w:w="2491" w:type="dxa"/>
            <w:shd w:val="clear" w:color="auto" w:fill="BFBFBF"/>
            <w:vAlign w:val="center"/>
          </w:tcPr>
          <w:p w14:paraId="2384B3CA">
            <w:pPr>
              <w:jc w:val="center"/>
            </w:pPr>
            <w:r>
              <w:rPr>
                <w:rFonts w:hint="eastAsia"/>
                <w:b/>
              </w:rPr>
              <w:t>基金份额（份）</w:t>
            </w:r>
          </w:p>
        </w:tc>
        <w:tc>
          <w:tcPr>
            <w:tcW w:w="2907" w:type="dxa"/>
            <w:shd w:val="clear" w:color="auto" w:fill="BFBFBF"/>
            <w:vAlign w:val="center"/>
          </w:tcPr>
          <w:p w14:paraId="58A17232">
            <w:pPr>
              <w:jc w:val="center"/>
            </w:pPr>
            <w:r>
              <w:rPr>
                <w:rFonts w:hint="eastAsia"/>
                <w:b/>
              </w:rPr>
              <w:t>账面金额</w:t>
            </w:r>
          </w:p>
        </w:tc>
      </w:tr>
      <w:tr w14:paraId="3984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324F45">
            <w:r>
              <w:rPr>
                <w:rFonts w:hint="eastAsia"/>
              </w:rPr>
              <w:t>基金合同生效日</w:t>
            </w:r>
          </w:p>
        </w:tc>
        <w:tc>
          <w:tcPr>
            <w:tcW w:w="2491" w:type="dxa"/>
            <w:vAlign w:val="center"/>
          </w:tcPr>
          <w:p w14:paraId="731AD767">
            <w:pPr>
              <w:jc w:val="right"/>
            </w:pPr>
            <w:r>
              <w:rPr>
                <w:rFonts w:hint="eastAsia"/>
              </w:rPr>
              <w:t>712,302,920.79</w:t>
            </w:r>
          </w:p>
        </w:tc>
        <w:tc>
          <w:tcPr>
            <w:tcW w:w="2907" w:type="dxa"/>
            <w:vAlign w:val="center"/>
          </w:tcPr>
          <w:p w14:paraId="3D255FC6">
            <w:pPr>
              <w:jc w:val="right"/>
            </w:pPr>
            <w:r>
              <w:rPr>
                <w:rFonts w:hint="eastAsia"/>
              </w:rPr>
              <w:t>712,302,920.79</w:t>
            </w:r>
          </w:p>
        </w:tc>
      </w:tr>
      <w:tr w14:paraId="654B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17D539">
            <w:r>
              <w:rPr>
                <w:rFonts w:hint="eastAsia"/>
              </w:rPr>
              <w:t>本期申购</w:t>
            </w:r>
          </w:p>
        </w:tc>
        <w:tc>
          <w:tcPr>
            <w:tcW w:w="2491" w:type="dxa"/>
            <w:vAlign w:val="center"/>
          </w:tcPr>
          <w:p w14:paraId="1A42EF93">
            <w:pPr>
              <w:jc w:val="right"/>
            </w:pPr>
            <w:r>
              <w:rPr>
                <w:rFonts w:hint="eastAsia"/>
              </w:rPr>
              <w:t>455,396,140.28</w:t>
            </w:r>
          </w:p>
        </w:tc>
        <w:tc>
          <w:tcPr>
            <w:tcW w:w="2907" w:type="dxa"/>
            <w:vAlign w:val="center"/>
          </w:tcPr>
          <w:p w14:paraId="5A04726E">
            <w:pPr>
              <w:jc w:val="right"/>
            </w:pPr>
            <w:r>
              <w:rPr>
                <w:rFonts w:hint="eastAsia"/>
              </w:rPr>
              <w:t>455,396,140.28</w:t>
            </w:r>
          </w:p>
        </w:tc>
      </w:tr>
      <w:tr w14:paraId="5777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6A920D">
            <w:r>
              <w:rPr>
                <w:rFonts w:hint="eastAsia"/>
              </w:rPr>
              <w:t>本期赎回（以“-”号填列）</w:t>
            </w:r>
          </w:p>
        </w:tc>
        <w:tc>
          <w:tcPr>
            <w:tcW w:w="2491" w:type="dxa"/>
            <w:vAlign w:val="center"/>
          </w:tcPr>
          <w:p w14:paraId="014A8CA6">
            <w:pPr>
              <w:jc w:val="right"/>
            </w:pPr>
            <w:r>
              <w:rPr>
                <w:rFonts w:hint="eastAsia"/>
              </w:rPr>
              <w:t>-316,806,297.16</w:t>
            </w:r>
          </w:p>
        </w:tc>
        <w:tc>
          <w:tcPr>
            <w:tcW w:w="2907" w:type="dxa"/>
            <w:vAlign w:val="center"/>
          </w:tcPr>
          <w:p w14:paraId="47429BCB">
            <w:pPr>
              <w:jc w:val="right"/>
            </w:pPr>
            <w:r>
              <w:rPr>
                <w:rFonts w:hint="eastAsia"/>
              </w:rPr>
              <w:t>-316,806,297.16</w:t>
            </w:r>
          </w:p>
        </w:tc>
      </w:tr>
      <w:tr w14:paraId="275C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EBF1F2">
            <w:r>
              <w:rPr>
                <w:rFonts w:hint="eastAsia"/>
              </w:rPr>
              <w:t>基金拆分/份额折算前</w:t>
            </w:r>
          </w:p>
        </w:tc>
        <w:tc>
          <w:tcPr>
            <w:tcW w:w="2491" w:type="dxa"/>
            <w:vAlign w:val="center"/>
          </w:tcPr>
          <w:p w14:paraId="15780FB2">
            <w:pPr>
              <w:jc w:val="right"/>
            </w:pPr>
            <w:r>
              <w:rPr>
                <w:rFonts w:hint="eastAsia"/>
              </w:rPr>
              <w:t>-</w:t>
            </w:r>
          </w:p>
        </w:tc>
        <w:tc>
          <w:tcPr>
            <w:tcW w:w="2907" w:type="dxa"/>
            <w:vAlign w:val="center"/>
          </w:tcPr>
          <w:p w14:paraId="6C174E9D">
            <w:pPr>
              <w:jc w:val="right"/>
            </w:pPr>
            <w:r>
              <w:rPr>
                <w:rFonts w:hint="eastAsia"/>
              </w:rPr>
              <w:t>-</w:t>
            </w:r>
          </w:p>
        </w:tc>
      </w:tr>
      <w:tr w14:paraId="0FC3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B9D10B">
            <w:r>
              <w:rPr>
                <w:rFonts w:hint="eastAsia"/>
              </w:rPr>
              <w:t>基金拆分/份额折算调整</w:t>
            </w:r>
          </w:p>
        </w:tc>
        <w:tc>
          <w:tcPr>
            <w:tcW w:w="2491" w:type="dxa"/>
            <w:vAlign w:val="center"/>
          </w:tcPr>
          <w:p w14:paraId="742923D5">
            <w:pPr>
              <w:jc w:val="right"/>
            </w:pPr>
            <w:r>
              <w:rPr>
                <w:rFonts w:hint="eastAsia"/>
              </w:rPr>
              <w:t>-</w:t>
            </w:r>
          </w:p>
        </w:tc>
        <w:tc>
          <w:tcPr>
            <w:tcW w:w="2907" w:type="dxa"/>
            <w:vAlign w:val="center"/>
          </w:tcPr>
          <w:p w14:paraId="53B0E968">
            <w:pPr>
              <w:jc w:val="right"/>
            </w:pPr>
            <w:r>
              <w:rPr>
                <w:rFonts w:hint="eastAsia"/>
              </w:rPr>
              <w:t>-</w:t>
            </w:r>
          </w:p>
        </w:tc>
      </w:tr>
      <w:tr w14:paraId="48A2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7FCD5A">
            <w:r>
              <w:rPr>
                <w:rFonts w:hint="eastAsia"/>
              </w:rPr>
              <w:t>本期申购</w:t>
            </w:r>
          </w:p>
        </w:tc>
        <w:tc>
          <w:tcPr>
            <w:tcW w:w="2491" w:type="dxa"/>
            <w:vAlign w:val="center"/>
          </w:tcPr>
          <w:p w14:paraId="38F3622D">
            <w:pPr>
              <w:jc w:val="right"/>
            </w:pPr>
            <w:r>
              <w:rPr>
                <w:rFonts w:hint="eastAsia"/>
              </w:rPr>
              <w:t>-</w:t>
            </w:r>
          </w:p>
        </w:tc>
        <w:tc>
          <w:tcPr>
            <w:tcW w:w="2907" w:type="dxa"/>
            <w:vAlign w:val="center"/>
          </w:tcPr>
          <w:p w14:paraId="21CCC9ED">
            <w:pPr>
              <w:jc w:val="right"/>
            </w:pPr>
            <w:r>
              <w:rPr>
                <w:rFonts w:hint="eastAsia"/>
              </w:rPr>
              <w:t>-</w:t>
            </w:r>
          </w:p>
        </w:tc>
      </w:tr>
      <w:tr w14:paraId="5485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E93AED">
            <w:r>
              <w:rPr>
                <w:rFonts w:hint="eastAsia"/>
              </w:rPr>
              <w:t>本期赎回（以“-”号填列）</w:t>
            </w:r>
          </w:p>
        </w:tc>
        <w:tc>
          <w:tcPr>
            <w:tcW w:w="2491" w:type="dxa"/>
            <w:vAlign w:val="center"/>
          </w:tcPr>
          <w:p w14:paraId="3D604A5C">
            <w:pPr>
              <w:jc w:val="right"/>
            </w:pPr>
            <w:r>
              <w:rPr>
                <w:rFonts w:hint="eastAsia"/>
              </w:rPr>
              <w:t>-</w:t>
            </w:r>
          </w:p>
        </w:tc>
        <w:tc>
          <w:tcPr>
            <w:tcW w:w="2907" w:type="dxa"/>
            <w:vAlign w:val="center"/>
          </w:tcPr>
          <w:p w14:paraId="134717ED">
            <w:pPr>
              <w:jc w:val="right"/>
            </w:pPr>
            <w:r>
              <w:rPr>
                <w:rFonts w:hint="eastAsia"/>
              </w:rPr>
              <w:t>-</w:t>
            </w:r>
          </w:p>
        </w:tc>
      </w:tr>
      <w:tr w14:paraId="6913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8FD6F4">
            <w:r>
              <w:rPr>
                <w:rFonts w:hint="eastAsia"/>
              </w:rPr>
              <w:t>本期末</w:t>
            </w:r>
          </w:p>
        </w:tc>
        <w:tc>
          <w:tcPr>
            <w:tcW w:w="2491" w:type="dxa"/>
            <w:vAlign w:val="center"/>
          </w:tcPr>
          <w:p w14:paraId="34D6B12D">
            <w:pPr>
              <w:jc w:val="right"/>
            </w:pPr>
            <w:r>
              <w:rPr>
                <w:rFonts w:hint="eastAsia"/>
              </w:rPr>
              <w:t>850,892,763.91</w:t>
            </w:r>
          </w:p>
        </w:tc>
        <w:tc>
          <w:tcPr>
            <w:tcW w:w="2907" w:type="dxa"/>
            <w:vAlign w:val="center"/>
          </w:tcPr>
          <w:p w14:paraId="3000AC9C">
            <w:pPr>
              <w:jc w:val="right"/>
            </w:pPr>
            <w:r>
              <w:rPr>
                <w:rFonts w:hint="eastAsia"/>
              </w:rPr>
              <w:t>850,892,763.91</w:t>
            </w:r>
          </w:p>
        </w:tc>
      </w:tr>
    </w:tbl>
    <w:p w14:paraId="29D5A04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256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FE18673">
            <w:pPr>
              <w:jc w:val="center"/>
            </w:pPr>
            <w:r>
              <w:rPr>
                <w:rFonts w:hint="eastAsia"/>
                <w:b/>
              </w:rPr>
              <w:t>南方益稳稳健增利债券C</w:t>
            </w:r>
          </w:p>
        </w:tc>
      </w:tr>
      <w:tr w14:paraId="3038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64F609C">
            <w:pPr>
              <w:jc w:val="center"/>
            </w:pPr>
            <w:r>
              <w:rPr>
                <w:rFonts w:hint="eastAsia"/>
                <w:b/>
              </w:rPr>
              <w:t>项目</w:t>
            </w:r>
          </w:p>
        </w:tc>
        <w:tc>
          <w:tcPr>
            <w:tcW w:w="2491" w:type="dxa"/>
            <w:gridSpan w:val="2"/>
            <w:shd w:val="clear" w:color="auto" w:fill="BFBFBF"/>
            <w:vAlign w:val="center"/>
          </w:tcPr>
          <w:p w14:paraId="62691F09">
            <w:pPr>
              <w:jc w:val="center"/>
            </w:pPr>
            <w:r>
              <w:rPr>
                <w:rFonts w:hint="eastAsia"/>
                <w:b/>
              </w:rPr>
              <w:t>本期2025年8月6日（基金合同生效日）至2025年12月31日</w:t>
            </w:r>
          </w:p>
        </w:tc>
      </w:tr>
      <w:tr w14:paraId="2C2F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862A81B"/>
        </w:tc>
        <w:tc>
          <w:tcPr>
            <w:tcW w:w="2491" w:type="dxa"/>
            <w:shd w:val="clear" w:color="auto" w:fill="BFBFBF"/>
            <w:vAlign w:val="center"/>
          </w:tcPr>
          <w:p w14:paraId="3B8F8C2D">
            <w:pPr>
              <w:jc w:val="center"/>
            </w:pPr>
            <w:r>
              <w:rPr>
                <w:rFonts w:hint="eastAsia"/>
                <w:b/>
              </w:rPr>
              <w:t>基金份额（份）</w:t>
            </w:r>
          </w:p>
        </w:tc>
        <w:tc>
          <w:tcPr>
            <w:tcW w:w="2907" w:type="dxa"/>
            <w:shd w:val="clear" w:color="auto" w:fill="BFBFBF"/>
            <w:vAlign w:val="center"/>
          </w:tcPr>
          <w:p w14:paraId="60639283">
            <w:pPr>
              <w:jc w:val="center"/>
            </w:pPr>
            <w:r>
              <w:rPr>
                <w:rFonts w:hint="eastAsia"/>
                <w:b/>
              </w:rPr>
              <w:t>账面金额</w:t>
            </w:r>
          </w:p>
        </w:tc>
      </w:tr>
      <w:tr w14:paraId="3D6C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31F701">
            <w:r>
              <w:rPr>
                <w:rFonts w:hint="eastAsia"/>
              </w:rPr>
              <w:t>基金合同生效日</w:t>
            </w:r>
          </w:p>
        </w:tc>
        <w:tc>
          <w:tcPr>
            <w:tcW w:w="2491" w:type="dxa"/>
            <w:vAlign w:val="center"/>
          </w:tcPr>
          <w:p w14:paraId="5E70C15E">
            <w:pPr>
              <w:jc w:val="right"/>
            </w:pPr>
            <w:r>
              <w:rPr>
                <w:rFonts w:hint="eastAsia"/>
              </w:rPr>
              <w:t>4,285,845,677.75</w:t>
            </w:r>
          </w:p>
        </w:tc>
        <w:tc>
          <w:tcPr>
            <w:tcW w:w="2907" w:type="dxa"/>
            <w:vAlign w:val="center"/>
          </w:tcPr>
          <w:p w14:paraId="2406243D">
            <w:pPr>
              <w:jc w:val="right"/>
            </w:pPr>
            <w:r>
              <w:rPr>
                <w:rFonts w:hint="eastAsia"/>
              </w:rPr>
              <w:t>4,285,845,677.75</w:t>
            </w:r>
          </w:p>
        </w:tc>
      </w:tr>
      <w:tr w14:paraId="5BB4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0835DF">
            <w:r>
              <w:rPr>
                <w:rFonts w:hint="eastAsia"/>
              </w:rPr>
              <w:t>本期申购</w:t>
            </w:r>
          </w:p>
        </w:tc>
        <w:tc>
          <w:tcPr>
            <w:tcW w:w="2491" w:type="dxa"/>
            <w:vAlign w:val="center"/>
          </w:tcPr>
          <w:p w14:paraId="753C0457">
            <w:pPr>
              <w:jc w:val="right"/>
            </w:pPr>
            <w:r>
              <w:rPr>
                <w:rFonts w:hint="eastAsia"/>
              </w:rPr>
              <w:t>387,214,666.45</w:t>
            </w:r>
          </w:p>
        </w:tc>
        <w:tc>
          <w:tcPr>
            <w:tcW w:w="2907" w:type="dxa"/>
            <w:vAlign w:val="center"/>
          </w:tcPr>
          <w:p w14:paraId="460F0A08">
            <w:pPr>
              <w:jc w:val="right"/>
            </w:pPr>
            <w:r>
              <w:rPr>
                <w:rFonts w:hint="eastAsia"/>
              </w:rPr>
              <w:t>387,214,666.45</w:t>
            </w:r>
          </w:p>
        </w:tc>
      </w:tr>
      <w:tr w14:paraId="5BEA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9485D6">
            <w:r>
              <w:rPr>
                <w:rFonts w:hint="eastAsia"/>
              </w:rPr>
              <w:t>本期赎回（以“-”号填列）</w:t>
            </w:r>
          </w:p>
        </w:tc>
        <w:tc>
          <w:tcPr>
            <w:tcW w:w="2491" w:type="dxa"/>
            <w:vAlign w:val="center"/>
          </w:tcPr>
          <w:p w14:paraId="0D8682EB">
            <w:pPr>
              <w:jc w:val="right"/>
            </w:pPr>
            <w:r>
              <w:rPr>
                <w:rFonts w:hint="eastAsia"/>
              </w:rPr>
              <w:t>-2,358,062,803.24</w:t>
            </w:r>
          </w:p>
        </w:tc>
        <w:tc>
          <w:tcPr>
            <w:tcW w:w="2907" w:type="dxa"/>
            <w:vAlign w:val="center"/>
          </w:tcPr>
          <w:p w14:paraId="1BD4DEB2">
            <w:pPr>
              <w:jc w:val="right"/>
            </w:pPr>
            <w:r>
              <w:rPr>
                <w:rFonts w:hint="eastAsia"/>
              </w:rPr>
              <w:t>-2,358,062,803.24</w:t>
            </w:r>
          </w:p>
        </w:tc>
      </w:tr>
      <w:tr w14:paraId="4482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E46B44">
            <w:r>
              <w:rPr>
                <w:rFonts w:hint="eastAsia"/>
              </w:rPr>
              <w:t>基金拆分/份额折算前</w:t>
            </w:r>
          </w:p>
        </w:tc>
        <w:tc>
          <w:tcPr>
            <w:tcW w:w="2491" w:type="dxa"/>
            <w:vAlign w:val="center"/>
          </w:tcPr>
          <w:p w14:paraId="0CA5A6C6">
            <w:pPr>
              <w:jc w:val="right"/>
            </w:pPr>
            <w:r>
              <w:rPr>
                <w:rFonts w:hint="eastAsia"/>
              </w:rPr>
              <w:t>-</w:t>
            </w:r>
          </w:p>
        </w:tc>
        <w:tc>
          <w:tcPr>
            <w:tcW w:w="2907" w:type="dxa"/>
            <w:vAlign w:val="center"/>
          </w:tcPr>
          <w:p w14:paraId="3EDDB79D">
            <w:pPr>
              <w:jc w:val="right"/>
            </w:pPr>
            <w:r>
              <w:rPr>
                <w:rFonts w:hint="eastAsia"/>
              </w:rPr>
              <w:t>-</w:t>
            </w:r>
          </w:p>
        </w:tc>
      </w:tr>
      <w:tr w14:paraId="7314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33ECE5">
            <w:r>
              <w:rPr>
                <w:rFonts w:hint="eastAsia"/>
              </w:rPr>
              <w:t>基金拆分/份额折算调整</w:t>
            </w:r>
          </w:p>
        </w:tc>
        <w:tc>
          <w:tcPr>
            <w:tcW w:w="2491" w:type="dxa"/>
            <w:vAlign w:val="center"/>
          </w:tcPr>
          <w:p w14:paraId="42D8817A">
            <w:pPr>
              <w:jc w:val="right"/>
            </w:pPr>
            <w:r>
              <w:rPr>
                <w:rFonts w:hint="eastAsia"/>
              </w:rPr>
              <w:t>-</w:t>
            </w:r>
          </w:p>
        </w:tc>
        <w:tc>
          <w:tcPr>
            <w:tcW w:w="2907" w:type="dxa"/>
            <w:vAlign w:val="center"/>
          </w:tcPr>
          <w:p w14:paraId="5524E5C6">
            <w:pPr>
              <w:jc w:val="right"/>
            </w:pPr>
            <w:r>
              <w:rPr>
                <w:rFonts w:hint="eastAsia"/>
              </w:rPr>
              <w:t>-</w:t>
            </w:r>
          </w:p>
        </w:tc>
      </w:tr>
      <w:tr w14:paraId="138A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D7CE1E">
            <w:r>
              <w:rPr>
                <w:rFonts w:hint="eastAsia"/>
              </w:rPr>
              <w:t>本期申购</w:t>
            </w:r>
          </w:p>
        </w:tc>
        <w:tc>
          <w:tcPr>
            <w:tcW w:w="2491" w:type="dxa"/>
            <w:vAlign w:val="center"/>
          </w:tcPr>
          <w:p w14:paraId="25C5A8EE">
            <w:pPr>
              <w:jc w:val="right"/>
            </w:pPr>
            <w:r>
              <w:rPr>
                <w:rFonts w:hint="eastAsia"/>
              </w:rPr>
              <w:t>-</w:t>
            </w:r>
          </w:p>
        </w:tc>
        <w:tc>
          <w:tcPr>
            <w:tcW w:w="2907" w:type="dxa"/>
            <w:vAlign w:val="center"/>
          </w:tcPr>
          <w:p w14:paraId="0742AB1B">
            <w:pPr>
              <w:jc w:val="right"/>
            </w:pPr>
            <w:r>
              <w:rPr>
                <w:rFonts w:hint="eastAsia"/>
              </w:rPr>
              <w:t>-</w:t>
            </w:r>
          </w:p>
        </w:tc>
      </w:tr>
      <w:tr w14:paraId="7C8A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F7DDF2">
            <w:r>
              <w:rPr>
                <w:rFonts w:hint="eastAsia"/>
              </w:rPr>
              <w:t>本期赎回（以“-”号填列）</w:t>
            </w:r>
          </w:p>
        </w:tc>
        <w:tc>
          <w:tcPr>
            <w:tcW w:w="2491" w:type="dxa"/>
            <w:vAlign w:val="center"/>
          </w:tcPr>
          <w:p w14:paraId="3881BFFD">
            <w:pPr>
              <w:jc w:val="right"/>
            </w:pPr>
            <w:r>
              <w:rPr>
                <w:rFonts w:hint="eastAsia"/>
              </w:rPr>
              <w:t>-</w:t>
            </w:r>
          </w:p>
        </w:tc>
        <w:tc>
          <w:tcPr>
            <w:tcW w:w="2907" w:type="dxa"/>
            <w:vAlign w:val="center"/>
          </w:tcPr>
          <w:p w14:paraId="2F340D1B">
            <w:pPr>
              <w:jc w:val="right"/>
            </w:pPr>
            <w:r>
              <w:rPr>
                <w:rFonts w:hint="eastAsia"/>
              </w:rPr>
              <w:t>-</w:t>
            </w:r>
          </w:p>
        </w:tc>
      </w:tr>
      <w:tr w14:paraId="3237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288469">
            <w:r>
              <w:rPr>
                <w:rFonts w:hint="eastAsia"/>
              </w:rPr>
              <w:t>本期末</w:t>
            </w:r>
          </w:p>
        </w:tc>
        <w:tc>
          <w:tcPr>
            <w:tcW w:w="2491" w:type="dxa"/>
            <w:vAlign w:val="center"/>
          </w:tcPr>
          <w:p w14:paraId="0944C4E9">
            <w:pPr>
              <w:jc w:val="right"/>
            </w:pPr>
            <w:r>
              <w:rPr>
                <w:rFonts w:hint="eastAsia"/>
              </w:rPr>
              <w:t>2,314,997,540.96</w:t>
            </w:r>
          </w:p>
        </w:tc>
        <w:tc>
          <w:tcPr>
            <w:tcW w:w="2907" w:type="dxa"/>
            <w:vAlign w:val="center"/>
          </w:tcPr>
          <w:p w14:paraId="3A39061E">
            <w:pPr>
              <w:jc w:val="right"/>
            </w:pPr>
            <w:r>
              <w:rPr>
                <w:rFonts w:hint="eastAsia"/>
              </w:rPr>
              <w:t>2,314,997,540.96</w:t>
            </w:r>
          </w:p>
        </w:tc>
      </w:tr>
    </w:tbl>
    <w:p w14:paraId="7778DC73">
      <w:pPr>
        <w:pStyle w:val="47"/>
        <w:rPr>
          <w:rFonts w:hint="eastAsia"/>
        </w:rPr>
      </w:pPr>
      <w:r>
        <w:rPr>
          <w:rFonts w:hint="eastAsia"/>
        </w:rPr>
        <w:t>注：（1）本基金申购含红利再投份额（如有）、转换入份额（如有）；赎回含转出份额（如有）。</w:t>
      </w:r>
    </w:p>
    <w:p w14:paraId="6E186808">
      <w:pPr>
        <w:pStyle w:val="47"/>
        <w:rPr>
          <w:rFonts w:hint="eastAsia"/>
        </w:rPr>
      </w:pPr>
      <w:r>
        <w:tab/>
      </w:r>
      <w:r>
        <w:rPr>
          <w:rFonts w:hint="eastAsia"/>
        </w:rPr>
        <w:t>（2）本基金合同于2025年8月6日生效，基金合同生效日的基金份额总额为4,998,148,598.54份基金份额，其中认购资金利息折合189,865.11份基金份额。</w:t>
      </w:r>
    </w:p>
    <w:p w14:paraId="61A1FBDF">
      <w:pPr>
        <w:pStyle w:val="35"/>
      </w:pPr>
      <w:bookmarkStart w:id="84" w:name="_Toc84"/>
      <w:r>
        <w:t xml:space="preserve"> 未分配利润 </w:t>
      </w:r>
      <w:bookmarkEnd w:id="84"/>
    </w:p>
    <w:p w14:paraId="12D188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AD5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21FF49E">
            <w:pPr>
              <w:jc w:val="center"/>
            </w:pPr>
            <w:r>
              <w:rPr>
                <w:rFonts w:hint="eastAsia"/>
                <w:b/>
              </w:rPr>
              <w:t>南方益稳稳健增利债券A</w:t>
            </w:r>
          </w:p>
        </w:tc>
      </w:tr>
      <w:tr w14:paraId="0A65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C0EBB62">
            <w:pPr>
              <w:jc w:val="center"/>
            </w:pPr>
            <w:r>
              <w:rPr>
                <w:rFonts w:hint="eastAsia"/>
                <w:b/>
              </w:rPr>
              <w:t>项目</w:t>
            </w:r>
          </w:p>
        </w:tc>
        <w:tc>
          <w:tcPr>
            <w:tcW w:w="2076" w:type="dxa"/>
            <w:shd w:val="clear" w:color="auto" w:fill="BFBFBF"/>
            <w:vAlign w:val="center"/>
          </w:tcPr>
          <w:p w14:paraId="09D76D1D">
            <w:pPr>
              <w:jc w:val="center"/>
            </w:pPr>
            <w:r>
              <w:rPr>
                <w:rFonts w:hint="eastAsia"/>
                <w:b/>
              </w:rPr>
              <w:t>已实现部分</w:t>
            </w:r>
          </w:p>
        </w:tc>
        <w:tc>
          <w:tcPr>
            <w:tcW w:w="2076" w:type="dxa"/>
            <w:shd w:val="clear" w:color="auto" w:fill="BFBFBF"/>
            <w:vAlign w:val="center"/>
          </w:tcPr>
          <w:p w14:paraId="4D1388C3">
            <w:pPr>
              <w:jc w:val="center"/>
            </w:pPr>
            <w:r>
              <w:rPr>
                <w:rFonts w:hint="eastAsia"/>
                <w:b/>
              </w:rPr>
              <w:t>未实现部分</w:t>
            </w:r>
          </w:p>
        </w:tc>
        <w:tc>
          <w:tcPr>
            <w:tcW w:w="2076" w:type="dxa"/>
            <w:shd w:val="clear" w:color="auto" w:fill="BFBFBF"/>
            <w:vAlign w:val="center"/>
          </w:tcPr>
          <w:p w14:paraId="640EF2BC">
            <w:pPr>
              <w:jc w:val="center"/>
            </w:pPr>
            <w:r>
              <w:rPr>
                <w:rFonts w:hint="eastAsia"/>
                <w:b/>
              </w:rPr>
              <w:t>未分配利润合计</w:t>
            </w:r>
          </w:p>
        </w:tc>
      </w:tr>
      <w:tr w14:paraId="69E4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193BFA">
            <w:r>
              <w:rPr>
                <w:rFonts w:hint="eastAsia"/>
              </w:rPr>
              <w:t>基金合同生效日</w:t>
            </w:r>
          </w:p>
        </w:tc>
        <w:tc>
          <w:tcPr>
            <w:tcW w:w="2076" w:type="dxa"/>
            <w:vAlign w:val="center"/>
          </w:tcPr>
          <w:p w14:paraId="353AFDCB">
            <w:pPr>
              <w:jc w:val="right"/>
            </w:pPr>
            <w:r>
              <w:rPr>
                <w:rFonts w:hint="eastAsia"/>
              </w:rPr>
              <w:t>-</w:t>
            </w:r>
          </w:p>
        </w:tc>
        <w:tc>
          <w:tcPr>
            <w:tcW w:w="2076" w:type="dxa"/>
            <w:vAlign w:val="center"/>
          </w:tcPr>
          <w:p w14:paraId="099CEE1B">
            <w:pPr>
              <w:jc w:val="right"/>
            </w:pPr>
            <w:r>
              <w:rPr>
                <w:rFonts w:hint="eastAsia"/>
              </w:rPr>
              <w:t>-</w:t>
            </w:r>
          </w:p>
        </w:tc>
        <w:tc>
          <w:tcPr>
            <w:tcW w:w="2076" w:type="dxa"/>
            <w:vAlign w:val="center"/>
          </w:tcPr>
          <w:p w14:paraId="13DB61AD">
            <w:pPr>
              <w:jc w:val="right"/>
            </w:pPr>
            <w:r>
              <w:rPr>
                <w:rFonts w:hint="eastAsia"/>
              </w:rPr>
              <w:t>-</w:t>
            </w:r>
          </w:p>
        </w:tc>
      </w:tr>
      <w:tr w14:paraId="22C5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447168">
            <w:r>
              <w:rPr>
                <w:rFonts w:hint="eastAsia"/>
              </w:rPr>
              <w:t>加：会计政策变更</w:t>
            </w:r>
          </w:p>
        </w:tc>
        <w:tc>
          <w:tcPr>
            <w:tcW w:w="2076" w:type="dxa"/>
            <w:vAlign w:val="center"/>
          </w:tcPr>
          <w:p w14:paraId="6FCA20E8">
            <w:pPr>
              <w:jc w:val="right"/>
            </w:pPr>
            <w:r>
              <w:rPr>
                <w:rFonts w:hint="eastAsia"/>
              </w:rPr>
              <w:t>-</w:t>
            </w:r>
          </w:p>
        </w:tc>
        <w:tc>
          <w:tcPr>
            <w:tcW w:w="2076" w:type="dxa"/>
            <w:vAlign w:val="center"/>
          </w:tcPr>
          <w:p w14:paraId="7E22D57A">
            <w:pPr>
              <w:jc w:val="right"/>
            </w:pPr>
            <w:r>
              <w:rPr>
                <w:rFonts w:hint="eastAsia"/>
              </w:rPr>
              <w:t>-</w:t>
            </w:r>
          </w:p>
        </w:tc>
        <w:tc>
          <w:tcPr>
            <w:tcW w:w="2076" w:type="dxa"/>
            <w:vAlign w:val="center"/>
          </w:tcPr>
          <w:p w14:paraId="73A3D223">
            <w:pPr>
              <w:jc w:val="right"/>
            </w:pPr>
            <w:r>
              <w:rPr>
                <w:rFonts w:hint="eastAsia"/>
              </w:rPr>
              <w:t>-</w:t>
            </w:r>
          </w:p>
        </w:tc>
      </w:tr>
      <w:tr w14:paraId="4EF9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626CD4">
            <w:r>
              <w:rPr>
                <w:rFonts w:hint="eastAsia"/>
              </w:rPr>
              <w:t xml:space="preserve">      前期差错更正</w:t>
            </w:r>
          </w:p>
        </w:tc>
        <w:tc>
          <w:tcPr>
            <w:tcW w:w="2076" w:type="dxa"/>
            <w:vAlign w:val="center"/>
          </w:tcPr>
          <w:p w14:paraId="5D397D89">
            <w:pPr>
              <w:jc w:val="right"/>
            </w:pPr>
            <w:r>
              <w:rPr>
                <w:rFonts w:hint="eastAsia"/>
              </w:rPr>
              <w:t>-</w:t>
            </w:r>
          </w:p>
        </w:tc>
        <w:tc>
          <w:tcPr>
            <w:tcW w:w="2076" w:type="dxa"/>
            <w:vAlign w:val="center"/>
          </w:tcPr>
          <w:p w14:paraId="1BAD0BBC">
            <w:pPr>
              <w:jc w:val="right"/>
            </w:pPr>
            <w:r>
              <w:rPr>
                <w:rFonts w:hint="eastAsia"/>
              </w:rPr>
              <w:t>-</w:t>
            </w:r>
          </w:p>
        </w:tc>
        <w:tc>
          <w:tcPr>
            <w:tcW w:w="2076" w:type="dxa"/>
            <w:vAlign w:val="center"/>
          </w:tcPr>
          <w:p w14:paraId="24E54CA6">
            <w:pPr>
              <w:jc w:val="right"/>
            </w:pPr>
            <w:r>
              <w:rPr>
                <w:rFonts w:hint="eastAsia"/>
              </w:rPr>
              <w:t>-</w:t>
            </w:r>
          </w:p>
        </w:tc>
      </w:tr>
      <w:tr w14:paraId="241B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B62B87">
            <w:r>
              <w:rPr>
                <w:rFonts w:hint="eastAsia"/>
              </w:rPr>
              <w:t xml:space="preserve">      其他</w:t>
            </w:r>
          </w:p>
        </w:tc>
        <w:tc>
          <w:tcPr>
            <w:tcW w:w="2076" w:type="dxa"/>
            <w:vAlign w:val="center"/>
          </w:tcPr>
          <w:p w14:paraId="310E19FF">
            <w:pPr>
              <w:jc w:val="right"/>
            </w:pPr>
            <w:r>
              <w:rPr>
                <w:rFonts w:hint="eastAsia"/>
              </w:rPr>
              <w:t>-</w:t>
            </w:r>
          </w:p>
        </w:tc>
        <w:tc>
          <w:tcPr>
            <w:tcW w:w="2076" w:type="dxa"/>
            <w:vAlign w:val="center"/>
          </w:tcPr>
          <w:p w14:paraId="21DBF136">
            <w:pPr>
              <w:jc w:val="right"/>
            </w:pPr>
            <w:r>
              <w:rPr>
                <w:rFonts w:hint="eastAsia"/>
              </w:rPr>
              <w:t>-</w:t>
            </w:r>
          </w:p>
        </w:tc>
        <w:tc>
          <w:tcPr>
            <w:tcW w:w="2076" w:type="dxa"/>
            <w:vAlign w:val="center"/>
          </w:tcPr>
          <w:p w14:paraId="050C8722">
            <w:pPr>
              <w:jc w:val="right"/>
            </w:pPr>
            <w:r>
              <w:rPr>
                <w:rFonts w:hint="eastAsia"/>
              </w:rPr>
              <w:t>-</w:t>
            </w:r>
          </w:p>
        </w:tc>
      </w:tr>
      <w:tr w14:paraId="1FA5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BAA668">
            <w:r>
              <w:rPr>
                <w:rFonts w:hint="eastAsia"/>
              </w:rPr>
              <w:t>本期期初</w:t>
            </w:r>
          </w:p>
        </w:tc>
        <w:tc>
          <w:tcPr>
            <w:tcW w:w="2076" w:type="dxa"/>
            <w:vAlign w:val="center"/>
          </w:tcPr>
          <w:p w14:paraId="24373F1E">
            <w:pPr>
              <w:jc w:val="right"/>
            </w:pPr>
            <w:r>
              <w:rPr>
                <w:rFonts w:hint="eastAsia"/>
              </w:rPr>
              <w:t>-</w:t>
            </w:r>
          </w:p>
        </w:tc>
        <w:tc>
          <w:tcPr>
            <w:tcW w:w="2076" w:type="dxa"/>
            <w:vAlign w:val="center"/>
          </w:tcPr>
          <w:p w14:paraId="2425AA39">
            <w:pPr>
              <w:jc w:val="right"/>
            </w:pPr>
            <w:r>
              <w:rPr>
                <w:rFonts w:hint="eastAsia"/>
              </w:rPr>
              <w:t>-</w:t>
            </w:r>
          </w:p>
        </w:tc>
        <w:tc>
          <w:tcPr>
            <w:tcW w:w="2076" w:type="dxa"/>
            <w:vAlign w:val="center"/>
          </w:tcPr>
          <w:p w14:paraId="2326F640">
            <w:pPr>
              <w:jc w:val="right"/>
            </w:pPr>
            <w:r>
              <w:rPr>
                <w:rFonts w:hint="eastAsia"/>
              </w:rPr>
              <w:t>-</w:t>
            </w:r>
          </w:p>
        </w:tc>
      </w:tr>
      <w:tr w14:paraId="0D21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60F499">
            <w:r>
              <w:rPr>
                <w:rFonts w:hint="eastAsia"/>
              </w:rPr>
              <w:t>本期利润</w:t>
            </w:r>
          </w:p>
        </w:tc>
        <w:tc>
          <w:tcPr>
            <w:tcW w:w="2076" w:type="dxa"/>
            <w:vAlign w:val="center"/>
          </w:tcPr>
          <w:p w14:paraId="5CD20954">
            <w:pPr>
              <w:jc w:val="right"/>
            </w:pPr>
            <w:r>
              <w:rPr>
                <w:rFonts w:hint="eastAsia"/>
              </w:rPr>
              <w:t>6,615,657.15</w:t>
            </w:r>
          </w:p>
        </w:tc>
        <w:tc>
          <w:tcPr>
            <w:tcW w:w="2076" w:type="dxa"/>
            <w:vAlign w:val="center"/>
          </w:tcPr>
          <w:p w14:paraId="376DA7A2">
            <w:pPr>
              <w:jc w:val="right"/>
            </w:pPr>
            <w:r>
              <w:rPr>
                <w:rFonts w:hint="eastAsia"/>
              </w:rPr>
              <w:t>4,831,944.52</w:t>
            </w:r>
          </w:p>
        </w:tc>
        <w:tc>
          <w:tcPr>
            <w:tcW w:w="2076" w:type="dxa"/>
            <w:vAlign w:val="center"/>
          </w:tcPr>
          <w:p w14:paraId="6E1D1287">
            <w:pPr>
              <w:jc w:val="right"/>
            </w:pPr>
            <w:r>
              <w:rPr>
                <w:rFonts w:hint="eastAsia"/>
              </w:rPr>
              <w:t>11,447,601.67</w:t>
            </w:r>
          </w:p>
        </w:tc>
      </w:tr>
      <w:tr w14:paraId="3890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B3D203">
            <w:r>
              <w:rPr>
                <w:rFonts w:hint="eastAsia"/>
              </w:rPr>
              <w:t>本期基金份额交易产生的变动数</w:t>
            </w:r>
          </w:p>
        </w:tc>
        <w:tc>
          <w:tcPr>
            <w:tcW w:w="2076" w:type="dxa"/>
            <w:vAlign w:val="center"/>
          </w:tcPr>
          <w:p w14:paraId="0ECBE7BC">
            <w:pPr>
              <w:jc w:val="right"/>
            </w:pPr>
            <w:r>
              <w:rPr>
                <w:rFonts w:hint="eastAsia"/>
              </w:rPr>
              <w:t>1,712,282.89</w:t>
            </w:r>
          </w:p>
        </w:tc>
        <w:tc>
          <w:tcPr>
            <w:tcW w:w="2076" w:type="dxa"/>
            <w:vAlign w:val="center"/>
          </w:tcPr>
          <w:p w14:paraId="0873A818">
            <w:pPr>
              <w:jc w:val="right"/>
            </w:pPr>
            <w:r>
              <w:rPr>
                <w:rFonts w:hint="eastAsia"/>
              </w:rPr>
              <w:t>20,640.93</w:t>
            </w:r>
          </w:p>
        </w:tc>
        <w:tc>
          <w:tcPr>
            <w:tcW w:w="2076" w:type="dxa"/>
            <w:vAlign w:val="center"/>
          </w:tcPr>
          <w:p w14:paraId="01117E3B">
            <w:pPr>
              <w:jc w:val="right"/>
            </w:pPr>
            <w:r>
              <w:rPr>
                <w:rFonts w:hint="eastAsia"/>
              </w:rPr>
              <w:t>1,732,923.82</w:t>
            </w:r>
          </w:p>
        </w:tc>
      </w:tr>
      <w:tr w14:paraId="7544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0977DB">
            <w:r>
              <w:rPr>
                <w:rFonts w:hint="eastAsia"/>
              </w:rPr>
              <w:t>其中：基金申购款</w:t>
            </w:r>
          </w:p>
        </w:tc>
        <w:tc>
          <w:tcPr>
            <w:tcW w:w="2076" w:type="dxa"/>
            <w:vAlign w:val="center"/>
          </w:tcPr>
          <w:p w14:paraId="4CFFC64C">
            <w:pPr>
              <w:jc w:val="right"/>
            </w:pPr>
            <w:r>
              <w:rPr>
                <w:rFonts w:hint="eastAsia"/>
              </w:rPr>
              <w:t>3,659,906.84</w:t>
            </w:r>
          </w:p>
        </w:tc>
        <w:tc>
          <w:tcPr>
            <w:tcW w:w="2076" w:type="dxa"/>
            <w:vAlign w:val="center"/>
          </w:tcPr>
          <w:p w14:paraId="173BD05C">
            <w:pPr>
              <w:jc w:val="right"/>
            </w:pPr>
            <w:r>
              <w:rPr>
                <w:rFonts w:hint="eastAsia"/>
              </w:rPr>
              <w:t>2,841,397.61</w:t>
            </w:r>
          </w:p>
        </w:tc>
        <w:tc>
          <w:tcPr>
            <w:tcW w:w="2076" w:type="dxa"/>
            <w:vAlign w:val="center"/>
          </w:tcPr>
          <w:p w14:paraId="2B55C5A0">
            <w:pPr>
              <w:jc w:val="right"/>
            </w:pPr>
            <w:r>
              <w:rPr>
                <w:rFonts w:hint="eastAsia"/>
              </w:rPr>
              <w:t>6,501,304.45</w:t>
            </w:r>
          </w:p>
        </w:tc>
      </w:tr>
      <w:tr w14:paraId="671C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C966ED">
            <w:r>
              <w:rPr>
                <w:rFonts w:hint="eastAsia"/>
              </w:rPr>
              <w:t xml:space="preserve">      基金赎回款</w:t>
            </w:r>
          </w:p>
        </w:tc>
        <w:tc>
          <w:tcPr>
            <w:tcW w:w="2076" w:type="dxa"/>
            <w:vAlign w:val="center"/>
          </w:tcPr>
          <w:p w14:paraId="5C09A367">
            <w:pPr>
              <w:jc w:val="right"/>
            </w:pPr>
            <w:r>
              <w:rPr>
                <w:rFonts w:hint="eastAsia"/>
              </w:rPr>
              <w:t>-1,947,623.95</w:t>
            </w:r>
          </w:p>
        </w:tc>
        <w:tc>
          <w:tcPr>
            <w:tcW w:w="2076" w:type="dxa"/>
            <w:vAlign w:val="center"/>
          </w:tcPr>
          <w:p w14:paraId="26965FF1">
            <w:pPr>
              <w:jc w:val="right"/>
            </w:pPr>
            <w:r>
              <w:rPr>
                <w:rFonts w:hint="eastAsia"/>
              </w:rPr>
              <w:t>-2,820,756.68</w:t>
            </w:r>
          </w:p>
        </w:tc>
        <w:tc>
          <w:tcPr>
            <w:tcW w:w="2076" w:type="dxa"/>
            <w:vAlign w:val="center"/>
          </w:tcPr>
          <w:p w14:paraId="0D7EE3F1">
            <w:pPr>
              <w:jc w:val="right"/>
            </w:pPr>
            <w:r>
              <w:rPr>
                <w:rFonts w:hint="eastAsia"/>
              </w:rPr>
              <w:t>-4,768,380.63</w:t>
            </w:r>
          </w:p>
        </w:tc>
      </w:tr>
      <w:tr w14:paraId="2486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AD3517">
            <w:r>
              <w:rPr>
                <w:rFonts w:hint="eastAsia"/>
              </w:rPr>
              <w:t>本期已分配利润</w:t>
            </w:r>
          </w:p>
        </w:tc>
        <w:tc>
          <w:tcPr>
            <w:tcW w:w="2076" w:type="dxa"/>
            <w:vAlign w:val="center"/>
          </w:tcPr>
          <w:p w14:paraId="56B0208E">
            <w:pPr>
              <w:jc w:val="right"/>
            </w:pPr>
            <w:r>
              <w:rPr>
                <w:rFonts w:hint="eastAsia"/>
              </w:rPr>
              <w:t>-</w:t>
            </w:r>
          </w:p>
        </w:tc>
        <w:tc>
          <w:tcPr>
            <w:tcW w:w="2076" w:type="dxa"/>
            <w:vAlign w:val="center"/>
          </w:tcPr>
          <w:p w14:paraId="7E271951">
            <w:pPr>
              <w:jc w:val="right"/>
            </w:pPr>
            <w:r>
              <w:rPr>
                <w:rFonts w:hint="eastAsia"/>
              </w:rPr>
              <w:t>-</w:t>
            </w:r>
          </w:p>
        </w:tc>
        <w:tc>
          <w:tcPr>
            <w:tcW w:w="2076" w:type="dxa"/>
            <w:vAlign w:val="center"/>
          </w:tcPr>
          <w:p w14:paraId="340D9178">
            <w:pPr>
              <w:jc w:val="right"/>
            </w:pPr>
            <w:r>
              <w:rPr>
                <w:rFonts w:hint="eastAsia"/>
              </w:rPr>
              <w:t>-</w:t>
            </w:r>
          </w:p>
        </w:tc>
      </w:tr>
      <w:tr w14:paraId="63C1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A729DD">
            <w:r>
              <w:rPr>
                <w:rFonts w:hint="eastAsia"/>
              </w:rPr>
              <w:t>本期末</w:t>
            </w:r>
          </w:p>
        </w:tc>
        <w:tc>
          <w:tcPr>
            <w:tcW w:w="2076" w:type="dxa"/>
            <w:vAlign w:val="center"/>
          </w:tcPr>
          <w:p w14:paraId="09D08183">
            <w:pPr>
              <w:jc w:val="right"/>
            </w:pPr>
            <w:r>
              <w:rPr>
                <w:rFonts w:hint="eastAsia"/>
              </w:rPr>
              <w:t>8,327,940.04</w:t>
            </w:r>
          </w:p>
        </w:tc>
        <w:tc>
          <w:tcPr>
            <w:tcW w:w="2076" w:type="dxa"/>
            <w:vAlign w:val="center"/>
          </w:tcPr>
          <w:p w14:paraId="595D9253">
            <w:pPr>
              <w:jc w:val="right"/>
            </w:pPr>
            <w:r>
              <w:rPr>
                <w:rFonts w:hint="eastAsia"/>
              </w:rPr>
              <w:t>4,852,585.45</w:t>
            </w:r>
          </w:p>
        </w:tc>
        <w:tc>
          <w:tcPr>
            <w:tcW w:w="2076" w:type="dxa"/>
            <w:vAlign w:val="center"/>
          </w:tcPr>
          <w:p w14:paraId="16DF2755">
            <w:pPr>
              <w:jc w:val="right"/>
            </w:pPr>
            <w:r>
              <w:rPr>
                <w:rFonts w:hint="eastAsia"/>
              </w:rPr>
              <w:t>13,180,525.49</w:t>
            </w:r>
          </w:p>
        </w:tc>
      </w:tr>
    </w:tbl>
    <w:p w14:paraId="35FFACA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335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32E3808">
            <w:pPr>
              <w:jc w:val="center"/>
            </w:pPr>
            <w:r>
              <w:rPr>
                <w:rFonts w:hint="eastAsia"/>
                <w:b/>
              </w:rPr>
              <w:t>南方益稳稳健增利债券C</w:t>
            </w:r>
          </w:p>
        </w:tc>
      </w:tr>
      <w:tr w14:paraId="61B9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AD9CDF7">
            <w:pPr>
              <w:jc w:val="center"/>
            </w:pPr>
            <w:r>
              <w:rPr>
                <w:rFonts w:hint="eastAsia"/>
                <w:b/>
              </w:rPr>
              <w:t>项目</w:t>
            </w:r>
          </w:p>
        </w:tc>
        <w:tc>
          <w:tcPr>
            <w:tcW w:w="2076" w:type="dxa"/>
            <w:shd w:val="clear" w:color="auto" w:fill="BFBFBF"/>
            <w:vAlign w:val="center"/>
          </w:tcPr>
          <w:p w14:paraId="7DFBFC71">
            <w:pPr>
              <w:jc w:val="center"/>
            </w:pPr>
            <w:r>
              <w:rPr>
                <w:rFonts w:hint="eastAsia"/>
                <w:b/>
              </w:rPr>
              <w:t>已实现部分</w:t>
            </w:r>
          </w:p>
        </w:tc>
        <w:tc>
          <w:tcPr>
            <w:tcW w:w="2076" w:type="dxa"/>
            <w:shd w:val="clear" w:color="auto" w:fill="BFBFBF"/>
            <w:vAlign w:val="center"/>
          </w:tcPr>
          <w:p w14:paraId="0195F1F2">
            <w:pPr>
              <w:jc w:val="center"/>
            </w:pPr>
            <w:r>
              <w:rPr>
                <w:rFonts w:hint="eastAsia"/>
                <w:b/>
              </w:rPr>
              <w:t>未实现部分</w:t>
            </w:r>
          </w:p>
        </w:tc>
        <w:tc>
          <w:tcPr>
            <w:tcW w:w="2076" w:type="dxa"/>
            <w:shd w:val="clear" w:color="auto" w:fill="BFBFBF"/>
            <w:vAlign w:val="center"/>
          </w:tcPr>
          <w:p w14:paraId="4C406EDD">
            <w:pPr>
              <w:jc w:val="center"/>
            </w:pPr>
            <w:r>
              <w:rPr>
                <w:rFonts w:hint="eastAsia"/>
                <w:b/>
              </w:rPr>
              <w:t>未分配利润合计</w:t>
            </w:r>
          </w:p>
        </w:tc>
      </w:tr>
      <w:tr w14:paraId="3E09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BE585">
            <w:r>
              <w:rPr>
                <w:rFonts w:hint="eastAsia"/>
              </w:rPr>
              <w:t>基金合同生效日</w:t>
            </w:r>
          </w:p>
        </w:tc>
        <w:tc>
          <w:tcPr>
            <w:tcW w:w="2076" w:type="dxa"/>
            <w:vAlign w:val="center"/>
          </w:tcPr>
          <w:p w14:paraId="52707FCD">
            <w:pPr>
              <w:jc w:val="right"/>
            </w:pPr>
            <w:r>
              <w:rPr>
                <w:rFonts w:hint="eastAsia"/>
              </w:rPr>
              <w:t>-</w:t>
            </w:r>
          </w:p>
        </w:tc>
        <w:tc>
          <w:tcPr>
            <w:tcW w:w="2076" w:type="dxa"/>
            <w:vAlign w:val="center"/>
          </w:tcPr>
          <w:p w14:paraId="4F4E7A48">
            <w:pPr>
              <w:jc w:val="right"/>
            </w:pPr>
            <w:r>
              <w:rPr>
                <w:rFonts w:hint="eastAsia"/>
              </w:rPr>
              <w:t>-</w:t>
            </w:r>
          </w:p>
        </w:tc>
        <w:tc>
          <w:tcPr>
            <w:tcW w:w="2076" w:type="dxa"/>
            <w:vAlign w:val="center"/>
          </w:tcPr>
          <w:p w14:paraId="18CB994C">
            <w:pPr>
              <w:jc w:val="right"/>
            </w:pPr>
            <w:r>
              <w:rPr>
                <w:rFonts w:hint="eastAsia"/>
              </w:rPr>
              <w:t>-</w:t>
            </w:r>
          </w:p>
        </w:tc>
      </w:tr>
      <w:tr w14:paraId="4B4D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323B33">
            <w:r>
              <w:rPr>
                <w:rFonts w:hint="eastAsia"/>
              </w:rPr>
              <w:t>加：会计政策变更</w:t>
            </w:r>
          </w:p>
        </w:tc>
        <w:tc>
          <w:tcPr>
            <w:tcW w:w="2076" w:type="dxa"/>
            <w:vAlign w:val="center"/>
          </w:tcPr>
          <w:p w14:paraId="33471A28">
            <w:pPr>
              <w:jc w:val="right"/>
            </w:pPr>
            <w:r>
              <w:rPr>
                <w:rFonts w:hint="eastAsia"/>
              </w:rPr>
              <w:t>-</w:t>
            </w:r>
          </w:p>
        </w:tc>
        <w:tc>
          <w:tcPr>
            <w:tcW w:w="2076" w:type="dxa"/>
            <w:vAlign w:val="center"/>
          </w:tcPr>
          <w:p w14:paraId="0D787A91">
            <w:pPr>
              <w:jc w:val="right"/>
            </w:pPr>
            <w:r>
              <w:rPr>
                <w:rFonts w:hint="eastAsia"/>
              </w:rPr>
              <w:t>-</w:t>
            </w:r>
          </w:p>
        </w:tc>
        <w:tc>
          <w:tcPr>
            <w:tcW w:w="2076" w:type="dxa"/>
            <w:vAlign w:val="center"/>
          </w:tcPr>
          <w:p w14:paraId="6C5D75D2">
            <w:pPr>
              <w:jc w:val="right"/>
            </w:pPr>
            <w:r>
              <w:rPr>
                <w:rFonts w:hint="eastAsia"/>
              </w:rPr>
              <w:t>-</w:t>
            </w:r>
          </w:p>
        </w:tc>
      </w:tr>
      <w:tr w14:paraId="0D4C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C15747">
            <w:r>
              <w:rPr>
                <w:rFonts w:hint="eastAsia"/>
              </w:rPr>
              <w:t xml:space="preserve">      前期差错更正</w:t>
            </w:r>
          </w:p>
        </w:tc>
        <w:tc>
          <w:tcPr>
            <w:tcW w:w="2076" w:type="dxa"/>
            <w:vAlign w:val="center"/>
          </w:tcPr>
          <w:p w14:paraId="03F8CCA6">
            <w:pPr>
              <w:jc w:val="right"/>
            </w:pPr>
            <w:r>
              <w:rPr>
                <w:rFonts w:hint="eastAsia"/>
              </w:rPr>
              <w:t>-</w:t>
            </w:r>
          </w:p>
        </w:tc>
        <w:tc>
          <w:tcPr>
            <w:tcW w:w="2076" w:type="dxa"/>
            <w:vAlign w:val="center"/>
          </w:tcPr>
          <w:p w14:paraId="59CFAFC6">
            <w:pPr>
              <w:jc w:val="right"/>
            </w:pPr>
            <w:r>
              <w:rPr>
                <w:rFonts w:hint="eastAsia"/>
              </w:rPr>
              <w:t>-</w:t>
            </w:r>
          </w:p>
        </w:tc>
        <w:tc>
          <w:tcPr>
            <w:tcW w:w="2076" w:type="dxa"/>
            <w:vAlign w:val="center"/>
          </w:tcPr>
          <w:p w14:paraId="2AB7B5A7">
            <w:pPr>
              <w:jc w:val="right"/>
            </w:pPr>
            <w:r>
              <w:rPr>
                <w:rFonts w:hint="eastAsia"/>
              </w:rPr>
              <w:t>-</w:t>
            </w:r>
          </w:p>
        </w:tc>
      </w:tr>
      <w:tr w14:paraId="5298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BCBA2A">
            <w:r>
              <w:rPr>
                <w:rFonts w:hint="eastAsia"/>
              </w:rPr>
              <w:t xml:space="preserve">      其他</w:t>
            </w:r>
          </w:p>
        </w:tc>
        <w:tc>
          <w:tcPr>
            <w:tcW w:w="2076" w:type="dxa"/>
            <w:vAlign w:val="center"/>
          </w:tcPr>
          <w:p w14:paraId="64563E74">
            <w:pPr>
              <w:jc w:val="right"/>
            </w:pPr>
            <w:r>
              <w:rPr>
                <w:rFonts w:hint="eastAsia"/>
              </w:rPr>
              <w:t>-</w:t>
            </w:r>
          </w:p>
        </w:tc>
        <w:tc>
          <w:tcPr>
            <w:tcW w:w="2076" w:type="dxa"/>
            <w:vAlign w:val="center"/>
          </w:tcPr>
          <w:p w14:paraId="1EC52EF6">
            <w:pPr>
              <w:jc w:val="right"/>
            </w:pPr>
            <w:r>
              <w:rPr>
                <w:rFonts w:hint="eastAsia"/>
              </w:rPr>
              <w:t>-</w:t>
            </w:r>
          </w:p>
        </w:tc>
        <w:tc>
          <w:tcPr>
            <w:tcW w:w="2076" w:type="dxa"/>
            <w:vAlign w:val="center"/>
          </w:tcPr>
          <w:p w14:paraId="72B5C267">
            <w:pPr>
              <w:jc w:val="right"/>
            </w:pPr>
            <w:r>
              <w:rPr>
                <w:rFonts w:hint="eastAsia"/>
              </w:rPr>
              <w:t>-</w:t>
            </w:r>
          </w:p>
        </w:tc>
      </w:tr>
      <w:tr w14:paraId="2087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570BE8">
            <w:r>
              <w:rPr>
                <w:rFonts w:hint="eastAsia"/>
              </w:rPr>
              <w:t>本期期初</w:t>
            </w:r>
          </w:p>
        </w:tc>
        <w:tc>
          <w:tcPr>
            <w:tcW w:w="2076" w:type="dxa"/>
            <w:vAlign w:val="center"/>
          </w:tcPr>
          <w:p w14:paraId="4F83ACDA">
            <w:pPr>
              <w:jc w:val="right"/>
            </w:pPr>
            <w:r>
              <w:rPr>
                <w:rFonts w:hint="eastAsia"/>
              </w:rPr>
              <w:t>-</w:t>
            </w:r>
          </w:p>
        </w:tc>
        <w:tc>
          <w:tcPr>
            <w:tcW w:w="2076" w:type="dxa"/>
            <w:vAlign w:val="center"/>
          </w:tcPr>
          <w:p w14:paraId="2F709D86">
            <w:pPr>
              <w:jc w:val="right"/>
            </w:pPr>
            <w:r>
              <w:rPr>
                <w:rFonts w:hint="eastAsia"/>
              </w:rPr>
              <w:t>-</w:t>
            </w:r>
          </w:p>
        </w:tc>
        <w:tc>
          <w:tcPr>
            <w:tcW w:w="2076" w:type="dxa"/>
            <w:vAlign w:val="center"/>
          </w:tcPr>
          <w:p w14:paraId="6C5144E7">
            <w:pPr>
              <w:jc w:val="right"/>
            </w:pPr>
            <w:r>
              <w:rPr>
                <w:rFonts w:hint="eastAsia"/>
              </w:rPr>
              <w:t>-</w:t>
            </w:r>
          </w:p>
        </w:tc>
      </w:tr>
      <w:tr w14:paraId="36D5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7413C3">
            <w:r>
              <w:rPr>
                <w:rFonts w:hint="eastAsia"/>
              </w:rPr>
              <w:t>本期利润</w:t>
            </w:r>
          </w:p>
        </w:tc>
        <w:tc>
          <w:tcPr>
            <w:tcW w:w="2076" w:type="dxa"/>
            <w:vAlign w:val="center"/>
          </w:tcPr>
          <w:p w14:paraId="0578F557">
            <w:pPr>
              <w:jc w:val="right"/>
            </w:pPr>
            <w:r>
              <w:rPr>
                <w:rFonts w:hint="eastAsia"/>
              </w:rPr>
              <w:t>27,979,955.75</w:t>
            </w:r>
          </w:p>
        </w:tc>
        <w:tc>
          <w:tcPr>
            <w:tcW w:w="2076" w:type="dxa"/>
            <w:vAlign w:val="center"/>
          </w:tcPr>
          <w:p w14:paraId="113182C1">
            <w:pPr>
              <w:jc w:val="right"/>
            </w:pPr>
            <w:r>
              <w:rPr>
                <w:rFonts w:hint="eastAsia"/>
              </w:rPr>
              <w:t>34,508,892.03</w:t>
            </w:r>
          </w:p>
        </w:tc>
        <w:tc>
          <w:tcPr>
            <w:tcW w:w="2076" w:type="dxa"/>
            <w:vAlign w:val="center"/>
          </w:tcPr>
          <w:p w14:paraId="18748133">
            <w:pPr>
              <w:jc w:val="right"/>
            </w:pPr>
            <w:r>
              <w:rPr>
                <w:rFonts w:hint="eastAsia"/>
              </w:rPr>
              <w:t>62,488,847.78</w:t>
            </w:r>
          </w:p>
        </w:tc>
      </w:tr>
      <w:tr w14:paraId="5EB1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065114">
            <w:r>
              <w:rPr>
                <w:rFonts w:hint="eastAsia"/>
              </w:rPr>
              <w:t>本期基金份额交易产生的变动数</w:t>
            </w:r>
          </w:p>
        </w:tc>
        <w:tc>
          <w:tcPr>
            <w:tcW w:w="2076" w:type="dxa"/>
            <w:vAlign w:val="center"/>
          </w:tcPr>
          <w:p w14:paraId="4B98D0A2">
            <w:pPr>
              <w:jc w:val="right"/>
            </w:pPr>
            <w:r>
              <w:rPr>
                <w:rFonts w:hint="eastAsia"/>
              </w:rPr>
              <w:t>-8,134,313.05</w:t>
            </w:r>
          </w:p>
        </w:tc>
        <w:tc>
          <w:tcPr>
            <w:tcW w:w="2076" w:type="dxa"/>
            <w:vAlign w:val="center"/>
          </w:tcPr>
          <w:p w14:paraId="22E4CCCF">
            <w:pPr>
              <w:jc w:val="right"/>
            </w:pPr>
            <w:r>
              <w:rPr>
                <w:rFonts w:hint="eastAsia"/>
              </w:rPr>
              <w:t>-21,304,082.49</w:t>
            </w:r>
          </w:p>
        </w:tc>
        <w:tc>
          <w:tcPr>
            <w:tcW w:w="2076" w:type="dxa"/>
            <w:vAlign w:val="center"/>
          </w:tcPr>
          <w:p w14:paraId="0960BE9B">
            <w:pPr>
              <w:jc w:val="right"/>
            </w:pPr>
            <w:r>
              <w:rPr>
                <w:rFonts w:hint="eastAsia"/>
              </w:rPr>
              <w:t>-29,438,395.54</w:t>
            </w:r>
          </w:p>
        </w:tc>
      </w:tr>
      <w:tr w14:paraId="6696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B73D8B">
            <w:r>
              <w:rPr>
                <w:rFonts w:hint="eastAsia"/>
              </w:rPr>
              <w:t>其中：基金申购款</w:t>
            </w:r>
          </w:p>
        </w:tc>
        <w:tc>
          <w:tcPr>
            <w:tcW w:w="2076" w:type="dxa"/>
            <w:vAlign w:val="center"/>
          </w:tcPr>
          <w:p w14:paraId="04960692">
            <w:pPr>
              <w:jc w:val="right"/>
            </w:pPr>
            <w:r>
              <w:rPr>
                <w:rFonts w:hint="eastAsia"/>
              </w:rPr>
              <w:t>3,307,272.24</w:t>
            </w:r>
          </w:p>
        </w:tc>
        <w:tc>
          <w:tcPr>
            <w:tcW w:w="2076" w:type="dxa"/>
            <w:vAlign w:val="center"/>
          </w:tcPr>
          <w:p w14:paraId="268BEA32">
            <w:pPr>
              <w:jc w:val="right"/>
            </w:pPr>
            <w:r>
              <w:rPr>
                <w:rFonts w:hint="eastAsia"/>
              </w:rPr>
              <w:t>1,274,852.09</w:t>
            </w:r>
          </w:p>
        </w:tc>
        <w:tc>
          <w:tcPr>
            <w:tcW w:w="2076" w:type="dxa"/>
            <w:vAlign w:val="center"/>
          </w:tcPr>
          <w:p w14:paraId="7C36578B">
            <w:pPr>
              <w:jc w:val="right"/>
            </w:pPr>
            <w:r>
              <w:rPr>
                <w:rFonts w:hint="eastAsia"/>
              </w:rPr>
              <w:t>4,582,124.33</w:t>
            </w:r>
          </w:p>
        </w:tc>
      </w:tr>
      <w:tr w14:paraId="218F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0BEA4">
            <w:r>
              <w:rPr>
                <w:rFonts w:hint="eastAsia"/>
              </w:rPr>
              <w:t xml:space="preserve">      基金赎回款</w:t>
            </w:r>
          </w:p>
        </w:tc>
        <w:tc>
          <w:tcPr>
            <w:tcW w:w="2076" w:type="dxa"/>
            <w:vAlign w:val="center"/>
          </w:tcPr>
          <w:p w14:paraId="6F0A5DEE">
            <w:pPr>
              <w:jc w:val="right"/>
            </w:pPr>
            <w:r>
              <w:rPr>
                <w:rFonts w:hint="eastAsia"/>
              </w:rPr>
              <w:t>-11,441,585.29</w:t>
            </w:r>
          </w:p>
        </w:tc>
        <w:tc>
          <w:tcPr>
            <w:tcW w:w="2076" w:type="dxa"/>
            <w:vAlign w:val="center"/>
          </w:tcPr>
          <w:p w14:paraId="0E70BE48">
            <w:pPr>
              <w:jc w:val="right"/>
            </w:pPr>
            <w:r>
              <w:rPr>
                <w:rFonts w:hint="eastAsia"/>
              </w:rPr>
              <w:t>-22,578,934.58</w:t>
            </w:r>
          </w:p>
        </w:tc>
        <w:tc>
          <w:tcPr>
            <w:tcW w:w="2076" w:type="dxa"/>
            <w:vAlign w:val="center"/>
          </w:tcPr>
          <w:p w14:paraId="019387DA">
            <w:pPr>
              <w:jc w:val="right"/>
            </w:pPr>
            <w:r>
              <w:rPr>
                <w:rFonts w:hint="eastAsia"/>
              </w:rPr>
              <w:t>-34,020,519.87</w:t>
            </w:r>
          </w:p>
        </w:tc>
      </w:tr>
      <w:tr w14:paraId="3068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71016C">
            <w:r>
              <w:rPr>
                <w:rFonts w:hint="eastAsia"/>
              </w:rPr>
              <w:t>本期已分配利润</w:t>
            </w:r>
          </w:p>
        </w:tc>
        <w:tc>
          <w:tcPr>
            <w:tcW w:w="2076" w:type="dxa"/>
            <w:vAlign w:val="center"/>
          </w:tcPr>
          <w:p w14:paraId="074A8315">
            <w:pPr>
              <w:jc w:val="right"/>
            </w:pPr>
            <w:r>
              <w:rPr>
                <w:rFonts w:hint="eastAsia"/>
              </w:rPr>
              <w:t>-</w:t>
            </w:r>
          </w:p>
        </w:tc>
        <w:tc>
          <w:tcPr>
            <w:tcW w:w="2076" w:type="dxa"/>
            <w:vAlign w:val="center"/>
          </w:tcPr>
          <w:p w14:paraId="340EEB27">
            <w:pPr>
              <w:jc w:val="right"/>
            </w:pPr>
            <w:r>
              <w:rPr>
                <w:rFonts w:hint="eastAsia"/>
              </w:rPr>
              <w:t>-</w:t>
            </w:r>
          </w:p>
        </w:tc>
        <w:tc>
          <w:tcPr>
            <w:tcW w:w="2076" w:type="dxa"/>
            <w:vAlign w:val="center"/>
          </w:tcPr>
          <w:p w14:paraId="3F20059E">
            <w:pPr>
              <w:jc w:val="right"/>
            </w:pPr>
            <w:r>
              <w:rPr>
                <w:rFonts w:hint="eastAsia"/>
              </w:rPr>
              <w:t>-</w:t>
            </w:r>
          </w:p>
        </w:tc>
      </w:tr>
      <w:tr w14:paraId="2070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8C62A5">
            <w:r>
              <w:rPr>
                <w:rFonts w:hint="eastAsia"/>
              </w:rPr>
              <w:t>本期末</w:t>
            </w:r>
          </w:p>
        </w:tc>
        <w:tc>
          <w:tcPr>
            <w:tcW w:w="2076" w:type="dxa"/>
            <w:vAlign w:val="center"/>
          </w:tcPr>
          <w:p w14:paraId="29188ACD">
            <w:pPr>
              <w:jc w:val="right"/>
            </w:pPr>
            <w:r>
              <w:rPr>
                <w:rFonts w:hint="eastAsia"/>
              </w:rPr>
              <w:t>19,845,642.70</w:t>
            </w:r>
          </w:p>
        </w:tc>
        <w:tc>
          <w:tcPr>
            <w:tcW w:w="2076" w:type="dxa"/>
            <w:vAlign w:val="center"/>
          </w:tcPr>
          <w:p w14:paraId="2F777AA8">
            <w:pPr>
              <w:jc w:val="right"/>
            </w:pPr>
            <w:r>
              <w:rPr>
                <w:rFonts w:hint="eastAsia"/>
              </w:rPr>
              <w:t>13,204,809.54</w:t>
            </w:r>
          </w:p>
        </w:tc>
        <w:tc>
          <w:tcPr>
            <w:tcW w:w="2076" w:type="dxa"/>
            <w:vAlign w:val="center"/>
          </w:tcPr>
          <w:p w14:paraId="7B66C583">
            <w:pPr>
              <w:jc w:val="right"/>
            </w:pPr>
            <w:r>
              <w:rPr>
                <w:rFonts w:hint="eastAsia"/>
              </w:rPr>
              <w:t>33,050,452.24</w:t>
            </w:r>
          </w:p>
        </w:tc>
      </w:tr>
    </w:tbl>
    <w:p w14:paraId="737B6777">
      <w:pPr>
        <w:pStyle w:val="35"/>
      </w:pPr>
      <w:bookmarkStart w:id="85" w:name="_Toc85"/>
      <w:r>
        <w:t xml:space="preserve"> 存款利息收入</w:t>
      </w:r>
      <w:bookmarkEnd w:id="85"/>
    </w:p>
    <w:p w14:paraId="3FA450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3D50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4C8542DA">
            <w:pPr>
              <w:jc w:val="center"/>
            </w:pPr>
            <w:r>
              <w:rPr>
                <w:rFonts w:hint="eastAsia"/>
                <w:b/>
              </w:rPr>
              <w:t>项目</w:t>
            </w:r>
          </w:p>
        </w:tc>
        <w:tc>
          <w:tcPr>
            <w:tcW w:w="5814" w:type="dxa"/>
            <w:shd w:val="clear" w:color="auto" w:fill="BFBFBF"/>
            <w:vAlign w:val="center"/>
          </w:tcPr>
          <w:p w14:paraId="1E4465F9">
            <w:pPr>
              <w:jc w:val="center"/>
            </w:pPr>
            <w:r>
              <w:rPr>
                <w:rFonts w:hint="eastAsia"/>
                <w:b/>
              </w:rPr>
              <w:t>本期2025年8月6日（基金合同生效日）至2025年12月31日</w:t>
            </w:r>
          </w:p>
        </w:tc>
      </w:tr>
      <w:tr w14:paraId="655A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5504DE0">
            <w:r>
              <w:rPr>
                <w:rFonts w:hint="eastAsia"/>
              </w:rPr>
              <w:t>活期存款利息收入</w:t>
            </w:r>
          </w:p>
        </w:tc>
        <w:tc>
          <w:tcPr>
            <w:tcW w:w="5814" w:type="dxa"/>
            <w:vAlign w:val="center"/>
          </w:tcPr>
          <w:p w14:paraId="5756CA2A">
            <w:pPr>
              <w:jc w:val="right"/>
            </w:pPr>
            <w:r>
              <w:rPr>
                <w:rFonts w:hint="eastAsia"/>
              </w:rPr>
              <w:t>228,980.05</w:t>
            </w:r>
          </w:p>
        </w:tc>
      </w:tr>
      <w:tr w14:paraId="1E86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967E11E">
            <w:r>
              <w:rPr>
                <w:rFonts w:hint="eastAsia"/>
              </w:rPr>
              <w:t>定期存款利息收入</w:t>
            </w:r>
          </w:p>
        </w:tc>
        <w:tc>
          <w:tcPr>
            <w:tcW w:w="5814" w:type="dxa"/>
            <w:vAlign w:val="center"/>
          </w:tcPr>
          <w:p w14:paraId="784078BE">
            <w:pPr>
              <w:jc w:val="right"/>
            </w:pPr>
            <w:r>
              <w:rPr>
                <w:rFonts w:hint="eastAsia"/>
              </w:rPr>
              <w:t>3,450,476.39</w:t>
            </w:r>
          </w:p>
        </w:tc>
      </w:tr>
      <w:tr w14:paraId="12FA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30F7368">
            <w:r>
              <w:rPr>
                <w:rFonts w:hint="eastAsia"/>
              </w:rPr>
              <w:t>其他存款利息收入</w:t>
            </w:r>
          </w:p>
        </w:tc>
        <w:tc>
          <w:tcPr>
            <w:tcW w:w="5814" w:type="dxa"/>
            <w:vAlign w:val="center"/>
          </w:tcPr>
          <w:p w14:paraId="699A1E19">
            <w:pPr>
              <w:jc w:val="right"/>
            </w:pPr>
            <w:r>
              <w:rPr>
                <w:rFonts w:hint="eastAsia"/>
              </w:rPr>
              <w:t>-</w:t>
            </w:r>
          </w:p>
        </w:tc>
      </w:tr>
      <w:tr w14:paraId="5461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8E15CA2">
            <w:r>
              <w:rPr>
                <w:rFonts w:hint="eastAsia"/>
              </w:rPr>
              <w:t>结算备付金利息收入</w:t>
            </w:r>
          </w:p>
        </w:tc>
        <w:tc>
          <w:tcPr>
            <w:tcW w:w="5814" w:type="dxa"/>
            <w:vAlign w:val="center"/>
          </w:tcPr>
          <w:p w14:paraId="0CCCE3B7">
            <w:pPr>
              <w:jc w:val="right"/>
            </w:pPr>
            <w:r>
              <w:rPr>
                <w:rFonts w:hint="eastAsia"/>
              </w:rPr>
              <w:t>32,374.76</w:t>
            </w:r>
          </w:p>
        </w:tc>
      </w:tr>
      <w:tr w14:paraId="0BB0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6B15F561">
            <w:r>
              <w:rPr>
                <w:rFonts w:hint="eastAsia"/>
              </w:rPr>
              <w:t>其他</w:t>
            </w:r>
          </w:p>
        </w:tc>
        <w:tc>
          <w:tcPr>
            <w:tcW w:w="5814" w:type="dxa"/>
            <w:vAlign w:val="center"/>
          </w:tcPr>
          <w:p w14:paraId="1DF5823F">
            <w:pPr>
              <w:jc w:val="right"/>
            </w:pPr>
            <w:r>
              <w:rPr>
                <w:rFonts w:hint="eastAsia"/>
              </w:rPr>
              <w:t>12,011.26</w:t>
            </w:r>
          </w:p>
        </w:tc>
      </w:tr>
      <w:tr w14:paraId="3EC0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0B38676">
            <w:r>
              <w:rPr>
                <w:rFonts w:hint="eastAsia"/>
              </w:rPr>
              <w:t>合计</w:t>
            </w:r>
          </w:p>
        </w:tc>
        <w:tc>
          <w:tcPr>
            <w:tcW w:w="5814" w:type="dxa"/>
            <w:vAlign w:val="center"/>
          </w:tcPr>
          <w:p w14:paraId="27A05E9D">
            <w:pPr>
              <w:jc w:val="right"/>
            </w:pPr>
            <w:r>
              <w:rPr>
                <w:rFonts w:hint="eastAsia"/>
              </w:rPr>
              <w:t>3,723,842.46</w:t>
            </w:r>
          </w:p>
        </w:tc>
      </w:tr>
    </w:tbl>
    <w:p w14:paraId="1D5CF20E">
      <w:pPr>
        <w:pStyle w:val="35"/>
      </w:pPr>
      <w:bookmarkStart w:id="86" w:name="_Toc86"/>
      <w:r>
        <w:t>股票投资收益</w:t>
      </w:r>
      <w:bookmarkEnd w:id="86"/>
    </w:p>
    <w:p w14:paraId="1009883A">
      <w:pPr>
        <w:pStyle w:val="36"/>
      </w:pPr>
      <w:bookmarkStart w:id="87" w:name="_Toc87"/>
      <w:r>
        <w:t>股票投资收益项目构成</w:t>
      </w:r>
      <w:bookmarkEnd w:id="87"/>
    </w:p>
    <w:p w14:paraId="6E8AB2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6D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FA5AAE0">
            <w:pPr>
              <w:jc w:val="center"/>
            </w:pPr>
            <w:r>
              <w:rPr>
                <w:rFonts w:hint="eastAsia"/>
                <w:b/>
              </w:rPr>
              <w:t>项目</w:t>
            </w:r>
          </w:p>
        </w:tc>
        <w:tc>
          <w:tcPr>
            <w:tcW w:w="4153" w:type="dxa"/>
            <w:shd w:val="clear" w:color="auto" w:fill="BFBFBF"/>
            <w:vAlign w:val="center"/>
          </w:tcPr>
          <w:p w14:paraId="371835EF">
            <w:pPr>
              <w:jc w:val="center"/>
            </w:pPr>
            <w:r>
              <w:rPr>
                <w:rFonts w:hint="eastAsia"/>
                <w:b/>
              </w:rPr>
              <w:t>本期2025年8月6日（基金合同生效日）至2025年12月31日</w:t>
            </w:r>
          </w:p>
        </w:tc>
      </w:tr>
      <w:tr w14:paraId="5955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859702">
            <w:r>
              <w:rPr>
                <w:rFonts w:hint="eastAsia"/>
              </w:rPr>
              <w:t>股票投资收益——买卖股票差价收入</w:t>
            </w:r>
          </w:p>
        </w:tc>
        <w:tc>
          <w:tcPr>
            <w:tcW w:w="4153" w:type="dxa"/>
            <w:vAlign w:val="center"/>
          </w:tcPr>
          <w:p w14:paraId="13960FF9">
            <w:pPr>
              <w:jc w:val="right"/>
            </w:pPr>
            <w:r>
              <w:rPr>
                <w:rFonts w:hint="eastAsia"/>
              </w:rPr>
              <w:t>22,036,188.29</w:t>
            </w:r>
          </w:p>
        </w:tc>
      </w:tr>
      <w:tr w14:paraId="54EF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63CC4B">
            <w:r>
              <w:rPr>
                <w:rFonts w:hint="eastAsia"/>
              </w:rPr>
              <w:t>股票投资收益——赎回差价收入</w:t>
            </w:r>
          </w:p>
        </w:tc>
        <w:tc>
          <w:tcPr>
            <w:tcW w:w="4153" w:type="dxa"/>
            <w:vAlign w:val="center"/>
          </w:tcPr>
          <w:p w14:paraId="5DACE29E">
            <w:pPr>
              <w:jc w:val="right"/>
            </w:pPr>
            <w:r>
              <w:rPr>
                <w:rFonts w:hint="eastAsia"/>
              </w:rPr>
              <w:t>-</w:t>
            </w:r>
          </w:p>
        </w:tc>
      </w:tr>
      <w:tr w14:paraId="6623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C58160">
            <w:r>
              <w:rPr>
                <w:rFonts w:hint="eastAsia"/>
              </w:rPr>
              <w:t>股票投资收益——申购差价收入</w:t>
            </w:r>
          </w:p>
        </w:tc>
        <w:tc>
          <w:tcPr>
            <w:tcW w:w="4153" w:type="dxa"/>
            <w:vAlign w:val="center"/>
          </w:tcPr>
          <w:p w14:paraId="7BFEB1E4">
            <w:pPr>
              <w:jc w:val="right"/>
            </w:pPr>
            <w:r>
              <w:rPr>
                <w:rFonts w:hint="eastAsia"/>
              </w:rPr>
              <w:t>-</w:t>
            </w:r>
          </w:p>
        </w:tc>
      </w:tr>
      <w:tr w14:paraId="4E2D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591D15">
            <w:r>
              <w:rPr>
                <w:rFonts w:hint="eastAsia"/>
              </w:rPr>
              <w:t>股票投资收益——证券出借差价收入</w:t>
            </w:r>
          </w:p>
        </w:tc>
        <w:tc>
          <w:tcPr>
            <w:tcW w:w="4153" w:type="dxa"/>
            <w:vAlign w:val="center"/>
          </w:tcPr>
          <w:p w14:paraId="43CAEC76">
            <w:pPr>
              <w:jc w:val="right"/>
            </w:pPr>
            <w:r>
              <w:rPr>
                <w:rFonts w:hint="eastAsia"/>
              </w:rPr>
              <w:t>-</w:t>
            </w:r>
          </w:p>
        </w:tc>
      </w:tr>
      <w:tr w14:paraId="67D6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2276AC">
            <w:r>
              <w:rPr>
                <w:rFonts w:hint="eastAsia"/>
              </w:rPr>
              <w:t>合计</w:t>
            </w:r>
          </w:p>
        </w:tc>
        <w:tc>
          <w:tcPr>
            <w:tcW w:w="4153" w:type="dxa"/>
            <w:vAlign w:val="center"/>
          </w:tcPr>
          <w:p w14:paraId="145A28E7">
            <w:pPr>
              <w:jc w:val="right"/>
            </w:pPr>
            <w:r>
              <w:rPr>
                <w:rFonts w:hint="eastAsia"/>
              </w:rPr>
              <w:t>22,036,188.29</w:t>
            </w:r>
          </w:p>
        </w:tc>
      </w:tr>
    </w:tbl>
    <w:p w14:paraId="2FEDA17A">
      <w:pPr>
        <w:pStyle w:val="36"/>
      </w:pPr>
      <w:bookmarkStart w:id="88" w:name="_Toc88"/>
      <w:r>
        <w:t>股票投资收益——买卖股票差价收入</w:t>
      </w:r>
      <w:bookmarkEnd w:id="88"/>
    </w:p>
    <w:p w14:paraId="3A3B9A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8D3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20ED612">
            <w:pPr>
              <w:jc w:val="center"/>
            </w:pPr>
            <w:r>
              <w:rPr>
                <w:rFonts w:hint="eastAsia"/>
                <w:b/>
              </w:rPr>
              <w:t>项目</w:t>
            </w:r>
          </w:p>
        </w:tc>
        <w:tc>
          <w:tcPr>
            <w:tcW w:w="4153" w:type="dxa"/>
            <w:shd w:val="clear" w:color="auto" w:fill="BFBFBF"/>
            <w:vAlign w:val="center"/>
          </w:tcPr>
          <w:p w14:paraId="218DFCF1">
            <w:pPr>
              <w:jc w:val="center"/>
            </w:pPr>
            <w:r>
              <w:rPr>
                <w:rFonts w:hint="eastAsia"/>
                <w:b/>
              </w:rPr>
              <w:t>本期2025年8月6日（基金合同生效日）至2025年12月31日</w:t>
            </w:r>
          </w:p>
        </w:tc>
      </w:tr>
      <w:tr w14:paraId="614D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5EADB6">
            <w:r>
              <w:rPr>
                <w:rFonts w:hint="eastAsia"/>
              </w:rPr>
              <w:t>卖出股票成交总额</w:t>
            </w:r>
          </w:p>
        </w:tc>
        <w:tc>
          <w:tcPr>
            <w:tcW w:w="4153" w:type="dxa"/>
            <w:vAlign w:val="center"/>
          </w:tcPr>
          <w:p w14:paraId="32DF0427">
            <w:pPr>
              <w:jc w:val="right"/>
            </w:pPr>
            <w:r>
              <w:rPr>
                <w:rFonts w:hint="eastAsia"/>
              </w:rPr>
              <w:t>259,408,959.64</w:t>
            </w:r>
          </w:p>
        </w:tc>
      </w:tr>
      <w:tr w14:paraId="76AB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2A0125">
            <w:r>
              <w:rPr>
                <w:rFonts w:hint="eastAsia"/>
              </w:rPr>
              <w:t>减：卖出股票成本总额</w:t>
            </w:r>
          </w:p>
        </w:tc>
        <w:tc>
          <w:tcPr>
            <w:tcW w:w="4153" w:type="dxa"/>
            <w:vAlign w:val="center"/>
          </w:tcPr>
          <w:p w14:paraId="4614F961">
            <w:pPr>
              <w:jc w:val="right"/>
            </w:pPr>
            <w:r>
              <w:rPr>
                <w:rFonts w:hint="eastAsia"/>
              </w:rPr>
              <w:t>236,519,426.79</w:t>
            </w:r>
          </w:p>
        </w:tc>
      </w:tr>
      <w:tr w14:paraId="25EC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80411B">
            <w:r>
              <w:rPr>
                <w:rFonts w:hint="eastAsia"/>
              </w:rPr>
              <w:t>减：交易费用</w:t>
            </w:r>
          </w:p>
        </w:tc>
        <w:tc>
          <w:tcPr>
            <w:tcW w:w="4153" w:type="dxa"/>
            <w:vAlign w:val="center"/>
          </w:tcPr>
          <w:p w14:paraId="75313F2F">
            <w:pPr>
              <w:jc w:val="right"/>
            </w:pPr>
            <w:r>
              <w:rPr>
                <w:rFonts w:hint="eastAsia"/>
              </w:rPr>
              <w:t>853,344.56</w:t>
            </w:r>
          </w:p>
        </w:tc>
      </w:tr>
      <w:tr w14:paraId="3BE9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B3DE2D">
            <w:r>
              <w:rPr>
                <w:rFonts w:hint="eastAsia"/>
              </w:rPr>
              <w:t>买卖股票差价收入</w:t>
            </w:r>
          </w:p>
        </w:tc>
        <w:tc>
          <w:tcPr>
            <w:tcW w:w="4153" w:type="dxa"/>
            <w:vAlign w:val="center"/>
          </w:tcPr>
          <w:p w14:paraId="2D79E614">
            <w:pPr>
              <w:jc w:val="right"/>
            </w:pPr>
            <w:r>
              <w:rPr>
                <w:rFonts w:hint="eastAsia"/>
              </w:rPr>
              <w:t>22,036,188.29</w:t>
            </w:r>
          </w:p>
        </w:tc>
      </w:tr>
    </w:tbl>
    <w:p w14:paraId="382E9739">
      <w:pPr>
        <w:pStyle w:val="47"/>
        <w:rPr>
          <w:rFonts w:hint="eastAsia"/>
        </w:rPr>
      </w:pPr>
      <w:r>
        <w:rPr>
          <w:rFonts w:hint="eastAsia"/>
        </w:rPr>
        <w:t>注：上述交易费用（如有）包含股票买卖产生的交易费用。</w:t>
      </w:r>
    </w:p>
    <w:p w14:paraId="67D08DEF">
      <w:pPr>
        <w:pStyle w:val="35"/>
      </w:pPr>
      <w:bookmarkStart w:id="89" w:name="_Toc89"/>
      <w:r>
        <w:t>基金投资收益</w:t>
      </w:r>
      <w:bookmarkEnd w:id="89"/>
    </w:p>
    <w:p w14:paraId="4D083663">
      <w:pPr>
        <w:pStyle w:val="18"/>
        <w:rPr>
          <w:rFonts w:hint="eastAsia"/>
        </w:rPr>
      </w:pPr>
      <w:r>
        <w:rPr>
          <w:rFonts w:hint="eastAsia"/>
        </w:rPr>
        <w:t>无。</w:t>
      </w:r>
    </w:p>
    <w:p w14:paraId="75667A9B">
      <w:pPr>
        <w:pStyle w:val="35"/>
      </w:pPr>
      <w:bookmarkStart w:id="90" w:name="_Toc90"/>
      <w:r>
        <w:t>债券投资收益</w:t>
      </w:r>
      <w:bookmarkEnd w:id="90"/>
    </w:p>
    <w:p w14:paraId="15B7E9AF">
      <w:pPr>
        <w:pStyle w:val="36"/>
      </w:pPr>
      <w:bookmarkStart w:id="91" w:name="_Toc91"/>
      <w:r>
        <w:t>债券投资收益项目构成</w:t>
      </w:r>
      <w:bookmarkEnd w:id="91"/>
    </w:p>
    <w:p w14:paraId="131F4E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D91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DF8BFFC">
            <w:pPr>
              <w:jc w:val="center"/>
            </w:pPr>
            <w:r>
              <w:rPr>
                <w:rFonts w:hint="eastAsia"/>
                <w:b/>
              </w:rPr>
              <w:t>项目</w:t>
            </w:r>
          </w:p>
        </w:tc>
        <w:tc>
          <w:tcPr>
            <w:tcW w:w="4153" w:type="dxa"/>
            <w:shd w:val="clear" w:color="auto" w:fill="BFBFBF"/>
            <w:vAlign w:val="center"/>
          </w:tcPr>
          <w:p w14:paraId="6218EACA">
            <w:pPr>
              <w:jc w:val="center"/>
            </w:pPr>
            <w:r>
              <w:rPr>
                <w:rFonts w:hint="eastAsia"/>
                <w:b/>
              </w:rPr>
              <w:t>本期2025年8月6日（基金合同生效日）至2025年12月31日</w:t>
            </w:r>
          </w:p>
        </w:tc>
      </w:tr>
      <w:tr w14:paraId="4325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B03C10">
            <w:r>
              <w:rPr>
                <w:rFonts w:hint="eastAsia"/>
              </w:rPr>
              <w:t>债券投资收益——利息收入</w:t>
            </w:r>
          </w:p>
        </w:tc>
        <w:tc>
          <w:tcPr>
            <w:tcW w:w="4153" w:type="dxa"/>
            <w:vAlign w:val="center"/>
          </w:tcPr>
          <w:p w14:paraId="29F0D285">
            <w:pPr>
              <w:jc w:val="right"/>
            </w:pPr>
            <w:r>
              <w:rPr>
                <w:rFonts w:hint="eastAsia"/>
              </w:rPr>
              <w:t>20,639,354.84</w:t>
            </w:r>
          </w:p>
        </w:tc>
      </w:tr>
      <w:tr w14:paraId="5D09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178479">
            <w:r>
              <w:rPr>
                <w:rFonts w:hint="eastAsia"/>
              </w:rPr>
              <w:t>债券投资收益——买卖债券（债转股及债券到期兑付）差价收入</w:t>
            </w:r>
          </w:p>
        </w:tc>
        <w:tc>
          <w:tcPr>
            <w:tcW w:w="4153" w:type="dxa"/>
            <w:vAlign w:val="center"/>
          </w:tcPr>
          <w:p w14:paraId="760EF68E">
            <w:pPr>
              <w:jc w:val="right"/>
            </w:pPr>
            <w:r>
              <w:rPr>
                <w:rFonts w:hint="eastAsia"/>
              </w:rPr>
              <w:t>-2,511,897.54</w:t>
            </w:r>
          </w:p>
        </w:tc>
      </w:tr>
      <w:tr w14:paraId="3FE8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B42DC1">
            <w:r>
              <w:rPr>
                <w:rFonts w:hint="eastAsia"/>
              </w:rPr>
              <w:t>债券投资收益——赎回差价收入</w:t>
            </w:r>
          </w:p>
        </w:tc>
        <w:tc>
          <w:tcPr>
            <w:tcW w:w="4153" w:type="dxa"/>
            <w:vAlign w:val="center"/>
          </w:tcPr>
          <w:p w14:paraId="3EBED674">
            <w:pPr>
              <w:jc w:val="right"/>
            </w:pPr>
            <w:r>
              <w:rPr>
                <w:rFonts w:hint="eastAsia"/>
              </w:rPr>
              <w:t>-</w:t>
            </w:r>
          </w:p>
        </w:tc>
      </w:tr>
      <w:tr w14:paraId="3C5B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AD9C58">
            <w:r>
              <w:rPr>
                <w:rFonts w:hint="eastAsia"/>
              </w:rPr>
              <w:t>债券投资收益——申购差价收入</w:t>
            </w:r>
          </w:p>
        </w:tc>
        <w:tc>
          <w:tcPr>
            <w:tcW w:w="4153" w:type="dxa"/>
            <w:vAlign w:val="center"/>
          </w:tcPr>
          <w:p w14:paraId="401A981B">
            <w:pPr>
              <w:jc w:val="right"/>
            </w:pPr>
            <w:r>
              <w:rPr>
                <w:rFonts w:hint="eastAsia"/>
              </w:rPr>
              <w:t>-</w:t>
            </w:r>
          </w:p>
        </w:tc>
      </w:tr>
      <w:tr w14:paraId="11D5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B9B061">
            <w:r>
              <w:rPr>
                <w:rFonts w:hint="eastAsia"/>
              </w:rPr>
              <w:t>合计</w:t>
            </w:r>
          </w:p>
        </w:tc>
        <w:tc>
          <w:tcPr>
            <w:tcW w:w="4153" w:type="dxa"/>
            <w:vAlign w:val="center"/>
          </w:tcPr>
          <w:p w14:paraId="1BDD7FBF">
            <w:pPr>
              <w:jc w:val="right"/>
            </w:pPr>
            <w:r>
              <w:rPr>
                <w:rFonts w:hint="eastAsia"/>
              </w:rPr>
              <w:t>18,127,457.30</w:t>
            </w:r>
          </w:p>
        </w:tc>
      </w:tr>
    </w:tbl>
    <w:p w14:paraId="686208F2">
      <w:pPr>
        <w:pStyle w:val="36"/>
      </w:pPr>
      <w:bookmarkStart w:id="92" w:name="_Toc92"/>
      <w:r>
        <w:t>债券投资收益——买卖债券差价收入</w:t>
      </w:r>
      <w:bookmarkEnd w:id="92"/>
    </w:p>
    <w:p w14:paraId="35847F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9663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4B41C291">
            <w:pPr>
              <w:jc w:val="center"/>
            </w:pPr>
            <w:r>
              <w:rPr>
                <w:rFonts w:hint="eastAsia"/>
                <w:b/>
              </w:rPr>
              <w:t>项目</w:t>
            </w:r>
          </w:p>
        </w:tc>
        <w:tc>
          <w:tcPr>
            <w:tcW w:w="4983" w:type="dxa"/>
            <w:shd w:val="clear" w:color="auto" w:fill="BFBFBF"/>
            <w:vAlign w:val="center"/>
          </w:tcPr>
          <w:p w14:paraId="0EFF0D03">
            <w:pPr>
              <w:jc w:val="center"/>
            </w:pPr>
            <w:r>
              <w:rPr>
                <w:rFonts w:hint="eastAsia"/>
                <w:b/>
              </w:rPr>
              <w:t>本期2025年8月6日（基金合同生效日）至2025年12月31日</w:t>
            </w:r>
          </w:p>
        </w:tc>
      </w:tr>
      <w:tr w14:paraId="74D6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24D92DA">
            <w:r>
              <w:rPr>
                <w:rFonts w:hint="eastAsia"/>
              </w:rPr>
              <w:t>卖出债券（债转股及债券到期兑付）成交总额</w:t>
            </w:r>
          </w:p>
        </w:tc>
        <w:tc>
          <w:tcPr>
            <w:tcW w:w="4983" w:type="dxa"/>
            <w:vAlign w:val="center"/>
          </w:tcPr>
          <w:p w14:paraId="29012431">
            <w:pPr>
              <w:jc w:val="right"/>
            </w:pPr>
            <w:r>
              <w:rPr>
                <w:rFonts w:hint="eastAsia"/>
              </w:rPr>
              <w:t>2,309,827,253.60</w:t>
            </w:r>
          </w:p>
        </w:tc>
      </w:tr>
      <w:tr w14:paraId="4067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0C80B05">
            <w:r>
              <w:rPr>
                <w:rFonts w:hint="eastAsia"/>
              </w:rPr>
              <w:t>减：卖出债券（债转股及债券到期兑付）成本总额</w:t>
            </w:r>
          </w:p>
        </w:tc>
        <w:tc>
          <w:tcPr>
            <w:tcW w:w="4983" w:type="dxa"/>
            <w:vAlign w:val="center"/>
          </w:tcPr>
          <w:p w14:paraId="3A0DECEF">
            <w:pPr>
              <w:jc w:val="right"/>
            </w:pPr>
            <w:r>
              <w:rPr>
                <w:rFonts w:hint="eastAsia"/>
              </w:rPr>
              <w:t>2,289,611,898.98</w:t>
            </w:r>
          </w:p>
        </w:tc>
      </w:tr>
      <w:tr w14:paraId="54AE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9528766">
            <w:r>
              <w:rPr>
                <w:rFonts w:hint="eastAsia"/>
              </w:rPr>
              <w:t>减：应计利息总额</w:t>
            </w:r>
          </w:p>
        </w:tc>
        <w:tc>
          <w:tcPr>
            <w:tcW w:w="4983" w:type="dxa"/>
            <w:vAlign w:val="center"/>
          </w:tcPr>
          <w:p w14:paraId="1E3E4378">
            <w:pPr>
              <w:jc w:val="right"/>
            </w:pPr>
            <w:r>
              <w:rPr>
                <w:rFonts w:hint="eastAsia"/>
              </w:rPr>
              <w:t>22,686,527.16</w:t>
            </w:r>
          </w:p>
        </w:tc>
      </w:tr>
      <w:tr w14:paraId="265B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096661E">
            <w:r>
              <w:rPr>
                <w:rFonts w:hint="eastAsia"/>
              </w:rPr>
              <w:t>减：交易费用</w:t>
            </w:r>
          </w:p>
        </w:tc>
        <w:tc>
          <w:tcPr>
            <w:tcW w:w="4983" w:type="dxa"/>
            <w:vAlign w:val="center"/>
          </w:tcPr>
          <w:p w14:paraId="27818CC3">
            <w:pPr>
              <w:jc w:val="right"/>
            </w:pPr>
            <w:r>
              <w:rPr>
                <w:rFonts w:hint="eastAsia"/>
              </w:rPr>
              <w:t>40,725.00</w:t>
            </w:r>
          </w:p>
        </w:tc>
      </w:tr>
      <w:tr w14:paraId="40CE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CB5B035">
            <w:r>
              <w:rPr>
                <w:rFonts w:hint="eastAsia"/>
              </w:rPr>
              <w:t>买卖债券差价收入</w:t>
            </w:r>
          </w:p>
        </w:tc>
        <w:tc>
          <w:tcPr>
            <w:tcW w:w="4983" w:type="dxa"/>
            <w:vAlign w:val="center"/>
          </w:tcPr>
          <w:p w14:paraId="5A4E2074">
            <w:pPr>
              <w:jc w:val="right"/>
            </w:pPr>
            <w:r>
              <w:rPr>
                <w:rFonts w:hint="eastAsia"/>
              </w:rPr>
              <w:t>-2,511,897.54</w:t>
            </w:r>
          </w:p>
        </w:tc>
      </w:tr>
    </w:tbl>
    <w:p w14:paraId="709E6964">
      <w:pPr>
        <w:pStyle w:val="47"/>
        <w:rPr>
          <w:rFonts w:hint="eastAsia"/>
        </w:rPr>
      </w:pPr>
      <w:r>
        <w:rPr>
          <w:rFonts w:hint="eastAsia"/>
        </w:rPr>
        <w:t>注：上述交易费用（如有）包含债券买卖产生的交易费用。</w:t>
      </w:r>
    </w:p>
    <w:p w14:paraId="096C3A23">
      <w:pPr>
        <w:pStyle w:val="35"/>
      </w:pPr>
      <w:bookmarkStart w:id="93" w:name="_Toc93"/>
      <w:r>
        <w:t>资产支持证券投资收益</w:t>
      </w:r>
      <w:bookmarkEnd w:id="93"/>
    </w:p>
    <w:p w14:paraId="52A290C5">
      <w:pPr>
        <w:pStyle w:val="36"/>
      </w:pPr>
      <w:bookmarkStart w:id="94" w:name="_Toc94"/>
      <w:r>
        <w:t>资产支持证券投资收益——买卖资产支持证券差价收入</w:t>
      </w:r>
      <w:bookmarkEnd w:id="94"/>
    </w:p>
    <w:p w14:paraId="6D041B56">
      <w:pPr>
        <w:pStyle w:val="18"/>
        <w:rPr>
          <w:rFonts w:hint="eastAsia"/>
        </w:rPr>
      </w:pPr>
      <w:r>
        <w:rPr>
          <w:rFonts w:hint="eastAsia"/>
        </w:rPr>
        <w:t>无。</w:t>
      </w:r>
    </w:p>
    <w:p w14:paraId="346A4388">
      <w:pPr>
        <w:pStyle w:val="35"/>
      </w:pPr>
      <w:bookmarkStart w:id="95" w:name="_Toc95"/>
      <w:r>
        <w:t>衍生工具收益</w:t>
      </w:r>
      <w:bookmarkEnd w:id="95"/>
    </w:p>
    <w:p w14:paraId="5A1C6F22">
      <w:pPr>
        <w:pStyle w:val="36"/>
      </w:pPr>
      <w:bookmarkStart w:id="96" w:name="_Toc96"/>
      <w:r>
        <w:t xml:space="preserve">衍生工具收益——买卖权证差价收入 </w:t>
      </w:r>
      <w:bookmarkEnd w:id="96"/>
    </w:p>
    <w:p w14:paraId="59014E09">
      <w:pPr>
        <w:pStyle w:val="18"/>
        <w:rPr>
          <w:rFonts w:hint="eastAsia"/>
        </w:rPr>
      </w:pPr>
      <w:r>
        <w:rPr>
          <w:rFonts w:hint="eastAsia"/>
        </w:rPr>
        <w:t>无。</w:t>
      </w:r>
    </w:p>
    <w:p w14:paraId="17E47921">
      <w:pPr>
        <w:pStyle w:val="36"/>
      </w:pPr>
      <w:bookmarkStart w:id="97" w:name="_Toc97"/>
      <w:r>
        <w:t>衍生工具收益——其他投资收益</w:t>
      </w:r>
      <w:bookmarkEnd w:id="97"/>
    </w:p>
    <w:p w14:paraId="1FF5EADE">
      <w:pPr>
        <w:pStyle w:val="18"/>
        <w:rPr>
          <w:rFonts w:hint="eastAsia"/>
        </w:rPr>
      </w:pPr>
      <w:r>
        <w:rPr>
          <w:rFonts w:hint="eastAsia"/>
        </w:rPr>
        <w:t>无。</w:t>
      </w:r>
    </w:p>
    <w:p w14:paraId="2C653FF4">
      <w:pPr>
        <w:pStyle w:val="35"/>
      </w:pPr>
      <w:bookmarkStart w:id="98" w:name="_Toc98"/>
      <w:r>
        <w:t>股利收益</w:t>
      </w:r>
      <w:bookmarkEnd w:id="98"/>
    </w:p>
    <w:p w14:paraId="44C1D0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2D9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085DDF4">
            <w:pPr>
              <w:jc w:val="center"/>
            </w:pPr>
            <w:r>
              <w:rPr>
                <w:rFonts w:hint="eastAsia"/>
                <w:b/>
              </w:rPr>
              <w:t>项目</w:t>
            </w:r>
          </w:p>
        </w:tc>
        <w:tc>
          <w:tcPr>
            <w:tcW w:w="4153" w:type="dxa"/>
            <w:shd w:val="clear" w:color="auto" w:fill="BFBFBF"/>
            <w:vAlign w:val="center"/>
          </w:tcPr>
          <w:p w14:paraId="16964135">
            <w:pPr>
              <w:jc w:val="center"/>
            </w:pPr>
            <w:r>
              <w:rPr>
                <w:rFonts w:hint="eastAsia"/>
                <w:b/>
              </w:rPr>
              <w:t>本期2025年8月6日（基金合同生效日）至2025年12月31日</w:t>
            </w:r>
          </w:p>
        </w:tc>
      </w:tr>
      <w:tr w14:paraId="1E50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B550D0">
            <w:r>
              <w:rPr>
                <w:rFonts w:hint="eastAsia"/>
              </w:rPr>
              <w:t>股票投资产生的股利收益</w:t>
            </w:r>
          </w:p>
        </w:tc>
        <w:tc>
          <w:tcPr>
            <w:tcW w:w="4153" w:type="dxa"/>
            <w:vAlign w:val="center"/>
          </w:tcPr>
          <w:p w14:paraId="1FF8E044">
            <w:pPr>
              <w:jc w:val="right"/>
            </w:pPr>
            <w:r>
              <w:rPr>
                <w:rFonts w:hint="eastAsia"/>
              </w:rPr>
              <w:t>3,008,321.33</w:t>
            </w:r>
          </w:p>
        </w:tc>
      </w:tr>
      <w:tr w14:paraId="41B3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DBB6B0">
            <w:r>
              <w:rPr>
                <w:rFonts w:hint="eastAsia"/>
              </w:rPr>
              <w:t>其中：证券出借权益补偿收入</w:t>
            </w:r>
          </w:p>
        </w:tc>
        <w:tc>
          <w:tcPr>
            <w:tcW w:w="4153" w:type="dxa"/>
            <w:vAlign w:val="center"/>
          </w:tcPr>
          <w:p w14:paraId="39A4BA1C">
            <w:pPr>
              <w:jc w:val="right"/>
            </w:pPr>
            <w:r>
              <w:rPr>
                <w:rFonts w:hint="eastAsia"/>
              </w:rPr>
              <w:t>-</w:t>
            </w:r>
          </w:p>
        </w:tc>
      </w:tr>
      <w:tr w14:paraId="66FF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1FE623">
            <w:r>
              <w:rPr>
                <w:rFonts w:hint="eastAsia"/>
              </w:rPr>
              <w:t>基金投资产生的股利收益</w:t>
            </w:r>
          </w:p>
        </w:tc>
        <w:tc>
          <w:tcPr>
            <w:tcW w:w="4153" w:type="dxa"/>
            <w:vAlign w:val="center"/>
          </w:tcPr>
          <w:p w14:paraId="7D1ED0E7">
            <w:pPr>
              <w:jc w:val="right"/>
            </w:pPr>
            <w:r>
              <w:rPr>
                <w:rFonts w:hint="eastAsia"/>
              </w:rPr>
              <w:t>-</w:t>
            </w:r>
          </w:p>
        </w:tc>
      </w:tr>
      <w:tr w14:paraId="097E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FBC0C9">
            <w:r>
              <w:rPr>
                <w:rFonts w:hint="eastAsia"/>
              </w:rPr>
              <w:t>合计</w:t>
            </w:r>
          </w:p>
        </w:tc>
        <w:tc>
          <w:tcPr>
            <w:tcW w:w="4153" w:type="dxa"/>
            <w:vAlign w:val="center"/>
          </w:tcPr>
          <w:p w14:paraId="4BA3CAF6">
            <w:pPr>
              <w:jc w:val="right"/>
            </w:pPr>
            <w:r>
              <w:rPr>
                <w:rFonts w:hint="eastAsia"/>
              </w:rPr>
              <w:t>3,008,321.33</w:t>
            </w:r>
          </w:p>
        </w:tc>
      </w:tr>
    </w:tbl>
    <w:p w14:paraId="603CB7F5">
      <w:pPr>
        <w:pStyle w:val="35"/>
      </w:pPr>
      <w:bookmarkStart w:id="99" w:name="_Toc99"/>
      <w:r>
        <w:t>公允价值变动收益</w:t>
      </w:r>
      <w:bookmarkEnd w:id="99"/>
    </w:p>
    <w:p w14:paraId="0FBBC9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1F4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B69B44C">
            <w:pPr>
              <w:jc w:val="center"/>
            </w:pPr>
            <w:r>
              <w:rPr>
                <w:rFonts w:hint="eastAsia"/>
                <w:b/>
              </w:rPr>
              <w:t>项目名称</w:t>
            </w:r>
          </w:p>
        </w:tc>
        <w:tc>
          <w:tcPr>
            <w:tcW w:w="4153" w:type="dxa"/>
            <w:shd w:val="clear" w:color="auto" w:fill="BFBFBF"/>
            <w:vAlign w:val="center"/>
          </w:tcPr>
          <w:p w14:paraId="004E772A">
            <w:pPr>
              <w:jc w:val="center"/>
            </w:pPr>
            <w:r>
              <w:rPr>
                <w:rFonts w:hint="eastAsia"/>
                <w:b/>
              </w:rPr>
              <w:t>本期2025年8月6日（基金合同生效日）至2025年12月31日</w:t>
            </w:r>
          </w:p>
        </w:tc>
      </w:tr>
      <w:tr w14:paraId="271C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34C8B3">
            <w:r>
              <w:rPr>
                <w:rFonts w:hint="eastAsia"/>
              </w:rPr>
              <w:t>1.交易性金融资产</w:t>
            </w:r>
          </w:p>
        </w:tc>
        <w:tc>
          <w:tcPr>
            <w:tcW w:w="4153" w:type="dxa"/>
            <w:vAlign w:val="center"/>
          </w:tcPr>
          <w:p w14:paraId="11528711">
            <w:pPr>
              <w:jc w:val="right"/>
            </w:pPr>
            <w:r>
              <w:rPr>
                <w:rFonts w:hint="eastAsia"/>
              </w:rPr>
              <w:t>39,340,836.55</w:t>
            </w:r>
          </w:p>
        </w:tc>
      </w:tr>
      <w:tr w14:paraId="7728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BB40C6">
            <w:r>
              <w:rPr>
                <w:rFonts w:hint="eastAsia"/>
              </w:rPr>
              <w:t>——股票投资</w:t>
            </w:r>
          </w:p>
        </w:tc>
        <w:tc>
          <w:tcPr>
            <w:tcW w:w="4153" w:type="dxa"/>
            <w:vAlign w:val="center"/>
          </w:tcPr>
          <w:p w14:paraId="590FA7FC">
            <w:pPr>
              <w:jc w:val="right"/>
            </w:pPr>
            <w:r>
              <w:rPr>
                <w:rFonts w:hint="eastAsia"/>
              </w:rPr>
              <w:t>40,217,598.30</w:t>
            </w:r>
          </w:p>
        </w:tc>
      </w:tr>
      <w:tr w14:paraId="0C6A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33EDE2">
            <w:r>
              <w:rPr>
                <w:rFonts w:hint="eastAsia"/>
              </w:rPr>
              <w:t>——债券投资</w:t>
            </w:r>
          </w:p>
        </w:tc>
        <w:tc>
          <w:tcPr>
            <w:tcW w:w="4153" w:type="dxa"/>
            <w:vAlign w:val="center"/>
          </w:tcPr>
          <w:p w14:paraId="551A8821">
            <w:pPr>
              <w:jc w:val="right"/>
            </w:pPr>
            <w:r>
              <w:rPr>
                <w:rFonts w:hint="eastAsia"/>
              </w:rPr>
              <w:t>-876,761.75</w:t>
            </w:r>
          </w:p>
        </w:tc>
      </w:tr>
      <w:tr w14:paraId="4B26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94C744">
            <w:r>
              <w:rPr>
                <w:rFonts w:hint="eastAsia"/>
              </w:rPr>
              <w:t>——资产支持证券投资</w:t>
            </w:r>
          </w:p>
        </w:tc>
        <w:tc>
          <w:tcPr>
            <w:tcW w:w="4153" w:type="dxa"/>
            <w:vAlign w:val="center"/>
          </w:tcPr>
          <w:p w14:paraId="5B64974F">
            <w:pPr>
              <w:jc w:val="right"/>
            </w:pPr>
            <w:r>
              <w:rPr>
                <w:rFonts w:hint="eastAsia"/>
              </w:rPr>
              <w:t>-</w:t>
            </w:r>
          </w:p>
        </w:tc>
      </w:tr>
      <w:tr w14:paraId="6A26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131DE2">
            <w:r>
              <w:rPr>
                <w:rFonts w:hint="eastAsia"/>
              </w:rPr>
              <w:t>——基金投资</w:t>
            </w:r>
          </w:p>
        </w:tc>
        <w:tc>
          <w:tcPr>
            <w:tcW w:w="4153" w:type="dxa"/>
            <w:vAlign w:val="center"/>
          </w:tcPr>
          <w:p w14:paraId="7A363034">
            <w:pPr>
              <w:jc w:val="right"/>
            </w:pPr>
            <w:r>
              <w:rPr>
                <w:rFonts w:hint="eastAsia"/>
              </w:rPr>
              <w:t>-</w:t>
            </w:r>
          </w:p>
        </w:tc>
      </w:tr>
      <w:tr w14:paraId="308EB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A1A3A3">
            <w:r>
              <w:rPr>
                <w:rFonts w:hint="eastAsia"/>
              </w:rPr>
              <w:t>——贵金属投资</w:t>
            </w:r>
          </w:p>
        </w:tc>
        <w:tc>
          <w:tcPr>
            <w:tcW w:w="4153" w:type="dxa"/>
            <w:vAlign w:val="center"/>
          </w:tcPr>
          <w:p w14:paraId="20D2E1F3">
            <w:pPr>
              <w:jc w:val="right"/>
            </w:pPr>
            <w:r>
              <w:rPr>
                <w:rFonts w:hint="eastAsia"/>
              </w:rPr>
              <w:t>-</w:t>
            </w:r>
          </w:p>
        </w:tc>
      </w:tr>
      <w:tr w14:paraId="4A66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FADA2E">
            <w:r>
              <w:rPr>
                <w:rFonts w:hint="eastAsia"/>
              </w:rPr>
              <w:t>——其他</w:t>
            </w:r>
          </w:p>
        </w:tc>
        <w:tc>
          <w:tcPr>
            <w:tcW w:w="4153" w:type="dxa"/>
            <w:vAlign w:val="center"/>
          </w:tcPr>
          <w:p w14:paraId="6A749B4C">
            <w:pPr>
              <w:jc w:val="right"/>
            </w:pPr>
            <w:r>
              <w:rPr>
                <w:rFonts w:hint="eastAsia"/>
              </w:rPr>
              <w:t>-</w:t>
            </w:r>
          </w:p>
        </w:tc>
      </w:tr>
      <w:tr w14:paraId="3FF0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837D1A">
            <w:r>
              <w:rPr>
                <w:rFonts w:hint="eastAsia"/>
              </w:rPr>
              <w:t>2.衍生工具</w:t>
            </w:r>
          </w:p>
        </w:tc>
        <w:tc>
          <w:tcPr>
            <w:tcW w:w="4153" w:type="dxa"/>
            <w:vAlign w:val="center"/>
          </w:tcPr>
          <w:p w14:paraId="4FB472C4">
            <w:pPr>
              <w:jc w:val="right"/>
            </w:pPr>
            <w:r>
              <w:rPr>
                <w:rFonts w:hint="eastAsia"/>
              </w:rPr>
              <w:t>-</w:t>
            </w:r>
          </w:p>
        </w:tc>
      </w:tr>
      <w:tr w14:paraId="5A54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14EE81">
            <w:r>
              <w:rPr>
                <w:rFonts w:hint="eastAsia"/>
              </w:rPr>
              <w:t>——权证投资</w:t>
            </w:r>
          </w:p>
        </w:tc>
        <w:tc>
          <w:tcPr>
            <w:tcW w:w="4153" w:type="dxa"/>
            <w:vAlign w:val="center"/>
          </w:tcPr>
          <w:p w14:paraId="5A8BFE80">
            <w:pPr>
              <w:jc w:val="right"/>
            </w:pPr>
            <w:r>
              <w:rPr>
                <w:rFonts w:hint="eastAsia"/>
              </w:rPr>
              <w:t>-</w:t>
            </w:r>
          </w:p>
        </w:tc>
      </w:tr>
      <w:tr w14:paraId="5157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37D3E1">
            <w:r>
              <w:rPr>
                <w:rFonts w:hint="eastAsia"/>
              </w:rPr>
              <w:t>——期货投资</w:t>
            </w:r>
          </w:p>
        </w:tc>
        <w:tc>
          <w:tcPr>
            <w:tcW w:w="4153" w:type="dxa"/>
            <w:vAlign w:val="center"/>
          </w:tcPr>
          <w:p w14:paraId="7EB84409">
            <w:pPr>
              <w:jc w:val="right"/>
            </w:pPr>
            <w:r>
              <w:rPr>
                <w:rFonts w:hint="eastAsia"/>
              </w:rPr>
              <w:t>-</w:t>
            </w:r>
          </w:p>
        </w:tc>
      </w:tr>
      <w:tr w14:paraId="7871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5CDAA6">
            <w:r>
              <w:rPr>
                <w:rFonts w:hint="eastAsia"/>
              </w:rPr>
              <w:t>3.其他</w:t>
            </w:r>
          </w:p>
        </w:tc>
        <w:tc>
          <w:tcPr>
            <w:tcW w:w="4153" w:type="dxa"/>
            <w:vAlign w:val="center"/>
          </w:tcPr>
          <w:p w14:paraId="43653812">
            <w:pPr>
              <w:jc w:val="right"/>
            </w:pPr>
            <w:r>
              <w:rPr>
                <w:rFonts w:hint="eastAsia"/>
              </w:rPr>
              <w:t>-</w:t>
            </w:r>
          </w:p>
        </w:tc>
      </w:tr>
      <w:tr w14:paraId="20B9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4DEAA4">
            <w:r>
              <w:rPr>
                <w:rFonts w:hint="eastAsia"/>
              </w:rPr>
              <w:t>减：应税金融商品公允价值变动产生的预估增值税</w:t>
            </w:r>
          </w:p>
        </w:tc>
        <w:tc>
          <w:tcPr>
            <w:tcW w:w="4153" w:type="dxa"/>
            <w:vAlign w:val="center"/>
          </w:tcPr>
          <w:p w14:paraId="5A23AB85">
            <w:pPr>
              <w:jc w:val="right"/>
            </w:pPr>
            <w:r>
              <w:rPr>
                <w:rFonts w:hint="eastAsia"/>
              </w:rPr>
              <w:t>-</w:t>
            </w:r>
          </w:p>
        </w:tc>
      </w:tr>
      <w:tr w14:paraId="6B6A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9F4F5D">
            <w:r>
              <w:rPr>
                <w:rFonts w:hint="eastAsia"/>
              </w:rPr>
              <w:t>合计</w:t>
            </w:r>
          </w:p>
        </w:tc>
        <w:tc>
          <w:tcPr>
            <w:tcW w:w="4153" w:type="dxa"/>
            <w:vAlign w:val="center"/>
          </w:tcPr>
          <w:p w14:paraId="52243982">
            <w:pPr>
              <w:jc w:val="right"/>
            </w:pPr>
            <w:r>
              <w:rPr>
                <w:rFonts w:hint="eastAsia"/>
              </w:rPr>
              <w:t>39,340,836.55</w:t>
            </w:r>
          </w:p>
        </w:tc>
      </w:tr>
    </w:tbl>
    <w:p w14:paraId="028FFF28">
      <w:pPr>
        <w:pStyle w:val="35"/>
      </w:pPr>
      <w:bookmarkStart w:id="100" w:name="_Toc100"/>
      <w:r>
        <w:t>其他收入</w:t>
      </w:r>
      <w:bookmarkEnd w:id="100"/>
    </w:p>
    <w:p w14:paraId="475423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45F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52B8BFF">
            <w:pPr>
              <w:jc w:val="center"/>
            </w:pPr>
            <w:r>
              <w:rPr>
                <w:rFonts w:hint="eastAsia"/>
                <w:b/>
              </w:rPr>
              <w:t>项目</w:t>
            </w:r>
          </w:p>
        </w:tc>
        <w:tc>
          <w:tcPr>
            <w:tcW w:w="4153" w:type="dxa"/>
            <w:shd w:val="clear" w:color="auto" w:fill="BFBFBF"/>
            <w:vAlign w:val="center"/>
          </w:tcPr>
          <w:p w14:paraId="3A929F0D">
            <w:pPr>
              <w:jc w:val="center"/>
            </w:pPr>
            <w:r>
              <w:rPr>
                <w:rFonts w:hint="eastAsia"/>
                <w:b/>
              </w:rPr>
              <w:t>本期2025年8月6日（基金合同生效日）至2025年12月31日</w:t>
            </w:r>
          </w:p>
        </w:tc>
      </w:tr>
      <w:tr w14:paraId="7469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F9AA5E">
            <w:r>
              <w:rPr>
                <w:rFonts w:hint="eastAsia"/>
              </w:rPr>
              <w:t>基金赎回费收入</w:t>
            </w:r>
          </w:p>
        </w:tc>
        <w:tc>
          <w:tcPr>
            <w:tcW w:w="4153" w:type="dxa"/>
            <w:vAlign w:val="center"/>
          </w:tcPr>
          <w:p w14:paraId="7DA2E7CF">
            <w:pPr>
              <w:jc w:val="right"/>
            </w:pPr>
            <w:r>
              <w:rPr>
                <w:rFonts w:hint="eastAsia"/>
              </w:rPr>
              <w:t>20,557.29</w:t>
            </w:r>
          </w:p>
        </w:tc>
      </w:tr>
      <w:tr w14:paraId="2AF9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6EC91E">
            <w:r>
              <w:rPr>
                <w:rFonts w:hint="eastAsia"/>
              </w:rPr>
              <w:t>其他</w:t>
            </w:r>
          </w:p>
        </w:tc>
        <w:tc>
          <w:tcPr>
            <w:tcW w:w="4153" w:type="dxa"/>
            <w:vAlign w:val="center"/>
          </w:tcPr>
          <w:p w14:paraId="1AF59B53">
            <w:pPr>
              <w:jc w:val="right"/>
            </w:pPr>
            <w:r>
              <w:rPr>
                <w:rFonts w:hint="eastAsia"/>
              </w:rPr>
              <w:t>101.96</w:t>
            </w:r>
          </w:p>
        </w:tc>
      </w:tr>
      <w:tr w14:paraId="3EF5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AF5E7E">
            <w:r>
              <w:rPr>
                <w:rFonts w:hint="eastAsia"/>
              </w:rPr>
              <w:t>合计</w:t>
            </w:r>
          </w:p>
        </w:tc>
        <w:tc>
          <w:tcPr>
            <w:tcW w:w="4153" w:type="dxa"/>
            <w:vAlign w:val="center"/>
          </w:tcPr>
          <w:p w14:paraId="4FB18179">
            <w:pPr>
              <w:jc w:val="right"/>
            </w:pPr>
            <w:r>
              <w:rPr>
                <w:rFonts w:hint="eastAsia"/>
              </w:rPr>
              <w:t>20,659.25</w:t>
            </w:r>
          </w:p>
        </w:tc>
      </w:tr>
    </w:tbl>
    <w:p w14:paraId="16199063">
      <w:pPr>
        <w:pStyle w:val="35"/>
      </w:pPr>
      <w:bookmarkStart w:id="101" w:name="_Toc101"/>
      <w:r>
        <w:t>持有基金产生的费用</w:t>
      </w:r>
      <w:bookmarkEnd w:id="101"/>
    </w:p>
    <w:p w14:paraId="0AB7CE00">
      <w:pPr>
        <w:pStyle w:val="18"/>
        <w:rPr>
          <w:rFonts w:hint="eastAsia"/>
        </w:rPr>
      </w:pPr>
      <w:r>
        <w:rPr>
          <w:rFonts w:hint="eastAsia"/>
        </w:rPr>
        <w:t>本基金本报告期内无持有基金产生的费用。</w:t>
      </w:r>
    </w:p>
    <w:p w14:paraId="31DC5E35">
      <w:pPr>
        <w:pStyle w:val="35"/>
      </w:pPr>
      <w:bookmarkStart w:id="102" w:name="_Toc102"/>
      <w:r>
        <w:t>其他费用</w:t>
      </w:r>
      <w:bookmarkEnd w:id="102"/>
    </w:p>
    <w:p w14:paraId="564F1B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61C2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4E25BA">
            <w:pPr>
              <w:jc w:val="center"/>
            </w:pPr>
            <w:r>
              <w:rPr>
                <w:rFonts w:hint="eastAsia"/>
                <w:b/>
              </w:rPr>
              <w:t>项目</w:t>
            </w:r>
          </w:p>
        </w:tc>
        <w:tc>
          <w:tcPr>
            <w:tcW w:w="5537" w:type="dxa"/>
            <w:shd w:val="clear" w:color="auto" w:fill="BFBFBF"/>
            <w:vAlign w:val="center"/>
          </w:tcPr>
          <w:p w14:paraId="70B34C72">
            <w:pPr>
              <w:jc w:val="center"/>
            </w:pPr>
            <w:r>
              <w:rPr>
                <w:rFonts w:hint="eastAsia"/>
                <w:b/>
              </w:rPr>
              <w:t>本期2025年8月6日（基金合同生效日）至2025年12月31日</w:t>
            </w:r>
          </w:p>
        </w:tc>
      </w:tr>
      <w:tr w14:paraId="1A09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E8A26">
            <w:r>
              <w:rPr>
                <w:rFonts w:hint="eastAsia"/>
              </w:rPr>
              <w:t>审计费用</w:t>
            </w:r>
          </w:p>
        </w:tc>
        <w:tc>
          <w:tcPr>
            <w:tcW w:w="5537" w:type="dxa"/>
            <w:vAlign w:val="center"/>
          </w:tcPr>
          <w:p w14:paraId="11B325AD">
            <w:pPr>
              <w:jc w:val="right"/>
            </w:pPr>
            <w:r>
              <w:rPr>
                <w:rFonts w:hint="eastAsia"/>
              </w:rPr>
              <w:t>48,000.00</w:t>
            </w:r>
          </w:p>
        </w:tc>
      </w:tr>
      <w:tr w14:paraId="5B7A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149B2">
            <w:r>
              <w:rPr>
                <w:rFonts w:hint="eastAsia"/>
              </w:rPr>
              <w:t>信息披露费</w:t>
            </w:r>
          </w:p>
        </w:tc>
        <w:tc>
          <w:tcPr>
            <w:tcW w:w="5537" w:type="dxa"/>
            <w:vAlign w:val="center"/>
          </w:tcPr>
          <w:p w14:paraId="7C2711AB">
            <w:pPr>
              <w:jc w:val="right"/>
            </w:pPr>
            <w:r>
              <w:rPr>
                <w:rFonts w:hint="eastAsia"/>
              </w:rPr>
              <w:t>-</w:t>
            </w:r>
          </w:p>
        </w:tc>
      </w:tr>
      <w:tr w14:paraId="0013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E536F">
            <w:r>
              <w:rPr>
                <w:rFonts w:hint="eastAsia"/>
              </w:rPr>
              <w:t>证券出借违约金</w:t>
            </w:r>
          </w:p>
        </w:tc>
        <w:tc>
          <w:tcPr>
            <w:tcW w:w="5537" w:type="dxa"/>
            <w:vAlign w:val="center"/>
          </w:tcPr>
          <w:p w14:paraId="7C01C87D">
            <w:pPr>
              <w:jc w:val="right"/>
            </w:pPr>
            <w:r>
              <w:rPr>
                <w:rFonts w:hint="eastAsia"/>
              </w:rPr>
              <w:t>-</w:t>
            </w:r>
          </w:p>
        </w:tc>
      </w:tr>
      <w:tr w14:paraId="1ACA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0FAAD">
            <w:r>
              <w:rPr>
                <w:rFonts w:hint="eastAsia"/>
              </w:rPr>
              <w:t>账户维护费</w:t>
            </w:r>
          </w:p>
        </w:tc>
        <w:tc>
          <w:tcPr>
            <w:tcW w:w="5537" w:type="dxa"/>
            <w:vAlign w:val="center"/>
          </w:tcPr>
          <w:p w14:paraId="7215CBEB">
            <w:pPr>
              <w:jc w:val="right"/>
            </w:pPr>
            <w:r>
              <w:rPr>
                <w:rFonts w:hint="eastAsia"/>
              </w:rPr>
              <w:t>3,100.00</w:t>
            </w:r>
          </w:p>
        </w:tc>
      </w:tr>
      <w:tr w14:paraId="5346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6EEC0">
            <w:r>
              <w:rPr>
                <w:rFonts w:hint="eastAsia"/>
              </w:rPr>
              <w:t>其他</w:t>
            </w:r>
          </w:p>
        </w:tc>
        <w:tc>
          <w:tcPr>
            <w:tcW w:w="5537" w:type="dxa"/>
            <w:vAlign w:val="center"/>
          </w:tcPr>
          <w:p w14:paraId="2E7F3317">
            <w:pPr>
              <w:jc w:val="right"/>
            </w:pPr>
            <w:r>
              <w:rPr>
                <w:rFonts w:hint="eastAsia"/>
              </w:rPr>
              <w:t>4,174.60</w:t>
            </w:r>
          </w:p>
        </w:tc>
      </w:tr>
      <w:tr w14:paraId="4157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44668">
            <w:r>
              <w:rPr>
                <w:rFonts w:hint="eastAsia"/>
              </w:rPr>
              <w:t>合计</w:t>
            </w:r>
          </w:p>
        </w:tc>
        <w:tc>
          <w:tcPr>
            <w:tcW w:w="5537" w:type="dxa"/>
            <w:vAlign w:val="center"/>
          </w:tcPr>
          <w:p w14:paraId="02513133">
            <w:pPr>
              <w:jc w:val="right"/>
            </w:pPr>
            <w:r>
              <w:rPr>
                <w:rFonts w:hint="eastAsia"/>
              </w:rPr>
              <w:t>55,274.60</w:t>
            </w:r>
          </w:p>
        </w:tc>
      </w:tr>
    </w:tbl>
    <w:p w14:paraId="13EA85ED">
      <w:pPr>
        <w:pStyle w:val="28"/>
      </w:pPr>
      <w:bookmarkStart w:id="103" w:name="_Toc103"/>
      <w:r>
        <w:t>或有事项、资产负债表日后事项的说明</w:t>
      </w:r>
      <w:bookmarkEnd w:id="103"/>
    </w:p>
    <w:p w14:paraId="527B7569">
      <w:pPr>
        <w:pStyle w:val="35"/>
      </w:pPr>
      <w:bookmarkStart w:id="104" w:name="_Toc104"/>
      <w:r>
        <w:t>或有事项</w:t>
      </w:r>
      <w:bookmarkEnd w:id="104"/>
    </w:p>
    <w:p w14:paraId="49407A2D">
      <w:pPr>
        <w:pStyle w:val="18"/>
        <w:rPr>
          <w:rFonts w:hint="eastAsia"/>
        </w:rPr>
      </w:pPr>
      <w:r>
        <w:rPr>
          <w:rFonts w:hint="eastAsia"/>
        </w:rPr>
        <w:t>无。</w:t>
      </w:r>
    </w:p>
    <w:p w14:paraId="2326554E">
      <w:pPr>
        <w:pStyle w:val="35"/>
      </w:pPr>
      <w:bookmarkStart w:id="105" w:name="_Toc105"/>
      <w:r>
        <w:t>资产负债表日后事项</w:t>
      </w:r>
      <w:bookmarkEnd w:id="105"/>
    </w:p>
    <w:p w14:paraId="5096DBEC">
      <w:pPr>
        <w:pStyle w:val="18"/>
        <w:rPr>
          <w:rFonts w:hint="eastAsia"/>
        </w:rPr>
      </w:pPr>
      <w:r>
        <w:rPr>
          <w:rFonts w:hint="eastAsia"/>
        </w:rPr>
        <w:t>截至财务报告批准报出日，本基金无需要披露的资产负债表日后事项。</w:t>
      </w:r>
    </w:p>
    <w:p w14:paraId="465024FA">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6DA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BD4B6C2">
            <w:pPr>
              <w:jc w:val="center"/>
            </w:pPr>
            <w:r>
              <w:rPr>
                <w:rFonts w:hint="eastAsia"/>
                <w:b/>
              </w:rPr>
              <w:t>关联方名称</w:t>
            </w:r>
          </w:p>
        </w:tc>
        <w:tc>
          <w:tcPr>
            <w:tcW w:w="3322" w:type="dxa"/>
            <w:shd w:val="clear" w:color="auto" w:fill="BFBFBF"/>
            <w:vAlign w:val="center"/>
          </w:tcPr>
          <w:p w14:paraId="674FC9D4">
            <w:pPr>
              <w:jc w:val="center"/>
            </w:pPr>
            <w:r>
              <w:rPr>
                <w:rFonts w:hint="eastAsia"/>
                <w:b/>
              </w:rPr>
              <w:t>与本基金的关系</w:t>
            </w:r>
          </w:p>
        </w:tc>
      </w:tr>
      <w:tr w14:paraId="101A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0E11CC">
            <w:r>
              <w:rPr>
                <w:rFonts w:hint="eastAsia"/>
              </w:rPr>
              <w:t>南方基金管理股份有限公司(“南方基金”)</w:t>
            </w:r>
          </w:p>
        </w:tc>
        <w:tc>
          <w:tcPr>
            <w:tcW w:w="3322" w:type="dxa"/>
            <w:vAlign w:val="center"/>
          </w:tcPr>
          <w:p w14:paraId="572C0B70">
            <w:r>
              <w:rPr>
                <w:rFonts w:hint="eastAsia"/>
              </w:rPr>
              <w:t>基金管理人、登记机构、基金销售机构</w:t>
            </w:r>
          </w:p>
        </w:tc>
      </w:tr>
      <w:tr w14:paraId="78AC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73F6D7">
            <w:r>
              <w:rPr>
                <w:rFonts w:hint="eastAsia"/>
              </w:rPr>
              <w:t>广发银行股份有限公司("广发银行")</w:t>
            </w:r>
          </w:p>
        </w:tc>
        <w:tc>
          <w:tcPr>
            <w:tcW w:w="3322" w:type="dxa"/>
            <w:vAlign w:val="center"/>
          </w:tcPr>
          <w:p w14:paraId="748F212D">
            <w:r>
              <w:rPr>
                <w:rFonts w:hint="eastAsia"/>
              </w:rPr>
              <w:t>基金托管人、基金销售机构</w:t>
            </w:r>
          </w:p>
        </w:tc>
      </w:tr>
      <w:tr w14:paraId="35D1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C5F976">
            <w:r>
              <w:rPr>
                <w:rFonts w:hint="eastAsia"/>
              </w:rPr>
              <w:t>华泰证券股份有限公司(“华泰证券”)</w:t>
            </w:r>
          </w:p>
        </w:tc>
        <w:tc>
          <w:tcPr>
            <w:tcW w:w="3322" w:type="dxa"/>
            <w:vAlign w:val="center"/>
          </w:tcPr>
          <w:p w14:paraId="4ADCBCAC">
            <w:r>
              <w:rPr>
                <w:rFonts w:hint="eastAsia"/>
              </w:rPr>
              <w:t>基金管理人的股东、基金销售机构</w:t>
            </w:r>
          </w:p>
        </w:tc>
      </w:tr>
      <w:tr w14:paraId="55D8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70632D">
            <w:r>
              <w:rPr>
                <w:rFonts w:hint="eastAsia"/>
              </w:rPr>
              <w:t>兴业证券股份有限公司(“兴业证券”)</w:t>
            </w:r>
          </w:p>
        </w:tc>
        <w:tc>
          <w:tcPr>
            <w:tcW w:w="3322" w:type="dxa"/>
            <w:vAlign w:val="center"/>
          </w:tcPr>
          <w:p w14:paraId="5B3EF5E7">
            <w:r>
              <w:rPr>
                <w:rFonts w:hint="eastAsia"/>
              </w:rPr>
              <w:t>基金管理人的股东</w:t>
            </w:r>
          </w:p>
        </w:tc>
      </w:tr>
      <w:tr w14:paraId="1E6E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2F0A77">
            <w:r>
              <w:rPr>
                <w:rFonts w:hint="eastAsia"/>
              </w:rPr>
              <w:t>厦门国际信托有限公司(“厦门国际信托”)</w:t>
            </w:r>
          </w:p>
        </w:tc>
        <w:tc>
          <w:tcPr>
            <w:tcW w:w="3322" w:type="dxa"/>
            <w:vAlign w:val="center"/>
          </w:tcPr>
          <w:p w14:paraId="54A5E562">
            <w:r>
              <w:rPr>
                <w:rFonts w:hint="eastAsia"/>
              </w:rPr>
              <w:t>基金管理人的股东</w:t>
            </w:r>
          </w:p>
        </w:tc>
      </w:tr>
      <w:tr w14:paraId="458F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76882C">
            <w:r>
              <w:rPr>
                <w:rFonts w:hint="eastAsia"/>
              </w:rPr>
              <w:t>深圳市投资控股有限公司(“深圳投资控股”)</w:t>
            </w:r>
          </w:p>
        </w:tc>
        <w:tc>
          <w:tcPr>
            <w:tcW w:w="3322" w:type="dxa"/>
            <w:vAlign w:val="center"/>
          </w:tcPr>
          <w:p w14:paraId="7509AE36">
            <w:r>
              <w:rPr>
                <w:rFonts w:hint="eastAsia"/>
              </w:rPr>
              <w:t>基金管理人的股东</w:t>
            </w:r>
          </w:p>
        </w:tc>
      </w:tr>
      <w:tr w14:paraId="1730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3949F4">
            <w:r>
              <w:rPr>
                <w:rFonts w:hint="eastAsia"/>
              </w:rPr>
              <w:t>厦门合泽吉企业管理合伙企业(有限合伙)</w:t>
            </w:r>
          </w:p>
        </w:tc>
        <w:tc>
          <w:tcPr>
            <w:tcW w:w="3322" w:type="dxa"/>
            <w:vAlign w:val="center"/>
          </w:tcPr>
          <w:p w14:paraId="210FAFE5">
            <w:r>
              <w:rPr>
                <w:rFonts w:hint="eastAsia"/>
              </w:rPr>
              <w:t>基金管理人的股东</w:t>
            </w:r>
          </w:p>
        </w:tc>
      </w:tr>
      <w:tr w14:paraId="0BAB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5FB941">
            <w:r>
              <w:rPr>
                <w:rFonts w:hint="eastAsia"/>
              </w:rPr>
              <w:t>厦门合泽祥企业管理合伙企业(有限合伙)</w:t>
            </w:r>
          </w:p>
        </w:tc>
        <w:tc>
          <w:tcPr>
            <w:tcW w:w="3322" w:type="dxa"/>
            <w:vAlign w:val="center"/>
          </w:tcPr>
          <w:p w14:paraId="6B804F61">
            <w:r>
              <w:rPr>
                <w:rFonts w:hint="eastAsia"/>
              </w:rPr>
              <w:t>基金管理人的股东</w:t>
            </w:r>
          </w:p>
        </w:tc>
      </w:tr>
      <w:tr w14:paraId="2D55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F8E911">
            <w:r>
              <w:rPr>
                <w:rFonts w:hint="eastAsia"/>
              </w:rPr>
              <w:t>厦门合泽益企业管理合伙企业(有限合伙)</w:t>
            </w:r>
          </w:p>
        </w:tc>
        <w:tc>
          <w:tcPr>
            <w:tcW w:w="3322" w:type="dxa"/>
            <w:vAlign w:val="center"/>
          </w:tcPr>
          <w:p w14:paraId="396452AF">
            <w:r>
              <w:rPr>
                <w:rFonts w:hint="eastAsia"/>
              </w:rPr>
              <w:t>基金管理人的股东</w:t>
            </w:r>
          </w:p>
        </w:tc>
      </w:tr>
      <w:tr w14:paraId="6683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3FAB0D">
            <w:r>
              <w:rPr>
                <w:rFonts w:hint="eastAsia"/>
              </w:rPr>
              <w:t>厦门合泽盈企业管理合伙企业(有限合伙)</w:t>
            </w:r>
          </w:p>
        </w:tc>
        <w:tc>
          <w:tcPr>
            <w:tcW w:w="3322" w:type="dxa"/>
            <w:vAlign w:val="center"/>
          </w:tcPr>
          <w:p w14:paraId="673A9C76">
            <w:r>
              <w:rPr>
                <w:rFonts w:hint="eastAsia"/>
              </w:rPr>
              <w:t>基金管理人的股东</w:t>
            </w:r>
          </w:p>
        </w:tc>
      </w:tr>
      <w:tr w14:paraId="0F40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56D241">
            <w:r>
              <w:rPr>
                <w:rFonts w:hint="eastAsia"/>
              </w:rPr>
              <w:t>南方资本管理有限公司(“南方资本”)</w:t>
            </w:r>
          </w:p>
        </w:tc>
        <w:tc>
          <w:tcPr>
            <w:tcW w:w="3322" w:type="dxa"/>
            <w:vAlign w:val="center"/>
          </w:tcPr>
          <w:p w14:paraId="693B2861">
            <w:r>
              <w:rPr>
                <w:rFonts w:hint="eastAsia"/>
              </w:rPr>
              <w:t>基金管理人的子公司</w:t>
            </w:r>
          </w:p>
        </w:tc>
      </w:tr>
      <w:tr w14:paraId="3BA5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E880BA">
            <w:r>
              <w:rPr>
                <w:rFonts w:hint="eastAsia"/>
              </w:rPr>
              <w:t>南方东英资产管理有限公司(“南方东英”)</w:t>
            </w:r>
          </w:p>
        </w:tc>
        <w:tc>
          <w:tcPr>
            <w:tcW w:w="3322" w:type="dxa"/>
            <w:vAlign w:val="center"/>
          </w:tcPr>
          <w:p w14:paraId="5D921E9F">
            <w:r>
              <w:rPr>
                <w:rFonts w:hint="eastAsia"/>
              </w:rPr>
              <w:t>基金管理人的子公司</w:t>
            </w:r>
          </w:p>
        </w:tc>
      </w:tr>
    </w:tbl>
    <w:p w14:paraId="62E926B7">
      <w:pPr>
        <w:pStyle w:val="47"/>
        <w:rPr>
          <w:rFonts w:hint="eastAsia"/>
        </w:rPr>
      </w:pPr>
      <w:r>
        <w:rPr>
          <w:rFonts w:hint="eastAsia"/>
        </w:rPr>
        <w:t>注：下述关联交易均在正常业务范围内按一般商业条款订立。</w:t>
      </w:r>
    </w:p>
    <w:p w14:paraId="40387264">
      <w:pPr>
        <w:pStyle w:val="28"/>
      </w:pPr>
      <w:bookmarkStart w:id="107" w:name="_Toc107"/>
      <w:r>
        <w:t>本报告期及上年度可比期间的关联方交易</w:t>
      </w:r>
      <w:bookmarkEnd w:id="107"/>
    </w:p>
    <w:p w14:paraId="7717FC24">
      <w:pPr>
        <w:pStyle w:val="35"/>
      </w:pPr>
      <w:bookmarkStart w:id="108" w:name="_Toc108"/>
      <w:r>
        <w:t>通过关联方交易单元进行的交易</w:t>
      </w:r>
      <w:bookmarkEnd w:id="108"/>
    </w:p>
    <w:p w14:paraId="55102579">
      <w:pPr>
        <w:pStyle w:val="36"/>
      </w:pPr>
      <w:bookmarkStart w:id="109" w:name="_Toc109"/>
      <w:r>
        <w:t>股票交易</w:t>
      </w:r>
      <w:bookmarkEnd w:id="109"/>
    </w:p>
    <w:p w14:paraId="3520DAC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FA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986BE9F">
            <w:pPr>
              <w:jc w:val="center"/>
            </w:pPr>
            <w:r>
              <w:rPr>
                <w:rFonts w:hint="eastAsia"/>
                <w:b/>
              </w:rPr>
              <w:t>关联方名称</w:t>
            </w:r>
          </w:p>
        </w:tc>
        <w:tc>
          <w:tcPr>
            <w:tcW w:w="2768" w:type="dxa"/>
            <w:gridSpan w:val="2"/>
            <w:shd w:val="clear" w:color="auto" w:fill="BFBFBF"/>
            <w:vAlign w:val="center"/>
          </w:tcPr>
          <w:p w14:paraId="511B79E2">
            <w:pPr>
              <w:jc w:val="center"/>
            </w:pPr>
            <w:r>
              <w:rPr>
                <w:rFonts w:hint="eastAsia"/>
                <w:b/>
              </w:rPr>
              <w:t>本期2025年8月6日（基金合同生效日）至2025年12月31日</w:t>
            </w:r>
          </w:p>
        </w:tc>
      </w:tr>
      <w:tr w14:paraId="329D6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1A7AC0C"/>
        </w:tc>
        <w:tc>
          <w:tcPr>
            <w:tcW w:w="2768" w:type="dxa"/>
            <w:shd w:val="clear" w:color="auto" w:fill="BFBFBF"/>
            <w:vAlign w:val="center"/>
          </w:tcPr>
          <w:p w14:paraId="2AE8EE3A">
            <w:pPr>
              <w:jc w:val="center"/>
            </w:pPr>
            <w:r>
              <w:rPr>
                <w:rFonts w:hint="eastAsia"/>
                <w:b/>
              </w:rPr>
              <w:t>成交金额</w:t>
            </w:r>
          </w:p>
        </w:tc>
        <w:tc>
          <w:tcPr>
            <w:tcW w:w="2768" w:type="dxa"/>
            <w:shd w:val="clear" w:color="auto" w:fill="BFBFBF"/>
            <w:vAlign w:val="center"/>
          </w:tcPr>
          <w:p w14:paraId="319568C3">
            <w:pPr>
              <w:jc w:val="center"/>
              <w:rPr>
                <w:rFonts w:hint="eastAsia"/>
                <w:b/>
              </w:rPr>
            </w:pPr>
            <w:r>
              <w:rPr>
                <w:rFonts w:hint="eastAsia"/>
                <w:b/>
              </w:rPr>
              <w:t>占当期股票
</w:t>
            </w:r>
            <w:r>
              <w:rPr>
                <w:rFonts w:hint="eastAsia"/>
                <w:b/>
              </w:rPr>
              <w:br w:type="textWrapping"/>
            </w:r>
            <w:r>
              <w:rPr>
                <w:rFonts w:hint="eastAsia"/>
                <w:b/>
              </w:rPr>
              <w:t>成交总额的比例</w:t>
            </w:r>
          </w:p>
        </w:tc>
      </w:tr>
      <w:tr w14:paraId="063B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B21BB7">
            <w:r>
              <w:rPr>
                <w:rFonts w:hint="eastAsia"/>
              </w:rPr>
              <w:t>华泰证券</w:t>
            </w:r>
          </w:p>
        </w:tc>
        <w:tc>
          <w:tcPr>
            <w:tcW w:w="2768" w:type="dxa"/>
            <w:vAlign w:val="center"/>
          </w:tcPr>
          <w:p w14:paraId="775ACDA0">
            <w:pPr>
              <w:jc w:val="right"/>
            </w:pPr>
            <w:r>
              <w:rPr>
                <w:rFonts w:hint="eastAsia"/>
              </w:rPr>
              <w:t>1,081,386,873.52</w:t>
            </w:r>
          </w:p>
        </w:tc>
        <w:tc>
          <w:tcPr>
            <w:tcW w:w="2768" w:type="dxa"/>
            <w:vAlign w:val="center"/>
          </w:tcPr>
          <w:p w14:paraId="160DA582">
            <w:pPr>
              <w:jc w:val="right"/>
            </w:pPr>
            <w:r>
              <w:rPr>
                <w:rFonts w:hint="eastAsia"/>
              </w:rPr>
              <w:t>100.00%</w:t>
            </w:r>
          </w:p>
        </w:tc>
      </w:tr>
    </w:tbl>
    <w:p w14:paraId="468063B3">
      <w:pPr>
        <w:pStyle w:val="36"/>
      </w:pPr>
      <w:bookmarkStart w:id="110" w:name="_Toc110"/>
      <w:r>
        <w:t>债券交易</w:t>
      </w:r>
      <w:bookmarkEnd w:id="110"/>
    </w:p>
    <w:p w14:paraId="13E012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2"/>
        <w:gridCol w:w="3322"/>
      </w:tblGrid>
      <w:tr w14:paraId="3570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A108515">
            <w:pPr>
              <w:jc w:val="center"/>
            </w:pPr>
            <w:r>
              <w:rPr>
                <w:rFonts w:hint="eastAsia"/>
                <w:b/>
              </w:rPr>
              <w:t>关联方名称</w:t>
            </w:r>
          </w:p>
        </w:tc>
        <w:tc>
          <w:tcPr>
            <w:tcW w:w="3322" w:type="dxa"/>
            <w:gridSpan w:val="2"/>
            <w:shd w:val="clear" w:color="auto" w:fill="BFBFBF"/>
            <w:vAlign w:val="center"/>
          </w:tcPr>
          <w:p w14:paraId="0576D323">
            <w:pPr>
              <w:jc w:val="center"/>
            </w:pPr>
            <w:r>
              <w:rPr>
                <w:rFonts w:hint="eastAsia"/>
                <w:b/>
              </w:rPr>
              <w:t>本期2025年8月6日（基金合同生效日）至2025年12月31日</w:t>
            </w:r>
          </w:p>
        </w:tc>
      </w:tr>
      <w:tr w14:paraId="1645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AC2D7D"/>
        </w:tc>
        <w:tc>
          <w:tcPr>
            <w:tcW w:w="3322" w:type="dxa"/>
            <w:shd w:val="clear" w:color="auto" w:fill="BFBFBF"/>
            <w:vAlign w:val="center"/>
          </w:tcPr>
          <w:p w14:paraId="74E3F1CE">
            <w:pPr>
              <w:jc w:val="center"/>
            </w:pPr>
            <w:r>
              <w:rPr>
                <w:rFonts w:hint="eastAsia"/>
                <w:b/>
              </w:rPr>
              <w:t>成交金额</w:t>
            </w:r>
          </w:p>
        </w:tc>
        <w:tc>
          <w:tcPr>
            <w:tcW w:w="3322" w:type="dxa"/>
            <w:shd w:val="clear" w:color="auto" w:fill="BFBFBF"/>
            <w:vAlign w:val="center"/>
          </w:tcPr>
          <w:p w14:paraId="5B684B05">
            <w:pPr>
              <w:jc w:val="center"/>
            </w:pPr>
            <w:r>
              <w:rPr>
                <w:rFonts w:hint="eastAsia"/>
                <w:b/>
              </w:rPr>
              <w:t>占当期债券成交总额的比例</w:t>
            </w:r>
          </w:p>
        </w:tc>
      </w:tr>
      <w:tr w14:paraId="4258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02644E">
            <w:r>
              <w:rPr>
                <w:rFonts w:hint="eastAsia"/>
              </w:rPr>
              <w:t>华泰证券</w:t>
            </w:r>
          </w:p>
        </w:tc>
        <w:tc>
          <w:tcPr>
            <w:tcW w:w="3322" w:type="dxa"/>
            <w:vAlign w:val="center"/>
          </w:tcPr>
          <w:p w14:paraId="3F9CFDCD">
            <w:pPr>
              <w:jc w:val="right"/>
            </w:pPr>
            <w:r>
              <w:rPr>
                <w:rFonts w:hint="eastAsia"/>
              </w:rPr>
              <w:t>729,620,673.60</w:t>
            </w:r>
          </w:p>
        </w:tc>
        <w:tc>
          <w:tcPr>
            <w:tcW w:w="3322" w:type="dxa"/>
            <w:vAlign w:val="center"/>
          </w:tcPr>
          <w:p w14:paraId="7BFDA4E6">
            <w:pPr>
              <w:jc w:val="right"/>
            </w:pPr>
            <w:r>
              <w:rPr>
                <w:rFonts w:hint="eastAsia"/>
              </w:rPr>
              <w:t>100.00%</w:t>
            </w:r>
          </w:p>
        </w:tc>
      </w:tr>
    </w:tbl>
    <w:p w14:paraId="7EAA578C">
      <w:pPr>
        <w:pStyle w:val="36"/>
      </w:pPr>
      <w:bookmarkStart w:id="111" w:name="_Toc111"/>
      <w:r>
        <w:t>债券回购交易</w:t>
      </w:r>
      <w:bookmarkEnd w:id="111"/>
    </w:p>
    <w:p w14:paraId="71C3A27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FE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2C1F74F">
            <w:pPr>
              <w:jc w:val="center"/>
            </w:pPr>
            <w:r>
              <w:rPr>
                <w:rFonts w:hint="eastAsia"/>
                <w:b/>
              </w:rPr>
              <w:t>关联方名称</w:t>
            </w:r>
          </w:p>
        </w:tc>
        <w:tc>
          <w:tcPr>
            <w:tcW w:w="2768" w:type="dxa"/>
            <w:gridSpan w:val="2"/>
            <w:shd w:val="clear" w:color="auto" w:fill="BFBFBF"/>
            <w:vAlign w:val="center"/>
          </w:tcPr>
          <w:p w14:paraId="2491BB52">
            <w:pPr>
              <w:jc w:val="center"/>
            </w:pPr>
            <w:r>
              <w:rPr>
                <w:rFonts w:hint="eastAsia"/>
                <w:b/>
              </w:rPr>
              <w:t>本期2025年8月6日（基金合同生效日）至2025年12月31日</w:t>
            </w:r>
          </w:p>
        </w:tc>
      </w:tr>
      <w:tr w14:paraId="4980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2B67AA"/>
        </w:tc>
        <w:tc>
          <w:tcPr>
            <w:tcW w:w="2768" w:type="dxa"/>
            <w:shd w:val="clear" w:color="auto" w:fill="BFBFBF"/>
            <w:vAlign w:val="center"/>
          </w:tcPr>
          <w:p w14:paraId="54A75C59">
            <w:pPr>
              <w:jc w:val="center"/>
            </w:pPr>
            <w:r>
              <w:rPr>
                <w:rFonts w:hint="eastAsia"/>
                <w:b/>
              </w:rPr>
              <w:t>成交金额</w:t>
            </w:r>
          </w:p>
        </w:tc>
        <w:tc>
          <w:tcPr>
            <w:tcW w:w="2768" w:type="dxa"/>
            <w:shd w:val="clear" w:color="auto" w:fill="BFBFBF"/>
            <w:vAlign w:val="center"/>
          </w:tcPr>
          <w:p w14:paraId="2F09BF13">
            <w:pPr>
              <w:jc w:val="center"/>
            </w:pPr>
            <w:r>
              <w:rPr>
                <w:rFonts w:hint="eastAsia"/>
                <w:b/>
              </w:rPr>
              <w:t>占当期债券回购成交总额的比例</w:t>
            </w:r>
          </w:p>
        </w:tc>
      </w:tr>
      <w:tr w14:paraId="5A86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FC45F">
            <w:r>
              <w:rPr>
                <w:rFonts w:hint="eastAsia"/>
              </w:rPr>
              <w:t>华泰证券</w:t>
            </w:r>
          </w:p>
        </w:tc>
        <w:tc>
          <w:tcPr>
            <w:tcW w:w="2768" w:type="dxa"/>
            <w:vAlign w:val="center"/>
          </w:tcPr>
          <w:p w14:paraId="46ED12B4">
            <w:pPr>
              <w:jc w:val="right"/>
            </w:pPr>
            <w:r>
              <w:rPr>
                <w:rFonts w:hint="eastAsia"/>
              </w:rPr>
              <w:t>17,989,465,000.00</w:t>
            </w:r>
          </w:p>
        </w:tc>
        <w:tc>
          <w:tcPr>
            <w:tcW w:w="2768" w:type="dxa"/>
            <w:vAlign w:val="center"/>
          </w:tcPr>
          <w:p w14:paraId="2F91B216">
            <w:pPr>
              <w:jc w:val="right"/>
            </w:pPr>
            <w:r>
              <w:rPr>
                <w:rFonts w:hint="eastAsia"/>
              </w:rPr>
              <w:t>100.00%</w:t>
            </w:r>
          </w:p>
        </w:tc>
      </w:tr>
    </w:tbl>
    <w:p w14:paraId="546E7027">
      <w:pPr>
        <w:pStyle w:val="36"/>
      </w:pPr>
      <w:bookmarkStart w:id="112" w:name="_Toc112"/>
      <w:r>
        <w:t>基金交易</w:t>
      </w:r>
      <w:bookmarkEnd w:id="112"/>
    </w:p>
    <w:p w14:paraId="2B705F52">
      <w:pPr>
        <w:pStyle w:val="18"/>
        <w:rPr>
          <w:rFonts w:hint="eastAsia"/>
        </w:rPr>
      </w:pPr>
      <w:r>
        <w:rPr>
          <w:rFonts w:hint="eastAsia"/>
        </w:rPr>
        <w:t>无。</w:t>
      </w:r>
    </w:p>
    <w:p w14:paraId="11F81389">
      <w:pPr>
        <w:pStyle w:val="36"/>
      </w:pPr>
      <w:bookmarkStart w:id="113" w:name="_Toc113"/>
      <w:r>
        <w:t>权证交易</w:t>
      </w:r>
      <w:bookmarkEnd w:id="113"/>
    </w:p>
    <w:p w14:paraId="5B2AA5F1">
      <w:pPr>
        <w:pStyle w:val="18"/>
        <w:rPr>
          <w:rFonts w:hint="eastAsia"/>
        </w:rPr>
      </w:pPr>
      <w:r>
        <w:rPr>
          <w:rFonts w:hint="eastAsia"/>
        </w:rPr>
        <w:t>无。</w:t>
      </w:r>
    </w:p>
    <w:p w14:paraId="45B041B0">
      <w:pPr>
        <w:pStyle w:val="36"/>
      </w:pPr>
      <w:bookmarkStart w:id="114" w:name="_Toc114"/>
      <w:r>
        <w:t>应支付关联方的佣金</w:t>
      </w:r>
      <w:bookmarkEnd w:id="114"/>
    </w:p>
    <w:p w14:paraId="5A4C988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48C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EF5F982">
            <w:pPr>
              <w:jc w:val="center"/>
            </w:pPr>
            <w:r>
              <w:rPr>
                <w:rFonts w:hint="eastAsia"/>
                <w:b/>
              </w:rPr>
              <w:t>关联方名称</w:t>
            </w:r>
          </w:p>
        </w:tc>
        <w:tc>
          <w:tcPr>
            <w:tcW w:w="1661" w:type="dxa"/>
            <w:gridSpan w:val="4"/>
            <w:shd w:val="clear" w:color="auto" w:fill="BFBFBF"/>
            <w:vAlign w:val="center"/>
          </w:tcPr>
          <w:p w14:paraId="58FDE13F">
            <w:pPr>
              <w:jc w:val="center"/>
            </w:pPr>
            <w:r>
              <w:rPr>
                <w:rFonts w:hint="eastAsia"/>
                <w:b/>
              </w:rPr>
              <w:t>本期2025年8月6日（基金合同生效日）至2025年12月31日</w:t>
            </w:r>
          </w:p>
        </w:tc>
      </w:tr>
      <w:tr w14:paraId="41D6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17651C"/>
        </w:tc>
        <w:tc>
          <w:tcPr>
            <w:tcW w:w="1661" w:type="dxa"/>
            <w:shd w:val="clear" w:color="auto" w:fill="BFBFBF"/>
            <w:vAlign w:val="center"/>
          </w:tcPr>
          <w:p w14:paraId="7525E3D5">
            <w:pPr>
              <w:jc w:val="center"/>
            </w:pPr>
            <w:r>
              <w:rPr>
                <w:rFonts w:hint="eastAsia"/>
                <w:b/>
              </w:rPr>
              <w:t>当期佣金</w:t>
            </w:r>
          </w:p>
        </w:tc>
        <w:tc>
          <w:tcPr>
            <w:tcW w:w="1661" w:type="dxa"/>
            <w:shd w:val="clear" w:color="auto" w:fill="BFBFBF"/>
            <w:vAlign w:val="center"/>
          </w:tcPr>
          <w:p w14:paraId="0719A10E">
            <w:pPr>
              <w:jc w:val="center"/>
            </w:pPr>
            <w:r>
              <w:rPr>
                <w:rFonts w:hint="eastAsia"/>
                <w:b/>
              </w:rPr>
              <w:t>占当期佣金总量的比例</w:t>
            </w:r>
          </w:p>
        </w:tc>
        <w:tc>
          <w:tcPr>
            <w:tcW w:w="1661" w:type="dxa"/>
            <w:shd w:val="clear" w:color="auto" w:fill="BFBFBF"/>
            <w:vAlign w:val="center"/>
          </w:tcPr>
          <w:p w14:paraId="6EDF9AE7">
            <w:pPr>
              <w:jc w:val="center"/>
            </w:pPr>
            <w:r>
              <w:rPr>
                <w:rFonts w:hint="eastAsia"/>
                <w:b/>
              </w:rPr>
              <w:t>期末应付佣金余额</w:t>
            </w:r>
          </w:p>
        </w:tc>
        <w:tc>
          <w:tcPr>
            <w:tcW w:w="1661" w:type="dxa"/>
            <w:shd w:val="clear" w:color="auto" w:fill="BFBFBF"/>
            <w:vAlign w:val="center"/>
          </w:tcPr>
          <w:p w14:paraId="234F8863">
            <w:pPr>
              <w:jc w:val="center"/>
            </w:pPr>
            <w:r>
              <w:rPr>
                <w:rFonts w:hint="eastAsia"/>
                <w:b/>
              </w:rPr>
              <w:t>占期末应付佣金总额的比例</w:t>
            </w:r>
          </w:p>
        </w:tc>
      </w:tr>
      <w:tr w14:paraId="218B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2C2F11">
            <w:r>
              <w:rPr>
                <w:rFonts w:hint="eastAsia"/>
              </w:rPr>
              <w:t>华泰证券</w:t>
            </w:r>
          </w:p>
        </w:tc>
        <w:tc>
          <w:tcPr>
            <w:tcW w:w="1661" w:type="dxa"/>
            <w:vAlign w:val="center"/>
          </w:tcPr>
          <w:p w14:paraId="7CB7840A">
            <w:pPr>
              <w:jc w:val="right"/>
            </w:pPr>
            <w:r>
              <w:rPr>
                <w:rFonts w:hint="eastAsia"/>
              </w:rPr>
              <w:t>458,980.61</w:t>
            </w:r>
          </w:p>
        </w:tc>
        <w:tc>
          <w:tcPr>
            <w:tcW w:w="1661" w:type="dxa"/>
            <w:vAlign w:val="center"/>
          </w:tcPr>
          <w:p w14:paraId="69A54865">
            <w:pPr>
              <w:jc w:val="right"/>
            </w:pPr>
            <w:r>
              <w:rPr>
                <w:rFonts w:hint="eastAsia"/>
              </w:rPr>
              <w:t>100.00%</w:t>
            </w:r>
          </w:p>
        </w:tc>
        <w:tc>
          <w:tcPr>
            <w:tcW w:w="1661" w:type="dxa"/>
            <w:vAlign w:val="center"/>
          </w:tcPr>
          <w:p w14:paraId="61A7F87F">
            <w:pPr>
              <w:jc w:val="right"/>
            </w:pPr>
            <w:r>
              <w:rPr>
                <w:rFonts w:hint="eastAsia"/>
              </w:rPr>
              <w:t>161,856.75</w:t>
            </w:r>
          </w:p>
        </w:tc>
        <w:tc>
          <w:tcPr>
            <w:tcW w:w="1661" w:type="dxa"/>
            <w:vAlign w:val="center"/>
          </w:tcPr>
          <w:p w14:paraId="55EA14EA">
            <w:pPr>
              <w:jc w:val="right"/>
            </w:pPr>
            <w:r>
              <w:rPr>
                <w:rFonts w:hint="eastAsia"/>
              </w:rPr>
              <w:t>100.00%</w:t>
            </w:r>
          </w:p>
        </w:tc>
      </w:tr>
    </w:tbl>
    <w:p w14:paraId="213DCF42">
      <w:pPr>
        <w:pStyle w:val="47"/>
        <w:rPr>
          <w:rFonts w:hint="eastAsia"/>
        </w:rPr>
      </w:pPr>
      <w:r>
        <w:rPr>
          <w:rFonts w:hint="eastAsia"/>
        </w:rPr>
        <w:t>注：1.上述佣金费率参考市场价格确定。</w:t>
      </w:r>
    </w:p>
    <w:p w14:paraId="1D1CE17D">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F55EE4A">
      <w:pPr>
        <w:pStyle w:val="35"/>
      </w:pPr>
      <w:bookmarkStart w:id="115" w:name="_Toc115"/>
      <w:r>
        <w:t>关联方报酬</w:t>
      </w:r>
      <w:bookmarkEnd w:id="115"/>
    </w:p>
    <w:p w14:paraId="3393F1B5">
      <w:pPr>
        <w:pStyle w:val="36"/>
      </w:pPr>
      <w:bookmarkStart w:id="116" w:name="_Toc116"/>
      <w:r>
        <w:t>基金管理费</w:t>
      </w:r>
      <w:bookmarkEnd w:id="116"/>
    </w:p>
    <w:p w14:paraId="092766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38C7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16EC2DB2">
            <w:pPr>
              <w:jc w:val="center"/>
            </w:pPr>
            <w:r>
              <w:rPr>
                <w:rFonts w:hint="eastAsia"/>
                <w:b/>
              </w:rPr>
              <w:t>项目</w:t>
            </w:r>
          </w:p>
        </w:tc>
        <w:tc>
          <w:tcPr>
            <w:tcW w:w="3599" w:type="dxa"/>
            <w:shd w:val="clear" w:color="auto" w:fill="BFBFBF"/>
            <w:vAlign w:val="center"/>
          </w:tcPr>
          <w:p w14:paraId="34A45875">
            <w:pPr>
              <w:jc w:val="center"/>
            </w:pPr>
            <w:r>
              <w:rPr>
                <w:rFonts w:hint="eastAsia"/>
                <w:b/>
              </w:rPr>
              <w:t>本期2025年8月6日（基金合同生效日）至2025年12月31日</w:t>
            </w:r>
          </w:p>
        </w:tc>
      </w:tr>
      <w:tr w14:paraId="4AF3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44CD30E2">
            <w:r>
              <w:rPr>
                <w:rFonts w:hint="eastAsia"/>
              </w:rPr>
              <w:t>当期发生的基金应支付的管理费</w:t>
            </w:r>
          </w:p>
        </w:tc>
        <w:tc>
          <w:tcPr>
            <w:tcW w:w="3599" w:type="dxa"/>
            <w:vAlign w:val="center"/>
          </w:tcPr>
          <w:p w14:paraId="013779FD">
            <w:pPr>
              <w:jc w:val="right"/>
            </w:pPr>
            <w:r>
              <w:rPr>
                <w:rFonts w:hint="eastAsia"/>
              </w:rPr>
              <w:t>8,884,594.46</w:t>
            </w:r>
          </w:p>
        </w:tc>
      </w:tr>
      <w:tr w14:paraId="2879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4C16F88C">
            <w:r>
              <w:rPr>
                <w:rFonts w:hint="eastAsia"/>
              </w:rPr>
              <w:t>其中：应支付销售机构的客户维护费</w:t>
            </w:r>
          </w:p>
        </w:tc>
        <w:tc>
          <w:tcPr>
            <w:tcW w:w="3599" w:type="dxa"/>
            <w:vAlign w:val="center"/>
          </w:tcPr>
          <w:p w14:paraId="042177CA">
            <w:pPr>
              <w:jc w:val="right"/>
            </w:pPr>
            <w:r>
              <w:rPr>
                <w:rFonts w:hint="eastAsia"/>
              </w:rPr>
              <w:t>3,886,310.84</w:t>
            </w:r>
          </w:p>
        </w:tc>
      </w:tr>
      <w:tr w14:paraId="57A2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127E7116">
            <w:r>
              <w:rPr>
                <w:rFonts w:hint="eastAsia"/>
              </w:rPr>
              <w:t xml:space="preserve">      应支付基金管理人的净管理费</w:t>
            </w:r>
          </w:p>
        </w:tc>
        <w:tc>
          <w:tcPr>
            <w:tcW w:w="3599" w:type="dxa"/>
            <w:vAlign w:val="center"/>
          </w:tcPr>
          <w:p w14:paraId="7744879D">
            <w:pPr>
              <w:jc w:val="right"/>
            </w:pPr>
            <w:r>
              <w:rPr>
                <w:rFonts w:hint="eastAsia"/>
              </w:rPr>
              <w:t>4,998,283.62</w:t>
            </w:r>
          </w:p>
        </w:tc>
      </w:tr>
    </w:tbl>
    <w:p w14:paraId="7F086ED6">
      <w:pPr>
        <w:pStyle w:val="47"/>
        <w:rPr>
          <w:rFonts w:hint="eastAsia"/>
        </w:rPr>
      </w:pPr>
      <w:r>
        <w:rPr>
          <w:rFonts w:hint="eastAsia"/>
        </w:rPr>
        <w:t>注：支付基金管理人南方基金的管理人报酬按前一日基金资产净值0.50%的年费率计提，逐日累计至每月月底，按月支付。其计算公式为：</w:t>
      </w:r>
    </w:p>
    <w:p w14:paraId="0E6397EE">
      <w:pPr>
        <w:pStyle w:val="47"/>
        <w:rPr>
          <w:rFonts w:hint="eastAsia"/>
        </w:rPr>
      </w:pPr>
      <w:r>
        <w:tab/>
      </w:r>
      <w:r>
        <w:rPr>
          <w:rFonts w:hint="eastAsia"/>
        </w:rPr>
        <w:t>日管理人报酬＝前一日基金资产净值×0.50%÷当年天数。</w:t>
      </w:r>
    </w:p>
    <w:p w14:paraId="3EDAF479">
      <w:pPr>
        <w:pStyle w:val="36"/>
      </w:pPr>
      <w:bookmarkStart w:id="117" w:name="_Toc117"/>
      <w:r>
        <w:t>基金托管费</w:t>
      </w:r>
      <w:bookmarkEnd w:id="117"/>
    </w:p>
    <w:p w14:paraId="1A7BDD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4187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67DC6CBE">
            <w:pPr>
              <w:jc w:val="center"/>
            </w:pPr>
            <w:r>
              <w:rPr>
                <w:rFonts w:hint="eastAsia"/>
                <w:b/>
              </w:rPr>
              <w:t>项目</w:t>
            </w:r>
          </w:p>
        </w:tc>
        <w:tc>
          <w:tcPr>
            <w:tcW w:w="3599" w:type="dxa"/>
            <w:shd w:val="clear" w:color="auto" w:fill="BFBFBF"/>
            <w:vAlign w:val="center"/>
          </w:tcPr>
          <w:p w14:paraId="091807A4">
            <w:pPr>
              <w:jc w:val="center"/>
            </w:pPr>
            <w:r>
              <w:rPr>
                <w:rFonts w:hint="eastAsia"/>
                <w:b/>
              </w:rPr>
              <w:t>本期2025年8月6日（基金合同生效日）至2025年12月31日</w:t>
            </w:r>
          </w:p>
        </w:tc>
      </w:tr>
      <w:tr w14:paraId="2DE3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04028D44">
            <w:r>
              <w:rPr>
                <w:rFonts w:hint="eastAsia"/>
              </w:rPr>
              <w:t>当期发生的基金应支付的托管费</w:t>
            </w:r>
          </w:p>
        </w:tc>
        <w:tc>
          <w:tcPr>
            <w:tcW w:w="3599" w:type="dxa"/>
            <w:vAlign w:val="center"/>
          </w:tcPr>
          <w:p w14:paraId="1B76350F">
            <w:pPr>
              <w:jc w:val="right"/>
            </w:pPr>
            <w:r>
              <w:rPr>
                <w:rFonts w:hint="eastAsia"/>
              </w:rPr>
              <w:t>1,776,918.89</w:t>
            </w:r>
          </w:p>
        </w:tc>
      </w:tr>
    </w:tbl>
    <w:p w14:paraId="28722D55">
      <w:pPr>
        <w:pStyle w:val="47"/>
        <w:rPr>
          <w:rFonts w:hint="eastAsia"/>
        </w:rPr>
      </w:pPr>
      <w:r>
        <w:rPr>
          <w:rFonts w:hint="eastAsia"/>
        </w:rPr>
        <w:t>注：支付基金托管人的托管费按前一日基金资产净值0.10%的年费率计提，逐日累计至每月月底，按月支付。其计算公式为：</w:t>
      </w:r>
    </w:p>
    <w:p w14:paraId="2CCDBD0F">
      <w:pPr>
        <w:pStyle w:val="47"/>
        <w:rPr>
          <w:rFonts w:hint="eastAsia"/>
        </w:rPr>
      </w:pPr>
      <w:r>
        <w:tab/>
      </w:r>
      <w:r>
        <w:rPr>
          <w:rFonts w:hint="eastAsia"/>
        </w:rPr>
        <w:t>日托管费＝前一日基金资产净值×0.10%÷当年天数。</w:t>
      </w:r>
    </w:p>
    <w:p w14:paraId="7CC6E737">
      <w:pPr>
        <w:pStyle w:val="36"/>
      </w:pPr>
      <w:bookmarkStart w:id="118" w:name="_Toc118"/>
      <w:r>
        <w:t>销售服务费</w:t>
      </w:r>
      <w:bookmarkEnd w:id="118"/>
    </w:p>
    <w:p w14:paraId="0D121E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188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F776D44">
            <w:r>
              <w:rPr>
                <w:rFonts w:hint="eastAsia"/>
              </w:rPr>
              <w:t>获得销售服务费的各关联方名称</w:t>
            </w:r>
          </w:p>
        </w:tc>
        <w:tc>
          <w:tcPr>
            <w:tcW w:w="2214" w:type="dxa"/>
            <w:gridSpan w:val="3"/>
            <w:vAlign w:val="center"/>
          </w:tcPr>
          <w:p w14:paraId="5CA48E2A">
            <w:r>
              <w:rPr>
                <w:rFonts w:hint="eastAsia"/>
              </w:rPr>
              <w:t>本期2025年8月6日(基金合同生效日)至2025年12月31日</w:t>
            </w:r>
          </w:p>
        </w:tc>
      </w:tr>
      <w:tr w14:paraId="15F4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2CB602D"/>
        </w:tc>
        <w:tc>
          <w:tcPr>
            <w:tcW w:w="2214" w:type="dxa"/>
            <w:gridSpan w:val="3"/>
            <w:vAlign w:val="center"/>
          </w:tcPr>
          <w:p w14:paraId="7326DA7B">
            <w:r>
              <w:rPr>
                <w:rFonts w:hint="eastAsia"/>
              </w:rPr>
              <w:t>当期发生的基金应支付的销售服务费</w:t>
            </w:r>
          </w:p>
        </w:tc>
      </w:tr>
      <w:tr w14:paraId="25CD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5431649"/>
        </w:tc>
        <w:tc>
          <w:tcPr>
            <w:tcW w:w="2214" w:type="dxa"/>
            <w:vAlign w:val="center"/>
          </w:tcPr>
          <w:p w14:paraId="06409475">
            <w:r>
              <w:rPr>
                <w:rFonts w:hint="eastAsia"/>
              </w:rPr>
              <w:t>南方益稳稳健增利债券A</w:t>
            </w:r>
          </w:p>
        </w:tc>
        <w:tc>
          <w:tcPr>
            <w:tcW w:w="2214" w:type="dxa"/>
            <w:vAlign w:val="center"/>
          </w:tcPr>
          <w:p w14:paraId="581B5CF3">
            <w:r>
              <w:rPr>
                <w:rFonts w:hint="eastAsia"/>
              </w:rPr>
              <w:t>南方益稳稳健增利债券C</w:t>
            </w:r>
          </w:p>
        </w:tc>
        <w:tc>
          <w:tcPr>
            <w:tcW w:w="1938" w:type="dxa"/>
            <w:vAlign w:val="center"/>
          </w:tcPr>
          <w:p w14:paraId="318283EB">
            <w:r>
              <w:rPr>
                <w:rFonts w:hint="eastAsia"/>
              </w:rPr>
              <w:t>合计</w:t>
            </w:r>
          </w:p>
        </w:tc>
      </w:tr>
      <w:tr w14:paraId="2AF3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E3D161B">
            <w:r>
              <w:rPr>
                <w:rFonts w:hint="eastAsia"/>
              </w:rPr>
              <w:t>广发银行</w:t>
            </w:r>
          </w:p>
        </w:tc>
        <w:tc>
          <w:tcPr>
            <w:tcW w:w="2214" w:type="dxa"/>
            <w:vAlign w:val="center"/>
          </w:tcPr>
          <w:p w14:paraId="56267FE8">
            <w:pPr>
              <w:jc w:val="right"/>
            </w:pPr>
            <w:r>
              <w:rPr>
                <w:rFonts w:hint="eastAsia"/>
              </w:rPr>
              <w:t>-</w:t>
            </w:r>
          </w:p>
        </w:tc>
        <w:tc>
          <w:tcPr>
            <w:tcW w:w="2214" w:type="dxa"/>
            <w:vAlign w:val="center"/>
          </w:tcPr>
          <w:p w14:paraId="72F54658">
            <w:pPr>
              <w:jc w:val="right"/>
            </w:pPr>
            <w:r>
              <w:rPr>
                <w:rFonts w:hint="eastAsia"/>
              </w:rPr>
              <w:t>4,428,775.88</w:t>
            </w:r>
          </w:p>
        </w:tc>
        <w:tc>
          <w:tcPr>
            <w:tcW w:w="1938" w:type="dxa"/>
            <w:vAlign w:val="center"/>
          </w:tcPr>
          <w:p w14:paraId="564E3E29">
            <w:pPr>
              <w:jc w:val="right"/>
            </w:pPr>
            <w:r>
              <w:rPr>
                <w:rFonts w:hint="eastAsia"/>
              </w:rPr>
              <w:t>4,428,775.88</w:t>
            </w:r>
          </w:p>
        </w:tc>
      </w:tr>
      <w:tr w14:paraId="3082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063FD31">
            <w:r>
              <w:rPr>
                <w:rFonts w:hint="eastAsia"/>
              </w:rPr>
              <w:t>华泰证券</w:t>
            </w:r>
          </w:p>
        </w:tc>
        <w:tc>
          <w:tcPr>
            <w:tcW w:w="2214" w:type="dxa"/>
            <w:vAlign w:val="center"/>
          </w:tcPr>
          <w:p w14:paraId="451D2546">
            <w:pPr>
              <w:jc w:val="right"/>
            </w:pPr>
            <w:r>
              <w:rPr>
                <w:rFonts w:hint="eastAsia"/>
              </w:rPr>
              <w:t>-</w:t>
            </w:r>
          </w:p>
        </w:tc>
        <w:tc>
          <w:tcPr>
            <w:tcW w:w="2214" w:type="dxa"/>
            <w:vAlign w:val="center"/>
          </w:tcPr>
          <w:p w14:paraId="0F371FDC">
            <w:pPr>
              <w:jc w:val="right"/>
            </w:pPr>
            <w:r>
              <w:rPr>
                <w:rFonts w:hint="eastAsia"/>
              </w:rPr>
              <w:t>0.08</w:t>
            </w:r>
          </w:p>
        </w:tc>
        <w:tc>
          <w:tcPr>
            <w:tcW w:w="1938" w:type="dxa"/>
            <w:vAlign w:val="center"/>
          </w:tcPr>
          <w:p w14:paraId="07C42361">
            <w:pPr>
              <w:jc w:val="right"/>
            </w:pPr>
            <w:r>
              <w:rPr>
                <w:rFonts w:hint="eastAsia"/>
              </w:rPr>
              <w:t>0.08</w:t>
            </w:r>
          </w:p>
        </w:tc>
      </w:tr>
      <w:tr w14:paraId="3080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A792EB8">
            <w:r>
              <w:rPr>
                <w:rFonts w:hint="eastAsia"/>
              </w:rPr>
              <w:t>南方基金</w:t>
            </w:r>
          </w:p>
        </w:tc>
        <w:tc>
          <w:tcPr>
            <w:tcW w:w="2214" w:type="dxa"/>
            <w:vAlign w:val="center"/>
          </w:tcPr>
          <w:p w14:paraId="68FC70E2">
            <w:pPr>
              <w:jc w:val="right"/>
            </w:pPr>
            <w:r>
              <w:rPr>
                <w:rFonts w:hint="eastAsia"/>
              </w:rPr>
              <w:t>-</w:t>
            </w:r>
          </w:p>
        </w:tc>
        <w:tc>
          <w:tcPr>
            <w:tcW w:w="2214" w:type="dxa"/>
            <w:vAlign w:val="center"/>
          </w:tcPr>
          <w:p w14:paraId="3B774843">
            <w:pPr>
              <w:jc w:val="right"/>
            </w:pPr>
            <w:r>
              <w:rPr>
                <w:rFonts w:hint="eastAsia"/>
              </w:rPr>
              <w:t>1,220.46</w:t>
            </w:r>
          </w:p>
        </w:tc>
        <w:tc>
          <w:tcPr>
            <w:tcW w:w="1938" w:type="dxa"/>
            <w:vAlign w:val="center"/>
          </w:tcPr>
          <w:p w14:paraId="74F4EDC5">
            <w:pPr>
              <w:jc w:val="right"/>
            </w:pPr>
            <w:r>
              <w:rPr>
                <w:rFonts w:hint="eastAsia"/>
              </w:rPr>
              <w:t>1,220.46</w:t>
            </w:r>
          </w:p>
        </w:tc>
      </w:tr>
      <w:tr w14:paraId="7A7D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1EA1106">
            <w:r>
              <w:rPr>
                <w:rFonts w:hint="eastAsia"/>
              </w:rPr>
              <w:t>合计</w:t>
            </w:r>
          </w:p>
        </w:tc>
        <w:tc>
          <w:tcPr>
            <w:tcW w:w="2214" w:type="dxa"/>
            <w:vAlign w:val="center"/>
          </w:tcPr>
          <w:p w14:paraId="35E5C7E1">
            <w:pPr>
              <w:jc w:val="right"/>
            </w:pPr>
            <w:r>
              <w:rPr>
                <w:rFonts w:hint="eastAsia"/>
              </w:rPr>
              <w:t>-</w:t>
            </w:r>
          </w:p>
        </w:tc>
        <w:tc>
          <w:tcPr>
            <w:tcW w:w="2214" w:type="dxa"/>
            <w:vAlign w:val="center"/>
          </w:tcPr>
          <w:p w14:paraId="27981ECA">
            <w:pPr>
              <w:jc w:val="right"/>
            </w:pPr>
            <w:r>
              <w:rPr>
                <w:rFonts w:hint="eastAsia"/>
              </w:rPr>
              <w:t>4,429,996.42</w:t>
            </w:r>
          </w:p>
        </w:tc>
        <w:tc>
          <w:tcPr>
            <w:tcW w:w="1938" w:type="dxa"/>
            <w:vAlign w:val="center"/>
          </w:tcPr>
          <w:p w14:paraId="102B5D17">
            <w:pPr>
              <w:jc w:val="right"/>
            </w:pPr>
            <w:r>
              <w:rPr>
                <w:rFonts w:hint="eastAsia"/>
              </w:rPr>
              <w:t>4,429,996.42</w:t>
            </w:r>
          </w:p>
        </w:tc>
      </w:tr>
    </w:tbl>
    <w:p w14:paraId="1650724C">
      <w:pPr>
        <w:pStyle w:val="47"/>
        <w:rPr>
          <w:rFonts w:hint="eastAsia"/>
        </w:rPr>
      </w:pPr>
      <w:r>
        <w:rPr>
          <w:rFonts w:hint="eastAsia"/>
        </w:rPr>
        <w:t>注：支付基金销售机构的销售服务费按前一日C类基金资产净值0.30%的年费率计提，逐日累计至每月月底，按月支付给南方基金，再由南方基金计算并支付给各基金销售机构。其计算公式为：</w:t>
      </w:r>
    </w:p>
    <w:p w14:paraId="0A7A841D">
      <w:pPr>
        <w:pStyle w:val="47"/>
        <w:rPr>
          <w:rFonts w:hint="eastAsia"/>
        </w:rPr>
      </w:pPr>
      <w:r>
        <w:tab/>
      </w:r>
      <w:r>
        <w:rPr>
          <w:rFonts w:hint="eastAsia"/>
        </w:rPr>
        <w:t>日销售服务费＝前一日C类基金资产净值×0.30%÷当年天数。</w:t>
      </w:r>
    </w:p>
    <w:p w14:paraId="0DEBC80A">
      <w:pPr>
        <w:pStyle w:val="35"/>
      </w:pPr>
      <w:bookmarkStart w:id="119" w:name="_Toc119"/>
      <w:r>
        <w:t>与关联方进行银行间同业市场的债券（含回购）交易</w:t>
      </w:r>
      <w:bookmarkEnd w:id="119"/>
    </w:p>
    <w:p w14:paraId="7A37135E">
      <w:pPr>
        <w:pStyle w:val="18"/>
        <w:rPr>
          <w:rFonts w:hint="eastAsia"/>
        </w:rPr>
      </w:pPr>
      <w:r>
        <w:rPr>
          <w:rFonts w:hint="eastAsia"/>
        </w:rPr>
        <w:t>无。</w:t>
      </w:r>
    </w:p>
    <w:p w14:paraId="530B727E">
      <w:pPr>
        <w:pStyle w:val="35"/>
      </w:pPr>
      <w:bookmarkStart w:id="120" w:name="_Toc120"/>
      <w:r>
        <w:t>报告期内转融通证券出借业务发生重大关联交易事项的说明</w:t>
      </w:r>
      <w:bookmarkEnd w:id="120"/>
    </w:p>
    <w:p w14:paraId="46C982A9">
      <w:pPr>
        <w:pStyle w:val="36"/>
      </w:pPr>
      <w:bookmarkStart w:id="121" w:name="_Toc121"/>
      <w:r>
        <w:t>与关联方通过约定申报方式进行的适用固定期限费率的证券出借业务的情况</w:t>
      </w:r>
      <w:bookmarkEnd w:id="121"/>
    </w:p>
    <w:p w14:paraId="67BF2DC6">
      <w:pPr>
        <w:pStyle w:val="18"/>
        <w:rPr>
          <w:rFonts w:hint="eastAsia"/>
        </w:rPr>
      </w:pPr>
      <w:r>
        <w:rPr>
          <w:rFonts w:hint="eastAsia"/>
        </w:rPr>
        <w:t>无。</w:t>
      </w:r>
    </w:p>
    <w:p w14:paraId="6CA667F5">
      <w:pPr>
        <w:pStyle w:val="36"/>
      </w:pPr>
      <w:bookmarkStart w:id="122" w:name="_Toc122"/>
      <w:r>
        <w:t>与关联方通过约定申报方式进行的适用市场化期限费率的证券出借业务的情况</w:t>
      </w:r>
      <w:bookmarkEnd w:id="122"/>
    </w:p>
    <w:p w14:paraId="18348E32">
      <w:pPr>
        <w:pStyle w:val="18"/>
        <w:rPr>
          <w:rFonts w:hint="eastAsia"/>
        </w:rPr>
      </w:pPr>
      <w:r>
        <w:rPr>
          <w:rFonts w:hint="eastAsia"/>
        </w:rPr>
        <w:t>无。</w:t>
      </w:r>
    </w:p>
    <w:p w14:paraId="527C2B9C">
      <w:pPr>
        <w:pStyle w:val="35"/>
      </w:pPr>
      <w:bookmarkStart w:id="123" w:name="_Toc123"/>
      <w:r>
        <w:t>各关联方投资本基金的情况</w:t>
      </w:r>
      <w:bookmarkEnd w:id="123"/>
    </w:p>
    <w:p w14:paraId="3DAEBCEC">
      <w:pPr>
        <w:pStyle w:val="36"/>
      </w:pPr>
      <w:bookmarkStart w:id="124" w:name="_Toc124"/>
      <w:r>
        <w:t>报告期内基金管理人运用固有资金投资本基金的情况</w:t>
      </w:r>
      <w:bookmarkEnd w:id="124"/>
    </w:p>
    <w:p w14:paraId="32E85A7D">
      <w:pPr>
        <w:pStyle w:val="18"/>
        <w:rPr>
          <w:rFonts w:hint="eastAsia"/>
        </w:rPr>
      </w:pPr>
      <w:r>
        <w:rPr>
          <w:rFonts w:hint="eastAsia"/>
        </w:rPr>
        <w:t>无。</w:t>
      </w:r>
    </w:p>
    <w:p w14:paraId="767E0556">
      <w:pPr>
        <w:pStyle w:val="36"/>
      </w:pPr>
      <w:bookmarkStart w:id="125" w:name="_Toc125"/>
      <w:r>
        <w:t>报告期末除基金管理人之外的其他关联方投资本基金的情况</w:t>
      </w:r>
      <w:bookmarkEnd w:id="125"/>
    </w:p>
    <w:p w14:paraId="2F44A3A5">
      <w:pPr>
        <w:pStyle w:val="18"/>
        <w:rPr>
          <w:rFonts w:hint="eastAsia"/>
        </w:rPr>
      </w:pPr>
      <w:r>
        <w:rPr>
          <w:rFonts w:hint="eastAsia"/>
        </w:rPr>
        <w:t>无。</w:t>
      </w:r>
    </w:p>
    <w:p w14:paraId="240183D9">
      <w:pPr>
        <w:pStyle w:val="35"/>
      </w:pPr>
      <w:bookmarkStart w:id="126" w:name="_Toc126"/>
      <w:r>
        <w:t>由关联方保管的银行存款余额及当期产生的利息收入</w:t>
      </w:r>
      <w:bookmarkEnd w:id="126"/>
    </w:p>
    <w:p w14:paraId="6C2A84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653C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4098F073">
            <w:pPr>
              <w:jc w:val="center"/>
            </w:pPr>
            <w:r>
              <w:rPr>
                <w:rFonts w:hint="eastAsia"/>
                <w:b/>
              </w:rPr>
              <w:t>关联方名称</w:t>
            </w:r>
          </w:p>
        </w:tc>
        <w:tc>
          <w:tcPr>
            <w:tcW w:w="3294" w:type="dxa"/>
            <w:gridSpan w:val="2"/>
            <w:shd w:val="clear" w:color="auto" w:fill="BFBFBF"/>
            <w:vAlign w:val="center"/>
          </w:tcPr>
          <w:p w14:paraId="30319D62">
            <w:pPr>
              <w:jc w:val="center"/>
            </w:pPr>
            <w:r>
              <w:rPr>
                <w:rFonts w:hint="eastAsia"/>
                <w:b/>
              </w:rPr>
              <w:t>本期2025年8月6日（基金合同生效日）至2025年12月31日</w:t>
            </w:r>
          </w:p>
        </w:tc>
      </w:tr>
      <w:tr w14:paraId="7AC0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61F2D16B"/>
        </w:tc>
        <w:tc>
          <w:tcPr>
            <w:tcW w:w="3294" w:type="dxa"/>
            <w:shd w:val="clear" w:color="auto" w:fill="BFBFBF"/>
            <w:vAlign w:val="center"/>
          </w:tcPr>
          <w:p w14:paraId="105AD634">
            <w:pPr>
              <w:jc w:val="center"/>
            </w:pPr>
            <w:r>
              <w:rPr>
                <w:rFonts w:hint="eastAsia"/>
                <w:b/>
              </w:rPr>
              <w:t>期末余额</w:t>
            </w:r>
          </w:p>
        </w:tc>
        <w:tc>
          <w:tcPr>
            <w:tcW w:w="3294" w:type="dxa"/>
            <w:shd w:val="clear" w:color="auto" w:fill="BFBFBF"/>
            <w:vAlign w:val="center"/>
          </w:tcPr>
          <w:p w14:paraId="7DFE476F">
            <w:pPr>
              <w:jc w:val="center"/>
            </w:pPr>
            <w:r>
              <w:rPr>
                <w:rFonts w:hint="eastAsia"/>
                <w:b/>
              </w:rPr>
              <w:t>当期利息收入</w:t>
            </w:r>
          </w:p>
        </w:tc>
      </w:tr>
      <w:tr w14:paraId="6365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4B856AA9">
            <w:r>
              <w:rPr>
                <w:rFonts w:hint="eastAsia"/>
              </w:rPr>
              <w:t>广发银行</w:t>
            </w:r>
          </w:p>
        </w:tc>
        <w:tc>
          <w:tcPr>
            <w:tcW w:w="3294" w:type="dxa"/>
            <w:vAlign w:val="center"/>
          </w:tcPr>
          <w:p w14:paraId="16CA3A12">
            <w:pPr>
              <w:jc w:val="right"/>
            </w:pPr>
            <w:r>
              <w:rPr>
                <w:rFonts w:hint="eastAsia"/>
              </w:rPr>
              <w:t>17,594,995.04</w:t>
            </w:r>
          </w:p>
        </w:tc>
        <w:tc>
          <w:tcPr>
            <w:tcW w:w="3294" w:type="dxa"/>
            <w:vAlign w:val="center"/>
          </w:tcPr>
          <w:p w14:paraId="7AC3227D">
            <w:pPr>
              <w:jc w:val="right"/>
            </w:pPr>
            <w:r>
              <w:rPr>
                <w:rFonts w:hint="eastAsia"/>
              </w:rPr>
              <w:t>938,313.38</w:t>
            </w:r>
          </w:p>
        </w:tc>
      </w:tr>
    </w:tbl>
    <w:p w14:paraId="26D9C63F">
      <w:pPr>
        <w:pStyle w:val="47"/>
        <w:rPr>
          <w:rFonts w:hint="eastAsia"/>
        </w:rPr>
      </w:pPr>
      <w:r>
        <w:rPr>
          <w:rFonts w:hint="eastAsia"/>
        </w:rPr>
        <w:t>注：本基金的银行存款由基金托管人保管，按银行约定利率计息。</w:t>
      </w:r>
    </w:p>
    <w:p w14:paraId="699BE82C">
      <w:pPr>
        <w:pStyle w:val="35"/>
      </w:pPr>
      <w:bookmarkStart w:id="127" w:name="_Toc127"/>
      <w:r>
        <w:t>本基金在承销期内参与关联方承销证券的情况</w:t>
      </w:r>
      <w:bookmarkEnd w:id="127"/>
    </w:p>
    <w:p w14:paraId="7FA22D3B">
      <w:pPr>
        <w:pStyle w:val="18"/>
        <w:rPr>
          <w:rFonts w:hint="eastAsia"/>
        </w:rPr>
      </w:pPr>
      <w:r>
        <w:rPr>
          <w:rFonts w:hint="eastAsia"/>
        </w:rPr>
        <w:t>无。</w:t>
      </w:r>
    </w:p>
    <w:p w14:paraId="53F6EEF8">
      <w:pPr>
        <w:pStyle w:val="35"/>
      </w:pPr>
      <w:bookmarkStart w:id="128" w:name="_Toc128"/>
      <w:r>
        <w:t>其他关联交易事项的说明</w:t>
      </w:r>
      <w:bookmarkEnd w:id="128"/>
    </w:p>
    <w:p w14:paraId="6D59D5A3">
      <w:pPr>
        <w:pStyle w:val="36"/>
      </w:pPr>
      <w:bookmarkStart w:id="129" w:name="_Toc129"/>
      <w:r>
        <w:t>其他关联交易事项的说明</w:t>
      </w:r>
      <w:bookmarkEnd w:id="129"/>
    </w:p>
    <w:p w14:paraId="6B4591A8">
      <w:pPr>
        <w:pStyle w:val="18"/>
        <w:rPr>
          <w:rFonts w:hint="eastAsia"/>
        </w:rPr>
      </w:pPr>
      <w:r>
        <w:rPr>
          <w:rFonts w:hint="eastAsia"/>
        </w:rPr>
        <w:t>无。</w:t>
      </w:r>
    </w:p>
    <w:p w14:paraId="2B2C1D90">
      <w:pPr>
        <w:pStyle w:val="36"/>
      </w:pPr>
      <w:bookmarkStart w:id="130" w:name="_Toc130"/>
      <w:r>
        <w:t>当期交易及持有基金管理人以及管理人关联方所管理基金产生的费用</w:t>
      </w:r>
      <w:bookmarkEnd w:id="130"/>
    </w:p>
    <w:p w14:paraId="6060D2BF">
      <w:pPr>
        <w:pStyle w:val="18"/>
        <w:rPr>
          <w:rFonts w:hint="eastAsia"/>
        </w:rPr>
      </w:pPr>
      <w:r>
        <w:rPr>
          <w:rFonts w:hint="eastAsia"/>
        </w:rPr>
        <w:t>本基金本报告期内无持有基金产生的费用。</w:t>
      </w:r>
    </w:p>
    <w:p w14:paraId="781ACE45">
      <w:pPr>
        <w:pStyle w:val="28"/>
      </w:pPr>
      <w:bookmarkStart w:id="131" w:name="_Toc131"/>
      <w:r>
        <w:t>利润分配情况——固定净值型货币市场基金之外的基金</w:t>
      </w:r>
      <w:bookmarkEnd w:id="131"/>
    </w:p>
    <w:p w14:paraId="6E309D4D">
      <w:pPr>
        <w:pStyle w:val="47"/>
        <w:rPr>
          <w:rFonts w:hint="eastAsia"/>
        </w:rPr>
      </w:pPr>
      <w:r>
        <w:rPr>
          <w:rFonts w:hint="eastAsia"/>
        </w:rPr>
        <w:t>注：本期无。本基金报告期后分红情况（如有）详见本报告“资产负债表日后事项”部分内容。</w:t>
      </w:r>
    </w:p>
    <w:p w14:paraId="5A30CFC4">
      <w:pPr>
        <w:pStyle w:val="28"/>
      </w:pPr>
      <w:bookmarkStart w:id="132" w:name="_Toc132"/>
      <w:r>
        <w:t>期末（2025年12月31日）本基金持有的流通受限证券</w:t>
      </w:r>
      <w:bookmarkEnd w:id="132"/>
    </w:p>
    <w:p w14:paraId="79203B90">
      <w:pPr>
        <w:pStyle w:val="35"/>
      </w:pPr>
      <w:bookmarkStart w:id="133" w:name="_Toc133"/>
      <w:r>
        <w:t>因认购新发/增发证券而于期末持有的流通受限证券</w:t>
      </w:r>
      <w:bookmarkEnd w:id="133"/>
    </w:p>
    <w:p w14:paraId="744135A0">
      <w:pPr>
        <w:pStyle w:val="18"/>
        <w:rPr>
          <w:rFonts w:hint="eastAsia"/>
        </w:rPr>
      </w:pPr>
      <w:r>
        <w:rPr>
          <w:rFonts w:hint="eastAsia"/>
        </w:rPr>
        <w:t>无。</w:t>
      </w:r>
    </w:p>
    <w:p w14:paraId="381AE388">
      <w:pPr>
        <w:pStyle w:val="35"/>
      </w:pPr>
      <w:bookmarkStart w:id="134" w:name="_Toc134"/>
      <w:r>
        <w:t>期末持有的暂时停牌等流通受限股票</w:t>
      </w:r>
      <w:bookmarkEnd w:id="134"/>
    </w:p>
    <w:p w14:paraId="7E4B60B1">
      <w:pPr>
        <w:pStyle w:val="18"/>
        <w:rPr>
          <w:rFonts w:hint="eastAsia"/>
        </w:rPr>
      </w:pPr>
      <w:r>
        <w:rPr>
          <w:rFonts w:hint="eastAsia"/>
        </w:rPr>
        <w:t>无。</w:t>
      </w:r>
    </w:p>
    <w:p w14:paraId="2B0DFB44">
      <w:pPr>
        <w:pStyle w:val="35"/>
      </w:pPr>
      <w:bookmarkStart w:id="135" w:name="_Toc135"/>
      <w:r>
        <w:t>期末债券正回购交易中作为抵押的债券</w:t>
      </w:r>
      <w:bookmarkEnd w:id="135"/>
    </w:p>
    <w:p w14:paraId="531EDB3D">
      <w:pPr>
        <w:pStyle w:val="36"/>
      </w:pPr>
      <w:bookmarkStart w:id="136" w:name="_Toc136"/>
      <w:r>
        <w:t>银行间市场债券正回购</w:t>
      </w:r>
      <w:bookmarkEnd w:id="136"/>
    </w:p>
    <w:p w14:paraId="624AE004">
      <w:pPr>
        <w:pStyle w:val="18"/>
        <w:rPr>
          <w:rFonts w:hint="eastAsia"/>
        </w:rPr>
      </w:pPr>
      <w:r>
        <w:rPr>
          <w:rFonts w:hint="eastAsia"/>
        </w:rPr>
        <w:t>无。</w:t>
      </w:r>
    </w:p>
    <w:p w14:paraId="2ABCE7D4">
      <w:pPr>
        <w:pStyle w:val="36"/>
      </w:pPr>
      <w:bookmarkStart w:id="137" w:name="_Toc137"/>
      <w:r>
        <w:t>交易所市场债券正回购</w:t>
      </w:r>
      <w:bookmarkEnd w:id="137"/>
    </w:p>
    <w:p w14:paraId="19A3E4AC">
      <w:pPr>
        <w:pStyle w:val="18"/>
        <w:rPr>
          <w:rFonts w:hint="eastAsia"/>
        </w:rPr>
      </w:pPr>
      <w:r>
        <w:rPr>
          <w:rFonts w:hint="eastAsia"/>
        </w:rPr>
        <w:t>截至本报告期末2025年12月31日止，基金从事证券交易所债券正回购交易形成的卖出回购证券款余额261,934,508.02元，于2026年1月5日（先后）到期。该类交易要求本基金在回购期内持有的证券交易所交易的债券和/或在新质押式回购下转入质押库的债券，按证券交易所规定的比例折算为标准券后，不低于债券回购交易的余额。</w:t>
      </w:r>
    </w:p>
    <w:p w14:paraId="615F09FD">
      <w:pPr>
        <w:pStyle w:val="35"/>
      </w:pPr>
      <w:bookmarkStart w:id="138" w:name="_Toc138"/>
      <w:r>
        <w:t>期末参与转融通证券出借业务的证券</w:t>
      </w:r>
      <w:bookmarkEnd w:id="138"/>
    </w:p>
    <w:p w14:paraId="4BC57072">
      <w:pPr>
        <w:pStyle w:val="18"/>
        <w:rPr>
          <w:rFonts w:hint="eastAsia"/>
        </w:rPr>
      </w:pPr>
      <w:r>
        <w:rPr>
          <w:rFonts w:hint="eastAsia"/>
        </w:rPr>
        <w:t>无。</w:t>
      </w:r>
    </w:p>
    <w:p w14:paraId="629A792C">
      <w:pPr>
        <w:pStyle w:val="28"/>
      </w:pPr>
      <w:bookmarkStart w:id="139" w:name="_Toc139"/>
      <w:r>
        <w:t>金融工具风险及管理</w:t>
      </w:r>
      <w:bookmarkEnd w:id="139"/>
    </w:p>
    <w:p w14:paraId="2EF43538">
      <w:pPr>
        <w:pStyle w:val="35"/>
      </w:pPr>
      <w:bookmarkStart w:id="140" w:name="_Toc140"/>
      <w:r>
        <w:t>风险管理政策和组织架构</w:t>
      </w:r>
      <w:bookmarkEnd w:id="140"/>
    </w:p>
    <w:p w14:paraId="3F4DA488">
      <w:pPr>
        <w:pStyle w:val="18"/>
        <w:rPr>
          <w:rFonts w:hint="eastAsia"/>
        </w:rPr>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F2C4EE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1822E4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722D1D8">
      <w:pPr>
        <w:pStyle w:val="35"/>
      </w:pPr>
      <w:bookmarkStart w:id="141" w:name="_Toc141"/>
      <w:r>
        <w:t>信用风险</w:t>
      </w:r>
      <w:bookmarkEnd w:id="141"/>
    </w:p>
    <w:p w14:paraId="3212F7D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098945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4F30AD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2CF31A1">
      <w:pPr>
        <w:pStyle w:val="18"/>
        <w:rPr>
          <w:rFonts w:hint="eastAsia"/>
        </w:rPr>
      </w:pPr>
      <w:r>
        <w:rPr>
          <w:rFonts w:hint="eastAsia"/>
        </w:rPr>
        <w:t>于本期末，本基金持有的除国债、央行票据和政策性金融债以外的债券占基金净资产的比例为82.59%。</w:t>
      </w:r>
    </w:p>
    <w:p w14:paraId="275929DF">
      <w:pPr>
        <w:pStyle w:val="35"/>
      </w:pPr>
      <w:bookmarkStart w:id="142" w:name="_Toc142"/>
      <w:r>
        <w:t>流动性风险</w:t>
      </w:r>
      <w:bookmarkEnd w:id="142"/>
    </w:p>
    <w:p w14:paraId="2B11D33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818D40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C6125C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E16C81C">
      <w:pPr>
        <w:pStyle w:val="36"/>
      </w:pPr>
      <w:bookmarkStart w:id="143" w:name="_Toc143"/>
      <w:r>
        <w:t>报告期内本基金组合资产的流动性风险分析</w:t>
      </w:r>
      <w:bookmarkEnd w:id="143"/>
    </w:p>
    <w:p w14:paraId="56405C3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D8D93F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D8981DF">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D3FB53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BD913F0">
      <w:pPr>
        <w:pStyle w:val="35"/>
      </w:pPr>
      <w:bookmarkStart w:id="144" w:name="_Toc144"/>
      <w:r>
        <w:t>市场风险</w:t>
      </w:r>
      <w:bookmarkEnd w:id="144"/>
    </w:p>
    <w:p w14:paraId="06646BE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BEA3395">
      <w:pPr>
        <w:pStyle w:val="36"/>
      </w:pPr>
      <w:bookmarkStart w:id="145" w:name="_Toc145"/>
      <w:r>
        <w:t>利率风险</w:t>
      </w:r>
      <w:bookmarkEnd w:id="145"/>
    </w:p>
    <w:p w14:paraId="20640A6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CDFC88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E262378">
      <w:pPr>
        <w:pStyle w:val="37"/>
      </w:pPr>
      <w:bookmarkStart w:id="146" w:name="_Toc146"/>
      <w:r>
        <w:t>利率风险敞口</w:t>
      </w:r>
      <w:bookmarkEnd w:id="146"/>
    </w:p>
    <w:p w14:paraId="16DDFA3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903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BA94E">
            <w:r>
              <w:rPr>
                <w:rFonts w:hint="eastAsia"/>
              </w:rPr>
              <w:t>本期末2025年12月31日</w:t>
            </w:r>
          </w:p>
        </w:tc>
        <w:tc>
          <w:tcPr>
            <w:tcW w:w="1384" w:type="dxa"/>
            <w:vAlign w:val="center"/>
          </w:tcPr>
          <w:p w14:paraId="568E465F">
            <w:r>
              <w:rPr>
                <w:rFonts w:hint="eastAsia"/>
              </w:rPr>
              <w:t>1年以内</w:t>
            </w:r>
          </w:p>
        </w:tc>
        <w:tc>
          <w:tcPr>
            <w:tcW w:w="1384" w:type="dxa"/>
            <w:vAlign w:val="center"/>
          </w:tcPr>
          <w:p w14:paraId="75B8D3FD">
            <w:r>
              <w:rPr>
                <w:rFonts w:hint="eastAsia"/>
              </w:rPr>
              <w:t>1-5年</w:t>
            </w:r>
          </w:p>
        </w:tc>
        <w:tc>
          <w:tcPr>
            <w:tcW w:w="1384" w:type="dxa"/>
            <w:vAlign w:val="center"/>
          </w:tcPr>
          <w:p w14:paraId="3D727DEB">
            <w:r>
              <w:rPr>
                <w:rFonts w:hint="eastAsia"/>
              </w:rPr>
              <w:t>5年以上</w:t>
            </w:r>
          </w:p>
        </w:tc>
        <w:tc>
          <w:tcPr>
            <w:tcW w:w="1384" w:type="dxa"/>
            <w:vAlign w:val="center"/>
          </w:tcPr>
          <w:p w14:paraId="776A4BF6">
            <w:r>
              <w:rPr>
                <w:rFonts w:hint="eastAsia"/>
              </w:rPr>
              <w:t>不计息</w:t>
            </w:r>
          </w:p>
        </w:tc>
        <w:tc>
          <w:tcPr>
            <w:tcW w:w="1384" w:type="dxa"/>
            <w:vAlign w:val="center"/>
          </w:tcPr>
          <w:p w14:paraId="4FCF4C64">
            <w:r>
              <w:rPr>
                <w:rFonts w:hint="eastAsia"/>
              </w:rPr>
              <w:t>合计</w:t>
            </w:r>
          </w:p>
        </w:tc>
      </w:tr>
      <w:tr w14:paraId="7E56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4E0A1">
            <w:r>
              <w:rPr>
                <w:rFonts w:hint="eastAsia"/>
              </w:rPr>
              <w:t>资产</w:t>
            </w:r>
          </w:p>
        </w:tc>
        <w:tc>
          <w:tcPr>
            <w:tcW w:w="1384" w:type="dxa"/>
            <w:vAlign w:val="center"/>
          </w:tcPr>
          <w:p w14:paraId="459A791B"/>
        </w:tc>
        <w:tc>
          <w:tcPr>
            <w:tcW w:w="1384" w:type="dxa"/>
            <w:vAlign w:val="center"/>
          </w:tcPr>
          <w:p w14:paraId="2B07D4BE"/>
        </w:tc>
        <w:tc>
          <w:tcPr>
            <w:tcW w:w="1384" w:type="dxa"/>
            <w:vAlign w:val="center"/>
          </w:tcPr>
          <w:p w14:paraId="778CF189"/>
        </w:tc>
        <w:tc>
          <w:tcPr>
            <w:tcW w:w="1384" w:type="dxa"/>
            <w:vAlign w:val="center"/>
          </w:tcPr>
          <w:p w14:paraId="39E5E004"/>
        </w:tc>
        <w:tc>
          <w:tcPr>
            <w:tcW w:w="1384" w:type="dxa"/>
            <w:vAlign w:val="center"/>
          </w:tcPr>
          <w:p w14:paraId="3BF7B18A"/>
        </w:tc>
      </w:tr>
      <w:tr w14:paraId="44FB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814C9">
            <w:r>
              <w:rPr>
                <w:rFonts w:hint="eastAsia"/>
              </w:rPr>
              <w:t>货币资金</w:t>
            </w:r>
          </w:p>
        </w:tc>
        <w:tc>
          <w:tcPr>
            <w:tcW w:w="1384" w:type="dxa"/>
            <w:vAlign w:val="center"/>
          </w:tcPr>
          <w:p w14:paraId="286B9AB6">
            <w:pPr>
              <w:jc w:val="right"/>
            </w:pPr>
            <w:r>
              <w:rPr>
                <w:rFonts w:hint="eastAsia"/>
              </w:rPr>
              <w:t>17,594,995.04</w:t>
            </w:r>
          </w:p>
        </w:tc>
        <w:tc>
          <w:tcPr>
            <w:tcW w:w="1384" w:type="dxa"/>
            <w:vAlign w:val="center"/>
          </w:tcPr>
          <w:p w14:paraId="02050BE0">
            <w:pPr>
              <w:jc w:val="right"/>
            </w:pPr>
            <w:r>
              <w:rPr>
                <w:rFonts w:hint="eastAsia"/>
              </w:rPr>
              <w:t>-</w:t>
            </w:r>
          </w:p>
        </w:tc>
        <w:tc>
          <w:tcPr>
            <w:tcW w:w="1384" w:type="dxa"/>
            <w:vAlign w:val="center"/>
          </w:tcPr>
          <w:p w14:paraId="0EBC1224">
            <w:pPr>
              <w:jc w:val="right"/>
            </w:pPr>
            <w:r>
              <w:rPr>
                <w:rFonts w:hint="eastAsia"/>
              </w:rPr>
              <w:t>-</w:t>
            </w:r>
          </w:p>
        </w:tc>
        <w:tc>
          <w:tcPr>
            <w:tcW w:w="1384" w:type="dxa"/>
            <w:vAlign w:val="center"/>
          </w:tcPr>
          <w:p w14:paraId="382B24E1">
            <w:pPr>
              <w:jc w:val="right"/>
            </w:pPr>
            <w:r>
              <w:rPr>
                <w:rFonts w:hint="eastAsia"/>
              </w:rPr>
              <w:t>-</w:t>
            </w:r>
          </w:p>
        </w:tc>
        <w:tc>
          <w:tcPr>
            <w:tcW w:w="1384" w:type="dxa"/>
            <w:vAlign w:val="center"/>
          </w:tcPr>
          <w:p w14:paraId="61D07CC4">
            <w:pPr>
              <w:jc w:val="right"/>
            </w:pPr>
            <w:r>
              <w:rPr>
                <w:rFonts w:hint="eastAsia"/>
              </w:rPr>
              <w:t>17,594,995.04</w:t>
            </w:r>
          </w:p>
        </w:tc>
      </w:tr>
      <w:tr w14:paraId="69C7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8AB39">
            <w:r>
              <w:rPr>
                <w:rFonts w:hint="eastAsia"/>
              </w:rPr>
              <w:t>结算备付金</w:t>
            </w:r>
          </w:p>
        </w:tc>
        <w:tc>
          <w:tcPr>
            <w:tcW w:w="1384" w:type="dxa"/>
            <w:vAlign w:val="center"/>
          </w:tcPr>
          <w:p w14:paraId="7FCD9F69">
            <w:pPr>
              <w:jc w:val="right"/>
            </w:pPr>
            <w:r>
              <w:rPr>
                <w:rFonts w:hint="eastAsia"/>
              </w:rPr>
              <w:t>4,405,595.12</w:t>
            </w:r>
          </w:p>
        </w:tc>
        <w:tc>
          <w:tcPr>
            <w:tcW w:w="1384" w:type="dxa"/>
            <w:vAlign w:val="center"/>
          </w:tcPr>
          <w:p w14:paraId="10CA0A0D">
            <w:pPr>
              <w:jc w:val="right"/>
            </w:pPr>
            <w:r>
              <w:rPr>
                <w:rFonts w:hint="eastAsia"/>
              </w:rPr>
              <w:t>-</w:t>
            </w:r>
          </w:p>
        </w:tc>
        <w:tc>
          <w:tcPr>
            <w:tcW w:w="1384" w:type="dxa"/>
            <w:vAlign w:val="center"/>
          </w:tcPr>
          <w:p w14:paraId="77ADDCE1">
            <w:pPr>
              <w:jc w:val="right"/>
            </w:pPr>
            <w:r>
              <w:rPr>
                <w:rFonts w:hint="eastAsia"/>
              </w:rPr>
              <w:t>-</w:t>
            </w:r>
          </w:p>
        </w:tc>
        <w:tc>
          <w:tcPr>
            <w:tcW w:w="1384" w:type="dxa"/>
            <w:vAlign w:val="center"/>
          </w:tcPr>
          <w:p w14:paraId="617DAC4C">
            <w:pPr>
              <w:jc w:val="right"/>
            </w:pPr>
            <w:r>
              <w:rPr>
                <w:rFonts w:hint="eastAsia"/>
              </w:rPr>
              <w:t>-</w:t>
            </w:r>
          </w:p>
        </w:tc>
        <w:tc>
          <w:tcPr>
            <w:tcW w:w="1384" w:type="dxa"/>
            <w:vAlign w:val="center"/>
          </w:tcPr>
          <w:p w14:paraId="4F188B3B">
            <w:pPr>
              <w:jc w:val="right"/>
            </w:pPr>
            <w:r>
              <w:rPr>
                <w:rFonts w:hint="eastAsia"/>
              </w:rPr>
              <w:t>4,405,595.12</w:t>
            </w:r>
          </w:p>
        </w:tc>
      </w:tr>
      <w:tr w14:paraId="0ABE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B5657">
            <w:r>
              <w:rPr>
                <w:rFonts w:hint="eastAsia"/>
              </w:rPr>
              <w:t>存出保证金</w:t>
            </w:r>
          </w:p>
        </w:tc>
        <w:tc>
          <w:tcPr>
            <w:tcW w:w="1384" w:type="dxa"/>
            <w:vAlign w:val="center"/>
          </w:tcPr>
          <w:p w14:paraId="68A5381F">
            <w:pPr>
              <w:jc w:val="right"/>
            </w:pPr>
            <w:r>
              <w:rPr>
                <w:rFonts w:hint="eastAsia"/>
              </w:rPr>
              <w:t>487,318.66</w:t>
            </w:r>
          </w:p>
        </w:tc>
        <w:tc>
          <w:tcPr>
            <w:tcW w:w="1384" w:type="dxa"/>
            <w:vAlign w:val="center"/>
          </w:tcPr>
          <w:p w14:paraId="11FAA7C0">
            <w:pPr>
              <w:jc w:val="right"/>
            </w:pPr>
            <w:r>
              <w:rPr>
                <w:rFonts w:hint="eastAsia"/>
              </w:rPr>
              <w:t>-</w:t>
            </w:r>
          </w:p>
        </w:tc>
        <w:tc>
          <w:tcPr>
            <w:tcW w:w="1384" w:type="dxa"/>
            <w:vAlign w:val="center"/>
          </w:tcPr>
          <w:p w14:paraId="1FA1165B">
            <w:pPr>
              <w:jc w:val="right"/>
            </w:pPr>
            <w:r>
              <w:rPr>
                <w:rFonts w:hint="eastAsia"/>
              </w:rPr>
              <w:t>-</w:t>
            </w:r>
          </w:p>
        </w:tc>
        <w:tc>
          <w:tcPr>
            <w:tcW w:w="1384" w:type="dxa"/>
            <w:vAlign w:val="center"/>
          </w:tcPr>
          <w:p w14:paraId="34A25CBE">
            <w:pPr>
              <w:jc w:val="right"/>
            </w:pPr>
            <w:r>
              <w:rPr>
                <w:rFonts w:hint="eastAsia"/>
              </w:rPr>
              <w:t>-</w:t>
            </w:r>
          </w:p>
        </w:tc>
        <w:tc>
          <w:tcPr>
            <w:tcW w:w="1384" w:type="dxa"/>
            <w:vAlign w:val="center"/>
          </w:tcPr>
          <w:p w14:paraId="033546D0">
            <w:pPr>
              <w:jc w:val="right"/>
            </w:pPr>
            <w:r>
              <w:rPr>
                <w:rFonts w:hint="eastAsia"/>
              </w:rPr>
              <w:t>487,318.66</w:t>
            </w:r>
          </w:p>
        </w:tc>
      </w:tr>
      <w:tr w14:paraId="534A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42B86">
            <w:r>
              <w:rPr>
                <w:rFonts w:hint="eastAsia"/>
              </w:rPr>
              <w:t>交易性金融资产</w:t>
            </w:r>
          </w:p>
        </w:tc>
        <w:tc>
          <w:tcPr>
            <w:tcW w:w="1384" w:type="dxa"/>
            <w:vAlign w:val="center"/>
          </w:tcPr>
          <w:p w14:paraId="39DDCDF4">
            <w:pPr>
              <w:jc w:val="right"/>
            </w:pPr>
            <w:r>
              <w:rPr>
                <w:rFonts w:hint="eastAsia"/>
              </w:rPr>
              <w:t>1,146,433,903.25</w:t>
            </w:r>
          </w:p>
        </w:tc>
        <w:tc>
          <w:tcPr>
            <w:tcW w:w="1384" w:type="dxa"/>
            <w:vAlign w:val="center"/>
          </w:tcPr>
          <w:p w14:paraId="52F66230">
            <w:pPr>
              <w:jc w:val="right"/>
            </w:pPr>
            <w:r>
              <w:rPr>
                <w:rFonts w:hint="eastAsia"/>
              </w:rPr>
              <w:t>1,683,374,242.74</w:t>
            </w:r>
          </w:p>
        </w:tc>
        <w:tc>
          <w:tcPr>
            <w:tcW w:w="1384" w:type="dxa"/>
            <w:vAlign w:val="center"/>
          </w:tcPr>
          <w:p w14:paraId="3B051AC0">
            <w:pPr>
              <w:jc w:val="right"/>
            </w:pPr>
            <w:r>
              <w:rPr>
                <w:rFonts w:hint="eastAsia"/>
              </w:rPr>
              <w:t>-</w:t>
            </w:r>
          </w:p>
        </w:tc>
        <w:tc>
          <w:tcPr>
            <w:tcW w:w="1384" w:type="dxa"/>
            <w:vAlign w:val="center"/>
          </w:tcPr>
          <w:p w14:paraId="7D25A717">
            <w:pPr>
              <w:jc w:val="right"/>
            </w:pPr>
            <w:r>
              <w:rPr>
                <w:rFonts w:hint="eastAsia"/>
              </w:rPr>
              <w:t>625,676,085.39</w:t>
            </w:r>
          </w:p>
        </w:tc>
        <w:tc>
          <w:tcPr>
            <w:tcW w:w="1384" w:type="dxa"/>
            <w:vAlign w:val="center"/>
          </w:tcPr>
          <w:p w14:paraId="343119F3">
            <w:pPr>
              <w:jc w:val="right"/>
            </w:pPr>
            <w:r>
              <w:rPr>
                <w:rFonts w:hint="eastAsia"/>
              </w:rPr>
              <w:t>3,455,484,231.38</w:t>
            </w:r>
          </w:p>
        </w:tc>
      </w:tr>
      <w:tr w14:paraId="7211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13388">
            <w:r>
              <w:rPr>
                <w:rFonts w:hint="eastAsia"/>
              </w:rPr>
              <w:t>衍生金融资产</w:t>
            </w:r>
          </w:p>
        </w:tc>
        <w:tc>
          <w:tcPr>
            <w:tcW w:w="1384" w:type="dxa"/>
            <w:vAlign w:val="center"/>
          </w:tcPr>
          <w:p w14:paraId="0A687CC4">
            <w:pPr>
              <w:jc w:val="right"/>
            </w:pPr>
            <w:r>
              <w:rPr>
                <w:rFonts w:hint="eastAsia"/>
              </w:rPr>
              <w:t>-</w:t>
            </w:r>
          </w:p>
        </w:tc>
        <w:tc>
          <w:tcPr>
            <w:tcW w:w="1384" w:type="dxa"/>
            <w:vAlign w:val="center"/>
          </w:tcPr>
          <w:p w14:paraId="4E469F92">
            <w:pPr>
              <w:jc w:val="right"/>
            </w:pPr>
            <w:r>
              <w:rPr>
                <w:rFonts w:hint="eastAsia"/>
              </w:rPr>
              <w:t>-</w:t>
            </w:r>
          </w:p>
        </w:tc>
        <w:tc>
          <w:tcPr>
            <w:tcW w:w="1384" w:type="dxa"/>
            <w:vAlign w:val="center"/>
          </w:tcPr>
          <w:p w14:paraId="6ED4AEE7">
            <w:pPr>
              <w:jc w:val="right"/>
            </w:pPr>
            <w:r>
              <w:rPr>
                <w:rFonts w:hint="eastAsia"/>
              </w:rPr>
              <w:t>-</w:t>
            </w:r>
          </w:p>
        </w:tc>
        <w:tc>
          <w:tcPr>
            <w:tcW w:w="1384" w:type="dxa"/>
            <w:vAlign w:val="center"/>
          </w:tcPr>
          <w:p w14:paraId="34B85492">
            <w:pPr>
              <w:jc w:val="right"/>
            </w:pPr>
            <w:r>
              <w:rPr>
                <w:rFonts w:hint="eastAsia"/>
              </w:rPr>
              <w:t>-</w:t>
            </w:r>
          </w:p>
        </w:tc>
        <w:tc>
          <w:tcPr>
            <w:tcW w:w="1384" w:type="dxa"/>
            <w:vAlign w:val="center"/>
          </w:tcPr>
          <w:p w14:paraId="66D9FD80">
            <w:pPr>
              <w:jc w:val="right"/>
            </w:pPr>
            <w:r>
              <w:rPr>
                <w:rFonts w:hint="eastAsia"/>
              </w:rPr>
              <w:t>-</w:t>
            </w:r>
          </w:p>
        </w:tc>
      </w:tr>
      <w:tr w14:paraId="24C5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76836">
            <w:r>
              <w:rPr>
                <w:rFonts w:hint="eastAsia"/>
              </w:rPr>
              <w:t>买入返售金融资产</w:t>
            </w:r>
          </w:p>
        </w:tc>
        <w:tc>
          <w:tcPr>
            <w:tcW w:w="1384" w:type="dxa"/>
            <w:vAlign w:val="center"/>
          </w:tcPr>
          <w:p w14:paraId="0BA10C87">
            <w:pPr>
              <w:jc w:val="right"/>
            </w:pPr>
            <w:r>
              <w:rPr>
                <w:rFonts w:hint="eastAsia"/>
              </w:rPr>
              <w:t>20,000,000.00</w:t>
            </w:r>
          </w:p>
        </w:tc>
        <w:tc>
          <w:tcPr>
            <w:tcW w:w="1384" w:type="dxa"/>
            <w:vAlign w:val="center"/>
          </w:tcPr>
          <w:p w14:paraId="6F876E1B">
            <w:pPr>
              <w:jc w:val="right"/>
            </w:pPr>
            <w:r>
              <w:rPr>
                <w:rFonts w:hint="eastAsia"/>
              </w:rPr>
              <w:t>-</w:t>
            </w:r>
          </w:p>
        </w:tc>
        <w:tc>
          <w:tcPr>
            <w:tcW w:w="1384" w:type="dxa"/>
            <w:vAlign w:val="center"/>
          </w:tcPr>
          <w:p w14:paraId="1A6B5F03">
            <w:pPr>
              <w:jc w:val="right"/>
            </w:pPr>
            <w:r>
              <w:rPr>
                <w:rFonts w:hint="eastAsia"/>
              </w:rPr>
              <w:t>-</w:t>
            </w:r>
          </w:p>
        </w:tc>
        <w:tc>
          <w:tcPr>
            <w:tcW w:w="1384" w:type="dxa"/>
            <w:vAlign w:val="center"/>
          </w:tcPr>
          <w:p w14:paraId="77CBC893">
            <w:pPr>
              <w:jc w:val="right"/>
            </w:pPr>
            <w:r>
              <w:rPr>
                <w:rFonts w:hint="eastAsia"/>
              </w:rPr>
              <w:t>-</w:t>
            </w:r>
          </w:p>
        </w:tc>
        <w:tc>
          <w:tcPr>
            <w:tcW w:w="1384" w:type="dxa"/>
            <w:vAlign w:val="center"/>
          </w:tcPr>
          <w:p w14:paraId="3EFC4B6D">
            <w:pPr>
              <w:jc w:val="right"/>
            </w:pPr>
            <w:r>
              <w:rPr>
                <w:rFonts w:hint="eastAsia"/>
              </w:rPr>
              <w:t>20,000,000.00</w:t>
            </w:r>
          </w:p>
        </w:tc>
      </w:tr>
      <w:tr w14:paraId="2302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8F0E9">
            <w:r>
              <w:rPr>
                <w:rFonts w:hint="eastAsia"/>
              </w:rPr>
              <w:t>债权投资</w:t>
            </w:r>
          </w:p>
        </w:tc>
        <w:tc>
          <w:tcPr>
            <w:tcW w:w="1384" w:type="dxa"/>
            <w:vAlign w:val="center"/>
          </w:tcPr>
          <w:p w14:paraId="35C2A183">
            <w:pPr>
              <w:jc w:val="right"/>
            </w:pPr>
            <w:r>
              <w:rPr>
                <w:rFonts w:hint="eastAsia"/>
              </w:rPr>
              <w:t>-</w:t>
            </w:r>
          </w:p>
        </w:tc>
        <w:tc>
          <w:tcPr>
            <w:tcW w:w="1384" w:type="dxa"/>
            <w:vAlign w:val="center"/>
          </w:tcPr>
          <w:p w14:paraId="6A70FA36">
            <w:pPr>
              <w:jc w:val="right"/>
            </w:pPr>
            <w:r>
              <w:rPr>
                <w:rFonts w:hint="eastAsia"/>
              </w:rPr>
              <w:t>-</w:t>
            </w:r>
          </w:p>
        </w:tc>
        <w:tc>
          <w:tcPr>
            <w:tcW w:w="1384" w:type="dxa"/>
            <w:vAlign w:val="center"/>
          </w:tcPr>
          <w:p w14:paraId="438C0BA9">
            <w:pPr>
              <w:jc w:val="right"/>
            </w:pPr>
            <w:r>
              <w:rPr>
                <w:rFonts w:hint="eastAsia"/>
              </w:rPr>
              <w:t>-</w:t>
            </w:r>
          </w:p>
        </w:tc>
        <w:tc>
          <w:tcPr>
            <w:tcW w:w="1384" w:type="dxa"/>
            <w:vAlign w:val="center"/>
          </w:tcPr>
          <w:p w14:paraId="0420E6A7">
            <w:pPr>
              <w:jc w:val="right"/>
            </w:pPr>
            <w:r>
              <w:rPr>
                <w:rFonts w:hint="eastAsia"/>
              </w:rPr>
              <w:t>-</w:t>
            </w:r>
          </w:p>
        </w:tc>
        <w:tc>
          <w:tcPr>
            <w:tcW w:w="1384" w:type="dxa"/>
            <w:vAlign w:val="center"/>
          </w:tcPr>
          <w:p w14:paraId="46C6FA06">
            <w:pPr>
              <w:jc w:val="right"/>
            </w:pPr>
            <w:r>
              <w:rPr>
                <w:rFonts w:hint="eastAsia"/>
              </w:rPr>
              <w:t>-</w:t>
            </w:r>
          </w:p>
        </w:tc>
      </w:tr>
      <w:tr w14:paraId="465B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0DBFA">
            <w:r>
              <w:rPr>
                <w:rFonts w:hint="eastAsia"/>
              </w:rPr>
              <w:t>其他债权投资</w:t>
            </w:r>
          </w:p>
        </w:tc>
        <w:tc>
          <w:tcPr>
            <w:tcW w:w="1384" w:type="dxa"/>
            <w:vAlign w:val="center"/>
          </w:tcPr>
          <w:p w14:paraId="40C8AC0D">
            <w:pPr>
              <w:jc w:val="right"/>
            </w:pPr>
            <w:r>
              <w:rPr>
                <w:rFonts w:hint="eastAsia"/>
              </w:rPr>
              <w:t>-</w:t>
            </w:r>
          </w:p>
        </w:tc>
        <w:tc>
          <w:tcPr>
            <w:tcW w:w="1384" w:type="dxa"/>
            <w:vAlign w:val="center"/>
          </w:tcPr>
          <w:p w14:paraId="726997EE">
            <w:pPr>
              <w:jc w:val="right"/>
            </w:pPr>
            <w:r>
              <w:rPr>
                <w:rFonts w:hint="eastAsia"/>
              </w:rPr>
              <w:t>-</w:t>
            </w:r>
          </w:p>
        </w:tc>
        <w:tc>
          <w:tcPr>
            <w:tcW w:w="1384" w:type="dxa"/>
            <w:vAlign w:val="center"/>
          </w:tcPr>
          <w:p w14:paraId="7348A203">
            <w:pPr>
              <w:jc w:val="right"/>
            </w:pPr>
            <w:r>
              <w:rPr>
                <w:rFonts w:hint="eastAsia"/>
              </w:rPr>
              <w:t>-</w:t>
            </w:r>
          </w:p>
        </w:tc>
        <w:tc>
          <w:tcPr>
            <w:tcW w:w="1384" w:type="dxa"/>
            <w:vAlign w:val="center"/>
          </w:tcPr>
          <w:p w14:paraId="31EDA456">
            <w:pPr>
              <w:jc w:val="right"/>
            </w:pPr>
            <w:r>
              <w:rPr>
                <w:rFonts w:hint="eastAsia"/>
              </w:rPr>
              <w:t>-</w:t>
            </w:r>
          </w:p>
        </w:tc>
        <w:tc>
          <w:tcPr>
            <w:tcW w:w="1384" w:type="dxa"/>
            <w:vAlign w:val="center"/>
          </w:tcPr>
          <w:p w14:paraId="3F471C32">
            <w:pPr>
              <w:jc w:val="right"/>
            </w:pPr>
            <w:r>
              <w:rPr>
                <w:rFonts w:hint="eastAsia"/>
              </w:rPr>
              <w:t>-</w:t>
            </w:r>
          </w:p>
        </w:tc>
      </w:tr>
      <w:tr w14:paraId="0EEC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41880">
            <w:r>
              <w:rPr>
                <w:rFonts w:hint="eastAsia"/>
              </w:rPr>
              <w:t>其他权益工具投资</w:t>
            </w:r>
          </w:p>
        </w:tc>
        <w:tc>
          <w:tcPr>
            <w:tcW w:w="1384" w:type="dxa"/>
            <w:vAlign w:val="center"/>
          </w:tcPr>
          <w:p w14:paraId="4565CE55">
            <w:pPr>
              <w:jc w:val="right"/>
            </w:pPr>
            <w:r>
              <w:rPr>
                <w:rFonts w:hint="eastAsia"/>
              </w:rPr>
              <w:t>-</w:t>
            </w:r>
          </w:p>
        </w:tc>
        <w:tc>
          <w:tcPr>
            <w:tcW w:w="1384" w:type="dxa"/>
            <w:vAlign w:val="center"/>
          </w:tcPr>
          <w:p w14:paraId="301267EC">
            <w:pPr>
              <w:jc w:val="right"/>
            </w:pPr>
            <w:r>
              <w:rPr>
                <w:rFonts w:hint="eastAsia"/>
              </w:rPr>
              <w:t>-</w:t>
            </w:r>
          </w:p>
        </w:tc>
        <w:tc>
          <w:tcPr>
            <w:tcW w:w="1384" w:type="dxa"/>
            <w:vAlign w:val="center"/>
          </w:tcPr>
          <w:p w14:paraId="1EA48376">
            <w:pPr>
              <w:jc w:val="right"/>
            </w:pPr>
            <w:r>
              <w:rPr>
                <w:rFonts w:hint="eastAsia"/>
              </w:rPr>
              <w:t>-</w:t>
            </w:r>
          </w:p>
        </w:tc>
        <w:tc>
          <w:tcPr>
            <w:tcW w:w="1384" w:type="dxa"/>
            <w:vAlign w:val="center"/>
          </w:tcPr>
          <w:p w14:paraId="2ADC3423">
            <w:pPr>
              <w:jc w:val="right"/>
            </w:pPr>
            <w:r>
              <w:rPr>
                <w:rFonts w:hint="eastAsia"/>
              </w:rPr>
              <w:t>-</w:t>
            </w:r>
          </w:p>
        </w:tc>
        <w:tc>
          <w:tcPr>
            <w:tcW w:w="1384" w:type="dxa"/>
            <w:vAlign w:val="center"/>
          </w:tcPr>
          <w:p w14:paraId="207F0744">
            <w:pPr>
              <w:jc w:val="right"/>
            </w:pPr>
            <w:r>
              <w:rPr>
                <w:rFonts w:hint="eastAsia"/>
              </w:rPr>
              <w:t>-</w:t>
            </w:r>
          </w:p>
        </w:tc>
      </w:tr>
      <w:tr w14:paraId="1379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7B340">
            <w:r>
              <w:rPr>
                <w:rFonts w:hint="eastAsia"/>
              </w:rPr>
              <w:t>应收清算款</w:t>
            </w:r>
          </w:p>
        </w:tc>
        <w:tc>
          <w:tcPr>
            <w:tcW w:w="1384" w:type="dxa"/>
            <w:vAlign w:val="center"/>
          </w:tcPr>
          <w:p w14:paraId="28F2E8DD">
            <w:pPr>
              <w:jc w:val="right"/>
            </w:pPr>
            <w:r>
              <w:rPr>
                <w:rFonts w:hint="eastAsia"/>
              </w:rPr>
              <w:t>-</w:t>
            </w:r>
          </w:p>
        </w:tc>
        <w:tc>
          <w:tcPr>
            <w:tcW w:w="1384" w:type="dxa"/>
            <w:vAlign w:val="center"/>
          </w:tcPr>
          <w:p w14:paraId="7C39F789">
            <w:pPr>
              <w:jc w:val="right"/>
            </w:pPr>
            <w:r>
              <w:rPr>
                <w:rFonts w:hint="eastAsia"/>
              </w:rPr>
              <w:t>-</w:t>
            </w:r>
          </w:p>
        </w:tc>
        <w:tc>
          <w:tcPr>
            <w:tcW w:w="1384" w:type="dxa"/>
            <w:vAlign w:val="center"/>
          </w:tcPr>
          <w:p w14:paraId="4280471B">
            <w:pPr>
              <w:jc w:val="right"/>
            </w:pPr>
            <w:r>
              <w:rPr>
                <w:rFonts w:hint="eastAsia"/>
              </w:rPr>
              <w:t>-</w:t>
            </w:r>
          </w:p>
        </w:tc>
        <w:tc>
          <w:tcPr>
            <w:tcW w:w="1384" w:type="dxa"/>
            <w:vAlign w:val="center"/>
          </w:tcPr>
          <w:p w14:paraId="7637DB1C">
            <w:pPr>
              <w:jc w:val="right"/>
            </w:pPr>
            <w:r>
              <w:rPr>
                <w:rFonts w:hint="eastAsia"/>
              </w:rPr>
              <w:t>6,914,974.34</w:t>
            </w:r>
          </w:p>
        </w:tc>
        <w:tc>
          <w:tcPr>
            <w:tcW w:w="1384" w:type="dxa"/>
            <w:vAlign w:val="center"/>
          </w:tcPr>
          <w:p w14:paraId="17A83B5C">
            <w:pPr>
              <w:jc w:val="right"/>
            </w:pPr>
            <w:r>
              <w:rPr>
                <w:rFonts w:hint="eastAsia"/>
              </w:rPr>
              <w:t>6,914,974.34</w:t>
            </w:r>
          </w:p>
        </w:tc>
      </w:tr>
      <w:tr w14:paraId="7BE1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90266">
            <w:r>
              <w:rPr>
                <w:rFonts w:hint="eastAsia"/>
              </w:rPr>
              <w:t>应收股利</w:t>
            </w:r>
          </w:p>
        </w:tc>
        <w:tc>
          <w:tcPr>
            <w:tcW w:w="1384" w:type="dxa"/>
            <w:vAlign w:val="center"/>
          </w:tcPr>
          <w:p w14:paraId="6884A8B5">
            <w:pPr>
              <w:jc w:val="right"/>
            </w:pPr>
            <w:r>
              <w:rPr>
                <w:rFonts w:hint="eastAsia"/>
              </w:rPr>
              <w:t>-</w:t>
            </w:r>
          </w:p>
        </w:tc>
        <w:tc>
          <w:tcPr>
            <w:tcW w:w="1384" w:type="dxa"/>
            <w:vAlign w:val="center"/>
          </w:tcPr>
          <w:p w14:paraId="7EEE5AF7">
            <w:pPr>
              <w:jc w:val="right"/>
            </w:pPr>
            <w:r>
              <w:rPr>
                <w:rFonts w:hint="eastAsia"/>
              </w:rPr>
              <w:t>-</w:t>
            </w:r>
          </w:p>
        </w:tc>
        <w:tc>
          <w:tcPr>
            <w:tcW w:w="1384" w:type="dxa"/>
            <w:vAlign w:val="center"/>
          </w:tcPr>
          <w:p w14:paraId="1CC64E01">
            <w:pPr>
              <w:jc w:val="right"/>
            </w:pPr>
            <w:r>
              <w:rPr>
                <w:rFonts w:hint="eastAsia"/>
              </w:rPr>
              <w:t>-</w:t>
            </w:r>
          </w:p>
        </w:tc>
        <w:tc>
          <w:tcPr>
            <w:tcW w:w="1384" w:type="dxa"/>
            <w:vAlign w:val="center"/>
          </w:tcPr>
          <w:p w14:paraId="1419AFB2">
            <w:pPr>
              <w:jc w:val="right"/>
            </w:pPr>
            <w:r>
              <w:rPr>
                <w:rFonts w:hint="eastAsia"/>
              </w:rPr>
              <w:t>-</w:t>
            </w:r>
          </w:p>
        </w:tc>
        <w:tc>
          <w:tcPr>
            <w:tcW w:w="1384" w:type="dxa"/>
            <w:vAlign w:val="center"/>
          </w:tcPr>
          <w:p w14:paraId="5211A274">
            <w:pPr>
              <w:jc w:val="right"/>
            </w:pPr>
            <w:r>
              <w:rPr>
                <w:rFonts w:hint="eastAsia"/>
              </w:rPr>
              <w:t>-</w:t>
            </w:r>
          </w:p>
        </w:tc>
      </w:tr>
      <w:tr w14:paraId="220A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48A23">
            <w:r>
              <w:rPr>
                <w:rFonts w:hint="eastAsia"/>
              </w:rPr>
              <w:t>应收申购款</w:t>
            </w:r>
          </w:p>
        </w:tc>
        <w:tc>
          <w:tcPr>
            <w:tcW w:w="1384" w:type="dxa"/>
            <w:vAlign w:val="center"/>
          </w:tcPr>
          <w:p w14:paraId="5BA2FDF7">
            <w:pPr>
              <w:jc w:val="right"/>
            </w:pPr>
            <w:r>
              <w:rPr>
                <w:rFonts w:hint="eastAsia"/>
              </w:rPr>
              <w:t>-</w:t>
            </w:r>
          </w:p>
        </w:tc>
        <w:tc>
          <w:tcPr>
            <w:tcW w:w="1384" w:type="dxa"/>
            <w:vAlign w:val="center"/>
          </w:tcPr>
          <w:p w14:paraId="14194452">
            <w:pPr>
              <w:jc w:val="right"/>
            </w:pPr>
            <w:r>
              <w:rPr>
                <w:rFonts w:hint="eastAsia"/>
              </w:rPr>
              <w:t>-</w:t>
            </w:r>
          </w:p>
        </w:tc>
        <w:tc>
          <w:tcPr>
            <w:tcW w:w="1384" w:type="dxa"/>
            <w:vAlign w:val="center"/>
          </w:tcPr>
          <w:p w14:paraId="270F0BFB">
            <w:pPr>
              <w:jc w:val="right"/>
            </w:pPr>
            <w:r>
              <w:rPr>
                <w:rFonts w:hint="eastAsia"/>
              </w:rPr>
              <w:t>-</w:t>
            </w:r>
          </w:p>
        </w:tc>
        <w:tc>
          <w:tcPr>
            <w:tcW w:w="1384" w:type="dxa"/>
            <w:vAlign w:val="center"/>
          </w:tcPr>
          <w:p w14:paraId="0C4D2E9D">
            <w:pPr>
              <w:jc w:val="right"/>
            </w:pPr>
            <w:r>
              <w:rPr>
                <w:rFonts w:hint="eastAsia"/>
              </w:rPr>
              <w:t>7,063,400.00</w:t>
            </w:r>
          </w:p>
        </w:tc>
        <w:tc>
          <w:tcPr>
            <w:tcW w:w="1384" w:type="dxa"/>
            <w:vAlign w:val="center"/>
          </w:tcPr>
          <w:p w14:paraId="072A3E9A">
            <w:pPr>
              <w:jc w:val="right"/>
            </w:pPr>
            <w:r>
              <w:rPr>
                <w:rFonts w:hint="eastAsia"/>
              </w:rPr>
              <w:t>7,063,400.00</w:t>
            </w:r>
          </w:p>
        </w:tc>
      </w:tr>
      <w:tr w14:paraId="21B8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B21B3">
            <w:r>
              <w:rPr>
                <w:rFonts w:hint="eastAsia"/>
              </w:rPr>
              <w:t>递延所得税资产</w:t>
            </w:r>
          </w:p>
        </w:tc>
        <w:tc>
          <w:tcPr>
            <w:tcW w:w="1384" w:type="dxa"/>
            <w:vAlign w:val="center"/>
          </w:tcPr>
          <w:p w14:paraId="5DF55598">
            <w:pPr>
              <w:jc w:val="right"/>
            </w:pPr>
            <w:r>
              <w:rPr>
                <w:rFonts w:hint="eastAsia"/>
              </w:rPr>
              <w:t>-</w:t>
            </w:r>
          </w:p>
        </w:tc>
        <w:tc>
          <w:tcPr>
            <w:tcW w:w="1384" w:type="dxa"/>
            <w:vAlign w:val="center"/>
          </w:tcPr>
          <w:p w14:paraId="663B5ABB">
            <w:pPr>
              <w:jc w:val="right"/>
            </w:pPr>
            <w:r>
              <w:rPr>
                <w:rFonts w:hint="eastAsia"/>
              </w:rPr>
              <w:t>-</w:t>
            </w:r>
          </w:p>
        </w:tc>
        <w:tc>
          <w:tcPr>
            <w:tcW w:w="1384" w:type="dxa"/>
            <w:vAlign w:val="center"/>
          </w:tcPr>
          <w:p w14:paraId="7651D367">
            <w:pPr>
              <w:jc w:val="right"/>
            </w:pPr>
            <w:r>
              <w:rPr>
                <w:rFonts w:hint="eastAsia"/>
              </w:rPr>
              <w:t>-</w:t>
            </w:r>
          </w:p>
        </w:tc>
        <w:tc>
          <w:tcPr>
            <w:tcW w:w="1384" w:type="dxa"/>
            <w:vAlign w:val="center"/>
          </w:tcPr>
          <w:p w14:paraId="149CE0EF">
            <w:pPr>
              <w:jc w:val="right"/>
            </w:pPr>
            <w:r>
              <w:rPr>
                <w:rFonts w:hint="eastAsia"/>
              </w:rPr>
              <w:t>-</w:t>
            </w:r>
          </w:p>
        </w:tc>
        <w:tc>
          <w:tcPr>
            <w:tcW w:w="1384" w:type="dxa"/>
            <w:vAlign w:val="center"/>
          </w:tcPr>
          <w:p w14:paraId="53398E54">
            <w:pPr>
              <w:jc w:val="right"/>
            </w:pPr>
            <w:r>
              <w:rPr>
                <w:rFonts w:hint="eastAsia"/>
              </w:rPr>
              <w:t>-</w:t>
            </w:r>
          </w:p>
        </w:tc>
      </w:tr>
      <w:tr w14:paraId="733A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415D3">
            <w:r>
              <w:rPr>
                <w:rFonts w:hint="eastAsia"/>
              </w:rPr>
              <w:t>其他资产</w:t>
            </w:r>
          </w:p>
        </w:tc>
        <w:tc>
          <w:tcPr>
            <w:tcW w:w="1384" w:type="dxa"/>
            <w:vAlign w:val="center"/>
          </w:tcPr>
          <w:p w14:paraId="19F1088D">
            <w:pPr>
              <w:jc w:val="right"/>
            </w:pPr>
            <w:r>
              <w:rPr>
                <w:rFonts w:hint="eastAsia"/>
              </w:rPr>
              <w:t>-</w:t>
            </w:r>
          </w:p>
        </w:tc>
        <w:tc>
          <w:tcPr>
            <w:tcW w:w="1384" w:type="dxa"/>
            <w:vAlign w:val="center"/>
          </w:tcPr>
          <w:p w14:paraId="4260F7B6">
            <w:pPr>
              <w:jc w:val="right"/>
            </w:pPr>
            <w:r>
              <w:rPr>
                <w:rFonts w:hint="eastAsia"/>
              </w:rPr>
              <w:t>-</w:t>
            </w:r>
          </w:p>
        </w:tc>
        <w:tc>
          <w:tcPr>
            <w:tcW w:w="1384" w:type="dxa"/>
            <w:vAlign w:val="center"/>
          </w:tcPr>
          <w:p w14:paraId="46D877B7">
            <w:pPr>
              <w:jc w:val="right"/>
            </w:pPr>
            <w:r>
              <w:rPr>
                <w:rFonts w:hint="eastAsia"/>
              </w:rPr>
              <w:t>-</w:t>
            </w:r>
          </w:p>
        </w:tc>
        <w:tc>
          <w:tcPr>
            <w:tcW w:w="1384" w:type="dxa"/>
            <w:vAlign w:val="center"/>
          </w:tcPr>
          <w:p w14:paraId="528BBD75">
            <w:pPr>
              <w:jc w:val="right"/>
            </w:pPr>
            <w:r>
              <w:rPr>
                <w:rFonts w:hint="eastAsia"/>
              </w:rPr>
              <w:t>-</w:t>
            </w:r>
          </w:p>
        </w:tc>
        <w:tc>
          <w:tcPr>
            <w:tcW w:w="1384" w:type="dxa"/>
            <w:vAlign w:val="center"/>
          </w:tcPr>
          <w:p w14:paraId="17B34D47">
            <w:pPr>
              <w:jc w:val="right"/>
            </w:pPr>
            <w:r>
              <w:rPr>
                <w:rFonts w:hint="eastAsia"/>
              </w:rPr>
              <w:t>-</w:t>
            </w:r>
          </w:p>
        </w:tc>
      </w:tr>
      <w:tr w14:paraId="1443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5A61F">
            <w:r>
              <w:rPr>
                <w:rFonts w:hint="eastAsia"/>
              </w:rPr>
              <w:t>资产总计</w:t>
            </w:r>
          </w:p>
        </w:tc>
        <w:tc>
          <w:tcPr>
            <w:tcW w:w="1384" w:type="dxa"/>
            <w:vAlign w:val="center"/>
          </w:tcPr>
          <w:p w14:paraId="04D99654">
            <w:pPr>
              <w:jc w:val="right"/>
            </w:pPr>
            <w:r>
              <w:rPr>
                <w:rFonts w:hint="eastAsia"/>
              </w:rPr>
              <w:t>1,188,921,812.07</w:t>
            </w:r>
          </w:p>
        </w:tc>
        <w:tc>
          <w:tcPr>
            <w:tcW w:w="1384" w:type="dxa"/>
            <w:vAlign w:val="center"/>
          </w:tcPr>
          <w:p w14:paraId="31B80DBE">
            <w:pPr>
              <w:jc w:val="right"/>
            </w:pPr>
            <w:r>
              <w:rPr>
                <w:rFonts w:hint="eastAsia"/>
              </w:rPr>
              <w:t>1,683,374,242.74</w:t>
            </w:r>
          </w:p>
        </w:tc>
        <w:tc>
          <w:tcPr>
            <w:tcW w:w="1384" w:type="dxa"/>
            <w:vAlign w:val="center"/>
          </w:tcPr>
          <w:p w14:paraId="5FECF060">
            <w:pPr>
              <w:jc w:val="right"/>
            </w:pPr>
            <w:r>
              <w:rPr>
                <w:rFonts w:hint="eastAsia"/>
              </w:rPr>
              <w:t>-</w:t>
            </w:r>
          </w:p>
        </w:tc>
        <w:tc>
          <w:tcPr>
            <w:tcW w:w="1384" w:type="dxa"/>
            <w:vAlign w:val="center"/>
          </w:tcPr>
          <w:p w14:paraId="50CD9B74">
            <w:pPr>
              <w:jc w:val="right"/>
            </w:pPr>
            <w:r>
              <w:rPr>
                <w:rFonts w:hint="eastAsia"/>
              </w:rPr>
              <w:t>639,654,459.73</w:t>
            </w:r>
          </w:p>
        </w:tc>
        <w:tc>
          <w:tcPr>
            <w:tcW w:w="1384" w:type="dxa"/>
            <w:vAlign w:val="center"/>
          </w:tcPr>
          <w:p w14:paraId="4D1A5BAC">
            <w:pPr>
              <w:jc w:val="right"/>
            </w:pPr>
            <w:r>
              <w:rPr>
                <w:rFonts w:hint="eastAsia"/>
              </w:rPr>
              <w:t>3,511,950,514.54</w:t>
            </w:r>
          </w:p>
        </w:tc>
      </w:tr>
      <w:tr w14:paraId="71E2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667A8">
            <w:r>
              <w:rPr>
                <w:rFonts w:hint="eastAsia"/>
              </w:rPr>
              <w:t>负债</w:t>
            </w:r>
          </w:p>
        </w:tc>
        <w:tc>
          <w:tcPr>
            <w:tcW w:w="1384" w:type="dxa"/>
            <w:vAlign w:val="center"/>
          </w:tcPr>
          <w:p w14:paraId="45C0ADD5"/>
        </w:tc>
        <w:tc>
          <w:tcPr>
            <w:tcW w:w="1384" w:type="dxa"/>
            <w:vAlign w:val="center"/>
          </w:tcPr>
          <w:p w14:paraId="31D15230"/>
        </w:tc>
        <w:tc>
          <w:tcPr>
            <w:tcW w:w="1384" w:type="dxa"/>
            <w:vAlign w:val="center"/>
          </w:tcPr>
          <w:p w14:paraId="2EE49019"/>
        </w:tc>
        <w:tc>
          <w:tcPr>
            <w:tcW w:w="1384" w:type="dxa"/>
            <w:vAlign w:val="center"/>
          </w:tcPr>
          <w:p w14:paraId="6784C21E"/>
        </w:tc>
        <w:tc>
          <w:tcPr>
            <w:tcW w:w="1384" w:type="dxa"/>
            <w:vAlign w:val="center"/>
          </w:tcPr>
          <w:p w14:paraId="103A7DE3"/>
        </w:tc>
      </w:tr>
      <w:tr w14:paraId="5A23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C366C">
            <w:r>
              <w:rPr>
                <w:rFonts w:hint="eastAsia"/>
              </w:rPr>
              <w:t>短期借款</w:t>
            </w:r>
          </w:p>
        </w:tc>
        <w:tc>
          <w:tcPr>
            <w:tcW w:w="1384" w:type="dxa"/>
            <w:vAlign w:val="center"/>
          </w:tcPr>
          <w:p w14:paraId="0F09D487">
            <w:pPr>
              <w:jc w:val="right"/>
            </w:pPr>
            <w:r>
              <w:rPr>
                <w:rFonts w:hint="eastAsia"/>
              </w:rPr>
              <w:t>-</w:t>
            </w:r>
          </w:p>
        </w:tc>
        <w:tc>
          <w:tcPr>
            <w:tcW w:w="1384" w:type="dxa"/>
            <w:vAlign w:val="center"/>
          </w:tcPr>
          <w:p w14:paraId="76C02C2F">
            <w:pPr>
              <w:jc w:val="right"/>
            </w:pPr>
            <w:r>
              <w:rPr>
                <w:rFonts w:hint="eastAsia"/>
              </w:rPr>
              <w:t>-</w:t>
            </w:r>
          </w:p>
        </w:tc>
        <w:tc>
          <w:tcPr>
            <w:tcW w:w="1384" w:type="dxa"/>
            <w:vAlign w:val="center"/>
          </w:tcPr>
          <w:p w14:paraId="1F256400">
            <w:pPr>
              <w:jc w:val="right"/>
            </w:pPr>
            <w:r>
              <w:rPr>
                <w:rFonts w:hint="eastAsia"/>
              </w:rPr>
              <w:t>-</w:t>
            </w:r>
          </w:p>
        </w:tc>
        <w:tc>
          <w:tcPr>
            <w:tcW w:w="1384" w:type="dxa"/>
            <w:vAlign w:val="center"/>
          </w:tcPr>
          <w:p w14:paraId="52253DF3">
            <w:pPr>
              <w:jc w:val="right"/>
            </w:pPr>
            <w:r>
              <w:rPr>
                <w:rFonts w:hint="eastAsia"/>
              </w:rPr>
              <w:t>-</w:t>
            </w:r>
          </w:p>
        </w:tc>
        <w:tc>
          <w:tcPr>
            <w:tcW w:w="1384" w:type="dxa"/>
            <w:vAlign w:val="center"/>
          </w:tcPr>
          <w:p w14:paraId="23E53AAE">
            <w:pPr>
              <w:jc w:val="right"/>
            </w:pPr>
            <w:r>
              <w:rPr>
                <w:rFonts w:hint="eastAsia"/>
              </w:rPr>
              <w:t>-</w:t>
            </w:r>
          </w:p>
        </w:tc>
      </w:tr>
      <w:tr w14:paraId="7CC5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2CA7A">
            <w:r>
              <w:rPr>
                <w:rFonts w:hint="eastAsia"/>
              </w:rPr>
              <w:t>交易性金融负债</w:t>
            </w:r>
          </w:p>
        </w:tc>
        <w:tc>
          <w:tcPr>
            <w:tcW w:w="1384" w:type="dxa"/>
            <w:vAlign w:val="center"/>
          </w:tcPr>
          <w:p w14:paraId="31143CDE">
            <w:pPr>
              <w:jc w:val="right"/>
            </w:pPr>
            <w:r>
              <w:rPr>
                <w:rFonts w:hint="eastAsia"/>
              </w:rPr>
              <w:t>-</w:t>
            </w:r>
          </w:p>
        </w:tc>
        <w:tc>
          <w:tcPr>
            <w:tcW w:w="1384" w:type="dxa"/>
            <w:vAlign w:val="center"/>
          </w:tcPr>
          <w:p w14:paraId="5A413DE8">
            <w:pPr>
              <w:jc w:val="right"/>
            </w:pPr>
            <w:r>
              <w:rPr>
                <w:rFonts w:hint="eastAsia"/>
              </w:rPr>
              <w:t>-</w:t>
            </w:r>
          </w:p>
        </w:tc>
        <w:tc>
          <w:tcPr>
            <w:tcW w:w="1384" w:type="dxa"/>
            <w:vAlign w:val="center"/>
          </w:tcPr>
          <w:p w14:paraId="5ADA5E71">
            <w:pPr>
              <w:jc w:val="right"/>
            </w:pPr>
            <w:r>
              <w:rPr>
                <w:rFonts w:hint="eastAsia"/>
              </w:rPr>
              <w:t>-</w:t>
            </w:r>
          </w:p>
        </w:tc>
        <w:tc>
          <w:tcPr>
            <w:tcW w:w="1384" w:type="dxa"/>
            <w:vAlign w:val="center"/>
          </w:tcPr>
          <w:p w14:paraId="39D41E01">
            <w:pPr>
              <w:jc w:val="right"/>
            </w:pPr>
            <w:r>
              <w:rPr>
                <w:rFonts w:hint="eastAsia"/>
              </w:rPr>
              <w:t>-</w:t>
            </w:r>
          </w:p>
        </w:tc>
        <w:tc>
          <w:tcPr>
            <w:tcW w:w="1384" w:type="dxa"/>
            <w:vAlign w:val="center"/>
          </w:tcPr>
          <w:p w14:paraId="7FC07C0E">
            <w:pPr>
              <w:jc w:val="right"/>
            </w:pPr>
            <w:r>
              <w:rPr>
                <w:rFonts w:hint="eastAsia"/>
              </w:rPr>
              <w:t>-</w:t>
            </w:r>
          </w:p>
        </w:tc>
      </w:tr>
      <w:tr w14:paraId="16BD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C7A71">
            <w:r>
              <w:rPr>
                <w:rFonts w:hint="eastAsia"/>
              </w:rPr>
              <w:t>衍生金融负债</w:t>
            </w:r>
          </w:p>
        </w:tc>
        <w:tc>
          <w:tcPr>
            <w:tcW w:w="1384" w:type="dxa"/>
            <w:vAlign w:val="center"/>
          </w:tcPr>
          <w:p w14:paraId="4998EAE9">
            <w:pPr>
              <w:jc w:val="right"/>
            </w:pPr>
            <w:r>
              <w:rPr>
                <w:rFonts w:hint="eastAsia"/>
              </w:rPr>
              <w:t>-</w:t>
            </w:r>
          </w:p>
        </w:tc>
        <w:tc>
          <w:tcPr>
            <w:tcW w:w="1384" w:type="dxa"/>
            <w:vAlign w:val="center"/>
          </w:tcPr>
          <w:p w14:paraId="4AFADE8A">
            <w:pPr>
              <w:jc w:val="right"/>
            </w:pPr>
            <w:r>
              <w:rPr>
                <w:rFonts w:hint="eastAsia"/>
              </w:rPr>
              <w:t>-</w:t>
            </w:r>
          </w:p>
        </w:tc>
        <w:tc>
          <w:tcPr>
            <w:tcW w:w="1384" w:type="dxa"/>
            <w:vAlign w:val="center"/>
          </w:tcPr>
          <w:p w14:paraId="2F7CA90A">
            <w:pPr>
              <w:jc w:val="right"/>
            </w:pPr>
            <w:r>
              <w:rPr>
                <w:rFonts w:hint="eastAsia"/>
              </w:rPr>
              <w:t>-</w:t>
            </w:r>
          </w:p>
        </w:tc>
        <w:tc>
          <w:tcPr>
            <w:tcW w:w="1384" w:type="dxa"/>
            <w:vAlign w:val="center"/>
          </w:tcPr>
          <w:p w14:paraId="3EDB2306">
            <w:pPr>
              <w:jc w:val="right"/>
            </w:pPr>
            <w:r>
              <w:rPr>
                <w:rFonts w:hint="eastAsia"/>
              </w:rPr>
              <w:t>-</w:t>
            </w:r>
          </w:p>
        </w:tc>
        <w:tc>
          <w:tcPr>
            <w:tcW w:w="1384" w:type="dxa"/>
            <w:vAlign w:val="center"/>
          </w:tcPr>
          <w:p w14:paraId="02B84278">
            <w:pPr>
              <w:jc w:val="right"/>
            </w:pPr>
            <w:r>
              <w:rPr>
                <w:rFonts w:hint="eastAsia"/>
              </w:rPr>
              <w:t>-</w:t>
            </w:r>
          </w:p>
        </w:tc>
      </w:tr>
      <w:tr w14:paraId="01F3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72691">
            <w:r>
              <w:rPr>
                <w:rFonts w:hint="eastAsia"/>
              </w:rPr>
              <w:t>卖出回购金融资产款</w:t>
            </w:r>
          </w:p>
        </w:tc>
        <w:tc>
          <w:tcPr>
            <w:tcW w:w="1384" w:type="dxa"/>
            <w:vAlign w:val="center"/>
          </w:tcPr>
          <w:p w14:paraId="6D458A9B">
            <w:pPr>
              <w:jc w:val="right"/>
            </w:pPr>
            <w:r>
              <w:rPr>
                <w:rFonts w:hint="eastAsia"/>
              </w:rPr>
              <w:t>261,934,508.02</w:t>
            </w:r>
          </w:p>
        </w:tc>
        <w:tc>
          <w:tcPr>
            <w:tcW w:w="1384" w:type="dxa"/>
            <w:vAlign w:val="center"/>
          </w:tcPr>
          <w:p w14:paraId="3BC91423">
            <w:pPr>
              <w:jc w:val="right"/>
            </w:pPr>
            <w:r>
              <w:rPr>
                <w:rFonts w:hint="eastAsia"/>
              </w:rPr>
              <w:t>-</w:t>
            </w:r>
          </w:p>
        </w:tc>
        <w:tc>
          <w:tcPr>
            <w:tcW w:w="1384" w:type="dxa"/>
            <w:vAlign w:val="center"/>
          </w:tcPr>
          <w:p w14:paraId="2DB85B4E">
            <w:pPr>
              <w:jc w:val="right"/>
            </w:pPr>
            <w:r>
              <w:rPr>
                <w:rFonts w:hint="eastAsia"/>
              </w:rPr>
              <w:t>-</w:t>
            </w:r>
          </w:p>
        </w:tc>
        <w:tc>
          <w:tcPr>
            <w:tcW w:w="1384" w:type="dxa"/>
            <w:vAlign w:val="center"/>
          </w:tcPr>
          <w:p w14:paraId="5B5651BE">
            <w:pPr>
              <w:jc w:val="right"/>
            </w:pPr>
            <w:r>
              <w:rPr>
                <w:rFonts w:hint="eastAsia"/>
              </w:rPr>
              <w:t>-</w:t>
            </w:r>
          </w:p>
        </w:tc>
        <w:tc>
          <w:tcPr>
            <w:tcW w:w="1384" w:type="dxa"/>
            <w:vAlign w:val="center"/>
          </w:tcPr>
          <w:p w14:paraId="23027E12">
            <w:pPr>
              <w:jc w:val="right"/>
            </w:pPr>
            <w:r>
              <w:rPr>
                <w:rFonts w:hint="eastAsia"/>
              </w:rPr>
              <w:t>261,934,508.02</w:t>
            </w:r>
          </w:p>
        </w:tc>
      </w:tr>
      <w:tr w14:paraId="71FA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6288A">
            <w:r>
              <w:rPr>
                <w:rFonts w:hint="eastAsia"/>
              </w:rPr>
              <w:t>应付清算款</w:t>
            </w:r>
          </w:p>
        </w:tc>
        <w:tc>
          <w:tcPr>
            <w:tcW w:w="1384" w:type="dxa"/>
            <w:vAlign w:val="center"/>
          </w:tcPr>
          <w:p w14:paraId="05B62CCC">
            <w:pPr>
              <w:jc w:val="right"/>
            </w:pPr>
            <w:r>
              <w:rPr>
                <w:rFonts w:hint="eastAsia"/>
              </w:rPr>
              <w:t>-</w:t>
            </w:r>
          </w:p>
        </w:tc>
        <w:tc>
          <w:tcPr>
            <w:tcW w:w="1384" w:type="dxa"/>
            <w:vAlign w:val="center"/>
          </w:tcPr>
          <w:p w14:paraId="6A7E80D3">
            <w:pPr>
              <w:jc w:val="right"/>
            </w:pPr>
            <w:r>
              <w:rPr>
                <w:rFonts w:hint="eastAsia"/>
              </w:rPr>
              <w:t>-</w:t>
            </w:r>
          </w:p>
        </w:tc>
        <w:tc>
          <w:tcPr>
            <w:tcW w:w="1384" w:type="dxa"/>
            <w:vAlign w:val="center"/>
          </w:tcPr>
          <w:p w14:paraId="20B77928">
            <w:pPr>
              <w:jc w:val="right"/>
            </w:pPr>
            <w:r>
              <w:rPr>
                <w:rFonts w:hint="eastAsia"/>
              </w:rPr>
              <w:t>-</w:t>
            </w:r>
          </w:p>
        </w:tc>
        <w:tc>
          <w:tcPr>
            <w:tcW w:w="1384" w:type="dxa"/>
            <w:vAlign w:val="center"/>
          </w:tcPr>
          <w:p w14:paraId="26F729A4">
            <w:pPr>
              <w:jc w:val="right"/>
            </w:pPr>
            <w:r>
              <w:rPr>
                <w:rFonts w:hint="eastAsia"/>
              </w:rPr>
              <w:t>6,221,614.51</w:t>
            </w:r>
          </w:p>
        </w:tc>
        <w:tc>
          <w:tcPr>
            <w:tcW w:w="1384" w:type="dxa"/>
            <w:vAlign w:val="center"/>
          </w:tcPr>
          <w:p w14:paraId="306E4C9A">
            <w:pPr>
              <w:jc w:val="right"/>
            </w:pPr>
            <w:r>
              <w:rPr>
                <w:rFonts w:hint="eastAsia"/>
              </w:rPr>
              <w:t>6,221,614.51</w:t>
            </w:r>
          </w:p>
        </w:tc>
      </w:tr>
      <w:tr w14:paraId="6541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08F02">
            <w:r>
              <w:rPr>
                <w:rFonts w:hint="eastAsia"/>
              </w:rPr>
              <w:t>应付赎回款</w:t>
            </w:r>
          </w:p>
        </w:tc>
        <w:tc>
          <w:tcPr>
            <w:tcW w:w="1384" w:type="dxa"/>
            <w:vAlign w:val="center"/>
          </w:tcPr>
          <w:p w14:paraId="649C6640">
            <w:pPr>
              <w:jc w:val="right"/>
            </w:pPr>
            <w:r>
              <w:rPr>
                <w:rFonts w:hint="eastAsia"/>
              </w:rPr>
              <w:t>-</w:t>
            </w:r>
          </w:p>
        </w:tc>
        <w:tc>
          <w:tcPr>
            <w:tcW w:w="1384" w:type="dxa"/>
            <w:vAlign w:val="center"/>
          </w:tcPr>
          <w:p w14:paraId="511EB345">
            <w:pPr>
              <w:jc w:val="right"/>
            </w:pPr>
            <w:r>
              <w:rPr>
                <w:rFonts w:hint="eastAsia"/>
              </w:rPr>
              <w:t>-</w:t>
            </w:r>
          </w:p>
        </w:tc>
        <w:tc>
          <w:tcPr>
            <w:tcW w:w="1384" w:type="dxa"/>
            <w:vAlign w:val="center"/>
          </w:tcPr>
          <w:p w14:paraId="21FE6C53">
            <w:pPr>
              <w:jc w:val="right"/>
            </w:pPr>
            <w:r>
              <w:rPr>
                <w:rFonts w:hint="eastAsia"/>
              </w:rPr>
              <w:t>-</w:t>
            </w:r>
          </w:p>
        </w:tc>
        <w:tc>
          <w:tcPr>
            <w:tcW w:w="1384" w:type="dxa"/>
            <w:vAlign w:val="center"/>
          </w:tcPr>
          <w:p w14:paraId="372DD7B4">
            <w:pPr>
              <w:jc w:val="right"/>
            </w:pPr>
            <w:r>
              <w:rPr>
                <w:rFonts w:hint="eastAsia"/>
              </w:rPr>
              <w:t>29,116,045.17</w:t>
            </w:r>
          </w:p>
        </w:tc>
        <w:tc>
          <w:tcPr>
            <w:tcW w:w="1384" w:type="dxa"/>
            <w:vAlign w:val="center"/>
          </w:tcPr>
          <w:p w14:paraId="34A03383">
            <w:pPr>
              <w:jc w:val="right"/>
            </w:pPr>
            <w:r>
              <w:rPr>
                <w:rFonts w:hint="eastAsia"/>
              </w:rPr>
              <w:t>29,116,045.17</w:t>
            </w:r>
          </w:p>
        </w:tc>
      </w:tr>
      <w:tr w14:paraId="52EB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7E385">
            <w:r>
              <w:rPr>
                <w:rFonts w:hint="eastAsia"/>
              </w:rPr>
              <w:t>应付管理人报酬</w:t>
            </w:r>
          </w:p>
        </w:tc>
        <w:tc>
          <w:tcPr>
            <w:tcW w:w="1384" w:type="dxa"/>
            <w:vAlign w:val="center"/>
          </w:tcPr>
          <w:p w14:paraId="0F2FB67F">
            <w:pPr>
              <w:jc w:val="right"/>
            </w:pPr>
            <w:r>
              <w:rPr>
                <w:rFonts w:hint="eastAsia"/>
              </w:rPr>
              <w:t>-</w:t>
            </w:r>
          </w:p>
        </w:tc>
        <w:tc>
          <w:tcPr>
            <w:tcW w:w="1384" w:type="dxa"/>
            <w:vAlign w:val="center"/>
          </w:tcPr>
          <w:p w14:paraId="174BFEBF">
            <w:pPr>
              <w:jc w:val="right"/>
            </w:pPr>
            <w:r>
              <w:rPr>
                <w:rFonts w:hint="eastAsia"/>
              </w:rPr>
              <w:t>-</w:t>
            </w:r>
          </w:p>
        </w:tc>
        <w:tc>
          <w:tcPr>
            <w:tcW w:w="1384" w:type="dxa"/>
            <w:vAlign w:val="center"/>
          </w:tcPr>
          <w:p w14:paraId="6E23571A">
            <w:pPr>
              <w:jc w:val="right"/>
            </w:pPr>
            <w:r>
              <w:rPr>
                <w:rFonts w:hint="eastAsia"/>
              </w:rPr>
              <w:t>-</w:t>
            </w:r>
          </w:p>
        </w:tc>
        <w:tc>
          <w:tcPr>
            <w:tcW w:w="1384" w:type="dxa"/>
            <w:vAlign w:val="center"/>
          </w:tcPr>
          <w:p w14:paraId="15FE013A">
            <w:pPr>
              <w:jc w:val="right"/>
            </w:pPr>
            <w:r>
              <w:rPr>
                <w:rFonts w:hint="eastAsia"/>
              </w:rPr>
              <w:t>1,400,027.63</w:t>
            </w:r>
          </w:p>
        </w:tc>
        <w:tc>
          <w:tcPr>
            <w:tcW w:w="1384" w:type="dxa"/>
            <w:vAlign w:val="center"/>
          </w:tcPr>
          <w:p w14:paraId="24AF1E05">
            <w:pPr>
              <w:jc w:val="right"/>
            </w:pPr>
            <w:r>
              <w:rPr>
                <w:rFonts w:hint="eastAsia"/>
              </w:rPr>
              <w:t>1,400,027.63</w:t>
            </w:r>
          </w:p>
        </w:tc>
      </w:tr>
      <w:tr w14:paraId="725B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C28C3">
            <w:r>
              <w:rPr>
                <w:rFonts w:hint="eastAsia"/>
              </w:rPr>
              <w:t>应付托管费</w:t>
            </w:r>
          </w:p>
        </w:tc>
        <w:tc>
          <w:tcPr>
            <w:tcW w:w="1384" w:type="dxa"/>
            <w:vAlign w:val="center"/>
          </w:tcPr>
          <w:p w14:paraId="263A6C92">
            <w:pPr>
              <w:jc w:val="right"/>
            </w:pPr>
            <w:r>
              <w:rPr>
                <w:rFonts w:hint="eastAsia"/>
              </w:rPr>
              <w:t>-</w:t>
            </w:r>
          </w:p>
        </w:tc>
        <w:tc>
          <w:tcPr>
            <w:tcW w:w="1384" w:type="dxa"/>
            <w:vAlign w:val="center"/>
          </w:tcPr>
          <w:p w14:paraId="6EE2A472">
            <w:pPr>
              <w:jc w:val="right"/>
            </w:pPr>
            <w:r>
              <w:rPr>
                <w:rFonts w:hint="eastAsia"/>
              </w:rPr>
              <w:t>-</w:t>
            </w:r>
          </w:p>
        </w:tc>
        <w:tc>
          <w:tcPr>
            <w:tcW w:w="1384" w:type="dxa"/>
            <w:vAlign w:val="center"/>
          </w:tcPr>
          <w:p w14:paraId="433173BF">
            <w:pPr>
              <w:jc w:val="right"/>
            </w:pPr>
            <w:r>
              <w:rPr>
                <w:rFonts w:hint="eastAsia"/>
              </w:rPr>
              <w:t>-</w:t>
            </w:r>
          </w:p>
        </w:tc>
        <w:tc>
          <w:tcPr>
            <w:tcW w:w="1384" w:type="dxa"/>
            <w:vAlign w:val="center"/>
          </w:tcPr>
          <w:p w14:paraId="225220ED">
            <w:pPr>
              <w:jc w:val="right"/>
            </w:pPr>
            <w:r>
              <w:rPr>
                <w:rFonts w:hint="eastAsia"/>
              </w:rPr>
              <w:t>280,005.52</w:t>
            </w:r>
          </w:p>
        </w:tc>
        <w:tc>
          <w:tcPr>
            <w:tcW w:w="1384" w:type="dxa"/>
            <w:vAlign w:val="center"/>
          </w:tcPr>
          <w:p w14:paraId="5CB41029">
            <w:pPr>
              <w:jc w:val="right"/>
            </w:pPr>
            <w:r>
              <w:rPr>
                <w:rFonts w:hint="eastAsia"/>
              </w:rPr>
              <w:t>280,005.52</w:t>
            </w:r>
          </w:p>
        </w:tc>
      </w:tr>
      <w:tr w14:paraId="2083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480FF">
            <w:r>
              <w:rPr>
                <w:rFonts w:hint="eastAsia"/>
              </w:rPr>
              <w:t>应付销售服务费</w:t>
            </w:r>
          </w:p>
        </w:tc>
        <w:tc>
          <w:tcPr>
            <w:tcW w:w="1384" w:type="dxa"/>
            <w:vAlign w:val="center"/>
          </w:tcPr>
          <w:p w14:paraId="754CA776">
            <w:pPr>
              <w:jc w:val="right"/>
            </w:pPr>
            <w:r>
              <w:rPr>
                <w:rFonts w:hint="eastAsia"/>
              </w:rPr>
              <w:t>-</w:t>
            </w:r>
          </w:p>
        </w:tc>
        <w:tc>
          <w:tcPr>
            <w:tcW w:w="1384" w:type="dxa"/>
            <w:vAlign w:val="center"/>
          </w:tcPr>
          <w:p w14:paraId="25A368DD">
            <w:pPr>
              <w:jc w:val="right"/>
            </w:pPr>
            <w:r>
              <w:rPr>
                <w:rFonts w:hint="eastAsia"/>
              </w:rPr>
              <w:t>-</w:t>
            </w:r>
          </w:p>
        </w:tc>
        <w:tc>
          <w:tcPr>
            <w:tcW w:w="1384" w:type="dxa"/>
            <w:vAlign w:val="center"/>
          </w:tcPr>
          <w:p w14:paraId="670D74FA">
            <w:pPr>
              <w:jc w:val="right"/>
            </w:pPr>
            <w:r>
              <w:rPr>
                <w:rFonts w:hint="eastAsia"/>
              </w:rPr>
              <w:t>-</w:t>
            </w:r>
          </w:p>
        </w:tc>
        <w:tc>
          <w:tcPr>
            <w:tcW w:w="1384" w:type="dxa"/>
            <w:vAlign w:val="center"/>
          </w:tcPr>
          <w:p w14:paraId="1CE019F3">
            <w:pPr>
              <w:jc w:val="right"/>
            </w:pPr>
            <w:r>
              <w:rPr>
                <w:rFonts w:hint="eastAsia"/>
              </w:rPr>
              <w:t>624,010.21</w:t>
            </w:r>
          </w:p>
        </w:tc>
        <w:tc>
          <w:tcPr>
            <w:tcW w:w="1384" w:type="dxa"/>
            <w:vAlign w:val="center"/>
          </w:tcPr>
          <w:p w14:paraId="517DF3C8">
            <w:pPr>
              <w:jc w:val="right"/>
            </w:pPr>
            <w:r>
              <w:rPr>
                <w:rFonts w:hint="eastAsia"/>
              </w:rPr>
              <w:t>624,010.21</w:t>
            </w:r>
          </w:p>
        </w:tc>
      </w:tr>
      <w:tr w14:paraId="4F7C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62CD0">
            <w:r>
              <w:rPr>
                <w:rFonts w:hint="eastAsia"/>
              </w:rPr>
              <w:t>应付投资顾问费</w:t>
            </w:r>
          </w:p>
        </w:tc>
        <w:tc>
          <w:tcPr>
            <w:tcW w:w="1384" w:type="dxa"/>
            <w:vAlign w:val="center"/>
          </w:tcPr>
          <w:p w14:paraId="2792642D">
            <w:pPr>
              <w:jc w:val="right"/>
            </w:pPr>
            <w:r>
              <w:rPr>
                <w:rFonts w:hint="eastAsia"/>
              </w:rPr>
              <w:t>-</w:t>
            </w:r>
          </w:p>
        </w:tc>
        <w:tc>
          <w:tcPr>
            <w:tcW w:w="1384" w:type="dxa"/>
            <w:vAlign w:val="center"/>
          </w:tcPr>
          <w:p w14:paraId="506E6290">
            <w:pPr>
              <w:jc w:val="right"/>
            </w:pPr>
            <w:r>
              <w:rPr>
                <w:rFonts w:hint="eastAsia"/>
              </w:rPr>
              <w:t>-</w:t>
            </w:r>
          </w:p>
        </w:tc>
        <w:tc>
          <w:tcPr>
            <w:tcW w:w="1384" w:type="dxa"/>
            <w:vAlign w:val="center"/>
          </w:tcPr>
          <w:p w14:paraId="169FFF54">
            <w:pPr>
              <w:jc w:val="right"/>
            </w:pPr>
            <w:r>
              <w:rPr>
                <w:rFonts w:hint="eastAsia"/>
              </w:rPr>
              <w:t>-</w:t>
            </w:r>
          </w:p>
        </w:tc>
        <w:tc>
          <w:tcPr>
            <w:tcW w:w="1384" w:type="dxa"/>
            <w:vAlign w:val="center"/>
          </w:tcPr>
          <w:p w14:paraId="640323AE">
            <w:pPr>
              <w:jc w:val="right"/>
            </w:pPr>
            <w:r>
              <w:rPr>
                <w:rFonts w:hint="eastAsia"/>
              </w:rPr>
              <w:t>-</w:t>
            </w:r>
          </w:p>
        </w:tc>
        <w:tc>
          <w:tcPr>
            <w:tcW w:w="1384" w:type="dxa"/>
            <w:vAlign w:val="center"/>
          </w:tcPr>
          <w:p w14:paraId="1906DEC0">
            <w:pPr>
              <w:jc w:val="right"/>
            </w:pPr>
            <w:r>
              <w:rPr>
                <w:rFonts w:hint="eastAsia"/>
              </w:rPr>
              <w:t>-</w:t>
            </w:r>
          </w:p>
        </w:tc>
      </w:tr>
      <w:tr w14:paraId="3D5E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28EB5">
            <w:r>
              <w:rPr>
                <w:rFonts w:hint="eastAsia"/>
              </w:rPr>
              <w:t>应交税费</w:t>
            </w:r>
          </w:p>
        </w:tc>
        <w:tc>
          <w:tcPr>
            <w:tcW w:w="1384" w:type="dxa"/>
            <w:vAlign w:val="center"/>
          </w:tcPr>
          <w:p w14:paraId="57BAAAFD">
            <w:pPr>
              <w:jc w:val="right"/>
            </w:pPr>
            <w:r>
              <w:rPr>
                <w:rFonts w:hint="eastAsia"/>
              </w:rPr>
              <w:t>-</w:t>
            </w:r>
          </w:p>
        </w:tc>
        <w:tc>
          <w:tcPr>
            <w:tcW w:w="1384" w:type="dxa"/>
            <w:vAlign w:val="center"/>
          </w:tcPr>
          <w:p w14:paraId="0A3B2588">
            <w:pPr>
              <w:jc w:val="right"/>
            </w:pPr>
            <w:r>
              <w:rPr>
                <w:rFonts w:hint="eastAsia"/>
              </w:rPr>
              <w:t>-</w:t>
            </w:r>
          </w:p>
        </w:tc>
        <w:tc>
          <w:tcPr>
            <w:tcW w:w="1384" w:type="dxa"/>
            <w:vAlign w:val="center"/>
          </w:tcPr>
          <w:p w14:paraId="51907C1D">
            <w:pPr>
              <w:jc w:val="right"/>
            </w:pPr>
            <w:r>
              <w:rPr>
                <w:rFonts w:hint="eastAsia"/>
              </w:rPr>
              <w:t>-</w:t>
            </w:r>
          </w:p>
        </w:tc>
        <w:tc>
          <w:tcPr>
            <w:tcW w:w="1384" w:type="dxa"/>
            <w:vAlign w:val="center"/>
          </w:tcPr>
          <w:p w14:paraId="5272E35F">
            <w:pPr>
              <w:jc w:val="right"/>
            </w:pPr>
            <w:r>
              <w:rPr>
                <w:rFonts w:hint="eastAsia"/>
              </w:rPr>
              <w:t>22,289.13</w:t>
            </w:r>
          </w:p>
        </w:tc>
        <w:tc>
          <w:tcPr>
            <w:tcW w:w="1384" w:type="dxa"/>
            <w:vAlign w:val="center"/>
          </w:tcPr>
          <w:p w14:paraId="743CBDDE">
            <w:pPr>
              <w:jc w:val="right"/>
            </w:pPr>
            <w:r>
              <w:rPr>
                <w:rFonts w:hint="eastAsia"/>
              </w:rPr>
              <w:t>22,289.13</w:t>
            </w:r>
          </w:p>
        </w:tc>
      </w:tr>
      <w:tr w14:paraId="0459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178A8">
            <w:r>
              <w:rPr>
                <w:rFonts w:hint="eastAsia"/>
              </w:rPr>
              <w:t>应付利润</w:t>
            </w:r>
          </w:p>
        </w:tc>
        <w:tc>
          <w:tcPr>
            <w:tcW w:w="1384" w:type="dxa"/>
            <w:vAlign w:val="center"/>
          </w:tcPr>
          <w:p w14:paraId="61359568">
            <w:pPr>
              <w:jc w:val="right"/>
            </w:pPr>
            <w:r>
              <w:rPr>
                <w:rFonts w:hint="eastAsia"/>
              </w:rPr>
              <w:t>-</w:t>
            </w:r>
          </w:p>
        </w:tc>
        <w:tc>
          <w:tcPr>
            <w:tcW w:w="1384" w:type="dxa"/>
            <w:vAlign w:val="center"/>
          </w:tcPr>
          <w:p w14:paraId="18E0346A">
            <w:pPr>
              <w:jc w:val="right"/>
            </w:pPr>
            <w:r>
              <w:rPr>
                <w:rFonts w:hint="eastAsia"/>
              </w:rPr>
              <w:t>-</w:t>
            </w:r>
          </w:p>
        </w:tc>
        <w:tc>
          <w:tcPr>
            <w:tcW w:w="1384" w:type="dxa"/>
            <w:vAlign w:val="center"/>
          </w:tcPr>
          <w:p w14:paraId="24B9123E">
            <w:pPr>
              <w:jc w:val="right"/>
            </w:pPr>
            <w:r>
              <w:rPr>
                <w:rFonts w:hint="eastAsia"/>
              </w:rPr>
              <w:t>-</w:t>
            </w:r>
          </w:p>
        </w:tc>
        <w:tc>
          <w:tcPr>
            <w:tcW w:w="1384" w:type="dxa"/>
            <w:vAlign w:val="center"/>
          </w:tcPr>
          <w:p w14:paraId="7A31AFA6">
            <w:pPr>
              <w:jc w:val="right"/>
            </w:pPr>
            <w:r>
              <w:rPr>
                <w:rFonts w:hint="eastAsia"/>
              </w:rPr>
              <w:t>-</w:t>
            </w:r>
          </w:p>
        </w:tc>
        <w:tc>
          <w:tcPr>
            <w:tcW w:w="1384" w:type="dxa"/>
            <w:vAlign w:val="center"/>
          </w:tcPr>
          <w:p w14:paraId="7C4B19FF">
            <w:pPr>
              <w:jc w:val="right"/>
            </w:pPr>
            <w:r>
              <w:rPr>
                <w:rFonts w:hint="eastAsia"/>
              </w:rPr>
              <w:t>-</w:t>
            </w:r>
          </w:p>
        </w:tc>
      </w:tr>
      <w:tr w14:paraId="6B77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D177B">
            <w:r>
              <w:rPr>
                <w:rFonts w:hint="eastAsia"/>
              </w:rPr>
              <w:t>递延所得税负债</w:t>
            </w:r>
          </w:p>
        </w:tc>
        <w:tc>
          <w:tcPr>
            <w:tcW w:w="1384" w:type="dxa"/>
            <w:vAlign w:val="center"/>
          </w:tcPr>
          <w:p w14:paraId="083E27E6">
            <w:pPr>
              <w:jc w:val="right"/>
            </w:pPr>
            <w:r>
              <w:rPr>
                <w:rFonts w:hint="eastAsia"/>
              </w:rPr>
              <w:t>-</w:t>
            </w:r>
          </w:p>
        </w:tc>
        <w:tc>
          <w:tcPr>
            <w:tcW w:w="1384" w:type="dxa"/>
            <w:vAlign w:val="center"/>
          </w:tcPr>
          <w:p w14:paraId="77FCF026">
            <w:pPr>
              <w:jc w:val="right"/>
            </w:pPr>
            <w:r>
              <w:rPr>
                <w:rFonts w:hint="eastAsia"/>
              </w:rPr>
              <w:t>-</w:t>
            </w:r>
          </w:p>
        </w:tc>
        <w:tc>
          <w:tcPr>
            <w:tcW w:w="1384" w:type="dxa"/>
            <w:vAlign w:val="center"/>
          </w:tcPr>
          <w:p w14:paraId="4DCA4B02">
            <w:pPr>
              <w:jc w:val="right"/>
            </w:pPr>
            <w:r>
              <w:rPr>
                <w:rFonts w:hint="eastAsia"/>
              </w:rPr>
              <w:t>-</w:t>
            </w:r>
          </w:p>
        </w:tc>
        <w:tc>
          <w:tcPr>
            <w:tcW w:w="1384" w:type="dxa"/>
            <w:vAlign w:val="center"/>
          </w:tcPr>
          <w:p w14:paraId="5457BEC1">
            <w:pPr>
              <w:jc w:val="right"/>
            </w:pPr>
            <w:r>
              <w:rPr>
                <w:rFonts w:hint="eastAsia"/>
              </w:rPr>
              <w:t>-</w:t>
            </w:r>
          </w:p>
        </w:tc>
        <w:tc>
          <w:tcPr>
            <w:tcW w:w="1384" w:type="dxa"/>
            <w:vAlign w:val="center"/>
          </w:tcPr>
          <w:p w14:paraId="46C3240D">
            <w:pPr>
              <w:jc w:val="right"/>
            </w:pPr>
            <w:r>
              <w:rPr>
                <w:rFonts w:hint="eastAsia"/>
              </w:rPr>
              <w:t>-</w:t>
            </w:r>
          </w:p>
        </w:tc>
      </w:tr>
      <w:tr w14:paraId="02A7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CD4D8">
            <w:r>
              <w:rPr>
                <w:rFonts w:hint="eastAsia"/>
              </w:rPr>
              <w:t>其他负债</w:t>
            </w:r>
          </w:p>
        </w:tc>
        <w:tc>
          <w:tcPr>
            <w:tcW w:w="1384" w:type="dxa"/>
            <w:vAlign w:val="center"/>
          </w:tcPr>
          <w:p w14:paraId="225536DC">
            <w:pPr>
              <w:jc w:val="right"/>
            </w:pPr>
            <w:r>
              <w:rPr>
                <w:rFonts w:hint="eastAsia"/>
              </w:rPr>
              <w:t>-</w:t>
            </w:r>
          </w:p>
        </w:tc>
        <w:tc>
          <w:tcPr>
            <w:tcW w:w="1384" w:type="dxa"/>
            <w:vAlign w:val="center"/>
          </w:tcPr>
          <w:p w14:paraId="0895FF81">
            <w:pPr>
              <w:jc w:val="right"/>
            </w:pPr>
            <w:r>
              <w:rPr>
                <w:rFonts w:hint="eastAsia"/>
              </w:rPr>
              <w:t>-</w:t>
            </w:r>
          </w:p>
        </w:tc>
        <w:tc>
          <w:tcPr>
            <w:tcW w:w="1384" w:type="dxa"/>
            <w:vAlign w:val="center"/>
          </w:tcPr>
          <w:p w14:paraId="046F7C48">
            <w:pPr>
              <w:jc w:val="right"/>
            </w:pPr>
            <w:r>
              <w:rPr>
                <w:rFonts w:hint="eastAsia"/>
              </w:rPr>
              <w:t>-</w:t>
            </w:r>
          </w:p>
        </w:tc>
        <w:tc>
          <w:tcPr>
            <w:tcW w:w="1384" w:type="dxa"/>
            <w:vAlign w:val="center"/>
          </w:tcPr>
          <w:p w14:paraId="27C088C6">
            <w:pPr>
              <w:jc w:val="right"/>
            </w:pPr>
            <w:r>
              <w:rPr>
                <w:rFonts w:hint="eastAsia"/>
              </w:rPr>
              <w:t>230,731.75</w:t>
            </w:r>
          </w:p>
        </w:tc>
        <w:tc>
          <w:tcPr>
            <w:tcW w:w="1384" w:type="dxa"/>
            <w:vAlign w:val="center"/>
          </w:tcPr>
          <w:p w14:paraId="14D513A1">
            <w:pPr>
              <w:jc w:val="right"/>
            </w:pPr>
            <w:r>
              <w:rPr>
                <w:rFonts w:hint="eastAsia"/>
              </w:rPr>
              <w:t>230,731.75</w:t>
            </w:r>
          </w:p>
        </w:tc>
      </w:tr>
      <w:tr w14:paraId="3B6F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1C193">
            <w:r>
              <w:rPr>
                <w:rFonts w:hint="eastAsia"/>
              </w:rPr>
              <w:t>负债总计</w:t>
            </w:r>
          </w:p>
        </w:tc>
        <w:tc>
          <w:tcPr>
            <w:tcW w:w="1384" w:type="dxa"/>
            <w:vAlign w:val="center"/>
          </w:tcPr>
          <w:p w14:paraId="4DF6DF7C">
            <w:pPr>
              <w:jc w:val="right"/>
            </w:pPr>
            <w:r>
              <w:rPr>
                <w:rFonts w:hint="eastAsia"/>
              </w:rPr>
              <w:t>261,934,508.02</w:t>
            </w:r>
          </w:p>
        </w:tc>
        <w:tc>
          <w:tcPr>
            <w:tcW w:w="1384" w:type="dxa"/>
            <w:vAlign w:val="center"/>
          </w:tcPr>
          <w:p w14:paraId="1405C75D">
            <w:pPr>
              <w:jc w:val="right"/>
            </w:pPr>
            <w:r>
              <w:rPr>
                <w:rFonts w:hint="eastAsia"/>
              </w:rPr>
              <w:t>-</w:t>
            </w:r>
          </w:p>
        </w:tc>
        <w:tc>
          <w:tcPr>
            <w:tcW w:w="1384" w:type="dxa"/>
            <w:vAlign w:val="center"/>
          </w:tcPr>
          <w:p w14:paraId="5EAEAD84">
            <w:pPr>
              <w:jc w:val="right"/>
            </w:pPr>
            <w:r>
              <w:rPr>
                <w:rFonts w:hint="eastAsia"/>
              </w:rPr>
              <w:t>-</w:t>
            </w:r>
          </w:p>
        </w:tc>
        <w:tc>
          <w:tcPr>
            <w:tcW w:w="1384" w:type="dxa"/>
            <w:vAlign w:val="center"/>
          </w:tcPr>
          <w:p w14:paraId="17DEA086">
            <w:pPr>
              <w:jc w:val="right"/>
            </w:pPr>
            <w:r>
              <w:rPr>
                <w:rFonts w:hint="eastAsia"/>
              </w:rPr>
              <w:t>37,894,723.92</w:t>
            </w:r>
          </w:p>
        </w:tc>
        <w:tc>
          <w:tcPr>
            <w:tcW w:w="1384" w:type="dxa"/>
            <w:vAlign w:val="center"/>
          </w:tcPr>
          <w:p w14:paraId="5AD8F9A7">
            <w:pPr>
              <w:jc w:val="right"/>
            </w:pPr>
            <w:r>
              <w:rPr>
                <w:rFonts w:hint="eastAsia"/>
              </w:rPr>
              <w:t>299,829,231.94</w:t>
            </w:r>
          </w:p>
        </w:tc>
      </w:tr>
      <w:tr w14:paraId="25AA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41E9A">
            <w:r>
              <w:rPr>
                <w:rFonts w:hint="eastAsia"/>
              </w:rPr>
              <w:t>利率敏感度缺口</w:t>
            </w:r>
          </w:p>
        </w:tc>
        <w:tc>
          <w:tcPr>
            <w:tcW w:w="1384" w:type="dxa"/>
            <w:vAlign w:val="center"/>
          </w:tcPr>
          <w:p w14:paraId="6786BE2E">
            <w:pPr>
              <w:jc w:val="right"/>
            </w:pPr>
            <w:r>
              <w:rPr>
                <w:rFonts w:hint="eastAsia"/>
              </w:rPr>
              <w:t>926,987,304.05</w:t>
            </w:r>
          </w:p>
        </w:tc>
        <w:tc>
          <w:tcPr>
            <w:tcW w:w="1384" w:type="dxa"/>
            <w:vAlign w:val="center"/>
          </w:tcPr>
          <w:p w14:paraId="403680FF">
            <w:pPr>
              <w:jc w:val="right"/>
            </w:pPr>
            <w:r>
              <w:rPr>
                <w:rFonts w:hint="eastAsia"/>
              </w:rPr>
              <w:t>1,683,374,242.74</w:t>
            </w:r>
          </w:p>
        </w:tc>
        <w:tc>
          <w:tcPr>
            <w:tcW w:w="1384" w:type="dxa"/>
            <w:vAlign w:val="center"/>
          </w:tcPr>
          <w:p w14:paraId="155DF2AC">
            <w:pPr>
              <w:jc w:val="right"/>
            </w:pPr>
            <w:r>
              <w:rPr>
                <w:rFonts w:hint="eastAsia"/>
              </w:rPr>
              <w:t>-</w:t>
            </w:r>
          </w:p>
        </w:tc>
        <w:tc>
          <w:tcPr>
            <w:tcW w:w="1384" w:type="dxa"/>
            <w:vAlign w:val="center"/>
          </w:tcPr>
          <w:p w14:paraId="5945B03B">
            <w:pPr>
              <w:jc w:val="right"/>
            </w:pPr>
            <w:r>
              <w:rPr>
                <w:rFonts w:hint="eastAsia"/>
              </w:rPr>
              <w:t>601,759,735.81</w:t>
            </w:r>
          </w:p>
        </w:tc>
        <w:tc>
          <w:tcPr>
            <w:tcW w:w="1384" w:type="dxa"/>
            <w:vAlign w:val="center"/>
          </w:tcPr>
          <w:p w14:paraId="09016EEE">
            <w:pPr>
              <w:jc w:val="right"/>
            </w:pPr>
            <w:r>
              <w:rPr>
                <w:rFonts w:hint="eastAsia"/>
              </w:rPr>
              <w:t>3,212,121,282.60</w:t>
            </w:r>
          </w:p>
        </w:tc>
      </w:tr>
    </w:tbl>
    <w:p w14:paraId="69F5B5E4">
      <w:pPr>
        <w:pStyle w:val="47"/>
        <w:rPr>
          <w:rFonts w:hint="eastAsia"/>
        </w:rPr>
      </w:pPr>
      <w:r>
        <w:rPr>
          <w:rFonts w:hint="eastAsia"/>
        </w:rPr>
        <w:t>注：表中所示为本基金资产及负债的账面价值，并按照合约规定的利率重新定价日或到期日孰早者予以分类。</w:t>
      </w:r>
    </w:p>
    <w:p w14:paraId="43E03C86">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C5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06788">
            <w:r>
              <w:rPr>
                <w:rFonts w:hint="eastAsia"/>
              </w:rPr>
              <w:t>假设</w:t>
            </w:r>
          </w:p>
        </w:tc>
        <w:tc>
          <w:tcPr>
            <w:tcW w:w="2768" w:type="dxa"/>
            <w:gridSpan w:val="2"/>
            <w:vAlign w:val="center"/>
          </w:tcPr>
          <w:p w14:paraId="21712324">
            <w:r>
              <w:rPr>
                <w:rFonts w:hint="eastAsia"/>
              </w:rPr>
              <w:t>除市场利率以外的其他市场变量保持不变</w:t>
            </w:r>
          </w:p>
        </w:tc>
      </w:tr>
      <w:tr w14:paraId="12AC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714C101">
            <w:r>
              <w:rPr>
                <w:rFonts w:hint="eastAsia"/>
              </w:rPr>
              <w:t>分析</w:t>
            </w:r>
          </w:p>
        </w:tc>
        <w:tc>
          <w:tcPr>
            <w:tcW w:w="2768" w:type="dxa"/>
            <w:vMerge w:val="restart"/>
            <w:vAlign w:val="center"/>
          </w:tcPr>
          <w:p w14:paraId="396FF2A4">
            <w:r>
              <w:rPr>
                <w:rFonts w:hint="eastAsia"/>
              </w:rPr>
              <w:t>相关风险变量的变动</w:t>
            </w:r>
          </w:p>
        </w:tc>
        <w:tc>
          <w:tcPr>
            <w:tcW w:w="2768" w:type="dxa"/>
            <w:vAlign w:val="center"/>
          </w:tcPr>
          <w:p w14:paraId="57DBA617">
            <w:r>
              <w:rPr>
                <w:rFonts w:hint="eastAsia"/>
              </w:rPr>
              <w:t>对资产负债表日基金资产净值的影响金额（单位：人民币元）</w:t>
            </w:r>
          </w:p>
        </w:tc>
      </w:tr>
      <w:tr w14:paraId="79B7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44678D"/>
        </w:tc>
        <w:tc>
          <w:tcPr>
            <w:tcW w:w="2768" w:type="dxa"/>
            <w:vMerge w:val="continue"/>
            <w:vAlign w:val="center"/>
          </w:tcPr>
          <w:p w14:paraId="5D31A0C9"/>
        </w:tc>
        <w:tc>
          <w:tcPr>
            <w:tcW w:w="2768" w:type="dxa"/>
            <w:vAlign w:val="center"/>
          </w:tcPr>
          <w:p w14:paraId="36A9BA03">
            <w:r>
              <w:rPr>
                <w:rFonts w:hint="eastAsia"/>
              </w:rPr>
              <w:t>本期末（ 2025年12月31日 ）</w:t>
            </w:r>
          </w:p>
        </w:tc>
      </w:tr>
      <w:tr w14:paraId="4D04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CD4E64"/>
        </w:tc>
        <w:tc>
          <w:tcPr>
            <w:tcW w:w="2768" w:type="dxa"/>
            <w:vAlign w:val="center"/>
          </w:tcPr>
          <w:p w14:paraId="364A1F5A">
            <w:r>
              <w:rPr>
                <w:rFonts w:hint="eastAsia"/>
              </w:rPr>
              <w:t>1.市场利率平行上升25个基点</w:t>
            </w:r>
          </w:p>
        </w:tc>
        <w:tc>
          <w:tcPr>
            <w:tcW w:w="2768" w:type="dxa"/>
            <w:vAlign w:val="center"/>
          </w:tcPr>
          <w:p w14:paraId="070B18C2">
            <w:pPr>
              <w:jc w:val="right"/>
            </w:pPr>
            <w:r>
              <w:rPr>
                <w:rFonts w:hint="eastAsia"/>
              </w:rPr>
              <w:t>-13,250,215.03</w:t>
            </w:r>
          </w:p>
        </w:tc>
      </w:tr>
      <w:tr w14:paraId="43D8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4E2510"/>
        </w:tc>
        <w:tc>
          <w:tcPr>
            <w:tcW w:w="2768" w:type="dxa"/>
            <w:vAlign w:val="center"/>
          </w:tcPr>
          <w:p w14:paraId="670F90CE">
            <w:r>
              <w:rPr>
                <w:rFonts w:hint="eastAsia"/>
              </w:rPr>
              <w:t>2.市场利率平行下降25个基点</w:t>
            </w:r>
          </w:p>
        </w:tc>
        <w:tc>
          <w:tcPr>
            <w:tcW w:w="2768" w:type="dxa"/>
            <w:vAlign w:val="center"/>
          </w:tcPr>
          <w:p w14:paraId="27A14BB6">
            <w:pPr>
              <w:jc w:val="right"/>
            </w:pPr>
            <w:r>
              <w:rPr>
                <w:rFonts w:hint="eastAsia"/>
              </w:rPr>
              <w:t>13,388,080.19</w:t>
            </w:r>
          </w:p>
        </w:tc>
      </w:tr>
    </w:tbl>
    <w:p w14:paraId="278E257A">
      <w:pPr>
        <w:pStyle w:val="36"/>
      </w:pPr>
      <w:bookmarkStart w:id="148" w:name="_Toc148"/>
      <w:r>
        <w:t>外汇风险</w:t>
      </w:r>
      <w:bookmarkEnd w:id="148"/>
    </w:p>
    <w:p w14:paraId="6F25B1F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075DA4C0">
      <w:pPr>
        <w:pStyle w:val="37"/>
      </w:pPr>
      <w:bookmarkStart w:id="149" w:name="_Toc149"/>
      <w:r>
        <w:t>外汇风险敞口</w:t>
      </w:r>
      <w:bookmarkEnd w:id="149"/>
    </w:p>
    <w:p w14:paraId="34306C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3DD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729B8A7">
            <w:pPr>
              <w:jc w:val="center"/>
            </w:pPr>
            <w:r>
              <w:rPr>
                <w:rFonts w:hint="eastAsia"/>
                <w:b/>
              </w:rPr>
              <w:t>项目</w:t>
            </w:r>
          </w:p>
        </w:tc>
        <w:tc>
          <w:tcPr>
            <w:tcW w:w="1232" w:type="dxa"/>
            <w:gridSpan w:val="6"/>
            <w:shd w:val="clear" w:color="auto" w:fill="BFBFBF"/>
            <w:vAlign w:val="center"/>
          </w:tcPr>
          <w:p w14:paraId="764F3B45">
            <w:pPr>
              <w:jc w:val="center"/>
            </w:pPr>
            <w:r>
              <w:rPr>
                <w:rFonts w:hint="eastAsia"/>
                <w:b/>
              </w:rPr>
              <w:t>本期末2025年12月31日</w:t>
            </w:r>
          </w:p>
        </w:tc>
      </w:tr>
      <w:tr w14:paraId="72B3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D53312D"/>
        </w:tc>
        <w:tc>
          <w:tcPr>
            <w:tcW w:w="1232" w:type="dxa"/>
            <w:shd w:val="clear" w:color="auto" w:fill="BFBFBF"/>
            <w:vAlign w:val="center"/>
          </w:tcPr>
          <w:p w14:paraId="248882BF">
            <w:pPr>
              <w:jc w:val="center"/>
            </w:pPr>
            <w:r>
              <w:rPr>
                <w:rFonts w:hint="eastAsia"/>
                <w:b/>
              </w:rPr>
              <w:t>美元折合人民币</w:t>
            </w:r>
          </w:p>
        </w:tc>
        <w:tc>
          <w:tcPr>
            <w:tcW w:w="1232" w:type="dxa"/>
            <w:shd w:val="clear" w:color="auto" w:fill="BFBFBF"/>
            <w:vAlign w:val="center"/>
          </w:tcPr>
          <w:p w14:paraId="447DF5C8">
            <w:pPr>
              <w:jc w:val="center"/>
            </w:pPr>
            <w:r>
              <w:rPr>
                <w:rFonts w:hint="eastAsia"/>
                <w:b/>
              </w:rPr>
              <w:t>港币折合人民币</w:t>
            </w:r>
          </w:p>
        </w:tc>
        <w:tc>
          <w:tcPr>
            <w:tcW w:w="1232" w:type="dxa"/>
            <w:shd w:val="clear" w:color="auto" w:fill="BFBFBF"/>
            <w:vAlign w:val="center"/>
          </w:tcPr>
          <w:p w14:paraId="5947A423">
            <w:pPr>
              <w:jc w:val="center"/>
            </w:pPr>
            <w:r>
              <w:rPr>
                <w:rFonts w:hint="eastAsia"/>
                <w:b/>
              </w:rPr>
              <w:t>欧元折合人民币</w:t>
            </w:r>
          </w:p>
        </w:tc>
        <w:tc>
          <w:tcPr>
            <w:tcW w:w="1232" w:type="dxa"/>
            <w:shd w:val="clear" w:color="auto" w:fill="BFBFBF"/>
            <w:vAlign w:val="center"/>
          </w:tcPr>
          <w:p w14:paraId="45024518">
            <w:pPr>
              <w:jc w:val="center"/>
            </w:pPr>
            <w:r>
              <w:rPr>
                <w:rFonts w:hint="eastAsia"/>
                <w:b/>
              </w:rPr>
              <w:t>日元折合人民币</w:t>
            </w:r>
          </w:p>
        </w:tc>
        <w:tc>
          <w:tcPr>
            <w:tcW w:w="1232" w:type="dxa"/>
            <w:shd w:val="clear" w:color="auto" w:fill="BFBFBF"/>
            <w:vAlign w:val="center"/>
          </w:tcPr>
          <w:p w14:paraId="3F9A7D55">
            <w:pPr>
              <w:jc w:val="center"/>
            </w:pPr>
            <w:r>
              <w:rPr>
                <w:rFonts w:hint="eastAsia"/>
                <w:b/>
              </w:rPr>
              <w:t>其他币种折合人民币</w:t>
            </w:r>
          </w:p>
        </w:tc>
        <w:tc>
          <w:tcPr>
            <w:tcW w:w="1232" w:type="dxa"/>
            <w:shd w:val="clear" w:color="auto" w:fill="BFBFBF"/>
            <w:vAlign w:val="center"/>
          </w:tcPr>
          <w:p w14:paraId="7F8E169B">
            <w:pPr>
              <w:jc w:val="center"/>
            </w:pPr>
            <w:r>
              <w:rPr>
                <w:rFonts w:hint="eastAsia"/>
                <w:b/>
              </w:rPr>
              <w:t>合计</w:t>
            </w:r>
          </w:p>
        </w:tc>
      </w:tr>
      <w:tr w14:paraId="7B80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D10D0C">
            <w:r>
              <w:rPr>
                <w:rFonts w:hint="eastAsia"/>
              </w:rPr>
              <w:t>以外币计价的资产</w:t>
            </w:r>
          </w:p>
        </w:tc>
        <w:tc>
          <w:tcPr>
            <w:tcW w:w="1232" w:type="dxa"/>
            <w:vAlign w:val="center"/>
          </w:tcPr>
          <w:p w14:paraId="1B31E88A"/>
        </w:tc>
        <w:tc>
          <w:tcPr>
            <w:tcW w:w="1232" w:type="dxa"/>
            <w:vAlign w:val="center"/>
          </w:tcPr>
          <w:p w14:paraId="624659F2"/>
        </w:tc>
        <w:tc>
          <w:tcPr>
            <w:tcW w:w="1232" w:type="dxa"/>
            <w:vAlign w:val="center"/>
          </w:tcPr>
          <w:p w14:paraId="6BD38231"/>
        </w:tc>
        <w:tc>
          <w:tcPr>
            <w:tcW w:w="1232" w:type="dxa"/>
            <w:vAlign w:val="center"/>
          </w:tcPr>
          <w:p w14:paraId="4736B812"/>
        </w:tc>
        <w:tc>
          <w:tcPr>
            <w:tcW w:w="1232" w:type="dxa"/>
            <w:vAlign w:val="center"/>
          </w:tcPr>
          <w:p w14:paraId="26044ACE"/>
        </w:tc>
        <w:tc>
          <w:tcPr>
            <w:tcW w:w="1232" w:type="dxa"/>
            <w:vAlign w:val="center"/>
          </w:tcPr>
          <w:p w14:paraId="38D48A3A"/>
        </w:tc>
      </w:tr>
      <w:tr w14:paraId="4D71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F940DD">
            <w:r>
              <w:rPr>
                <w:rFonts w:hint="eastAsia"/>
              </w:rPr>
              <w:t>交易性金融资产</w:t>
            </w:r>
          </w:p>
        </w:tc>
        <w:tc>
          <w:tcPr>
            <w:tcW w:w="1232" w:type="dxa"/>
            <w:vAlign w:val="center"/>
          </w:tcPr>
          <w:p w14:paraId="6DB72760">
            <w:pPr>
              <w:jc w:val="right"/>
            </w:pPr>
            <w:r>
              <w:rPr>
                <w:rFonts w:hint="eastAsia"/>
              </w:rPr>
              <w:t>-</w:t>
            </w:r>
          </w:p>
        </w:tc>
        <w:tc>
          <w:tcPr>
            <w:tcW w:w="1232" w:type="dxa"/>
            <w:vAlign w:val="center"/>
          </w:tcPr>
          <w:p w14:paraId="40CB3ADB">
            <w:pPr>
              <w:jc w:val="right"/>
            </w:pPr>
            <w:r>
              <w:rPr>
                <w:rFonts w:hint="eastAsia"/>
              </w:rPr>
              <w:t>134,287,148.47</w:t>
            </w:r>
          </w:p>
        </w:tc>
        <w:tc>
          <w:tcPr>
            <w:tcW w:w="1232" w:type="dxa"/>
            <w:vAlign w:val="center"/>
          </w:tcPr>
          <w:p w14:paraId="441C4EEB">
            <w:pPr>
              <w:jc w:val="right"/>
            </w:pPr>
            <w:r>
              <w:rPr>
                <w:rFonts w:hint="eastAsia"/>
              </w:rPr>
              <w:t>-</w:t>
            </w:r>
          </w:p>
        </w:tc>
        <w:tc>
          <w:tcPr>
            <w:tcW w:w="1232" w:type="dxa"/>
            <w:vAlign w:val="center"/>
          </w:tcPr>
          <w:p w14:paraId="7B0AD0B2">
            <w:pPr>
              <w:jc w:val="right"/>
            </w:pPr>
            <w:r>
              <w:rPr>
                <w:rFonts w:hint="eastAsia"/>
              </w:rPr>
              <w:t>-</w:t>
            </w:r>
          </w:p>
        </w:tc>
        <w:tc>
          <w:tcPr>
            <w:tcW w:w="1232" w:type="dxa"/>
            <w:vAlign w:val="center"/>
          </w:tcPr>
          <w:p w14:paraId="6D67DF74">
            <w:pPr>
              <w:jc w:val="right"/>
            </w:pPr>
            <w:r>
              <w:rPr>
                <w:rFonts w:hint="eastAsia"/>
              </w:rPr>
              <w:t>-</w:t>
            </w:r>
          </w:p>
        </w:tc>
        <w:tc>
          <w:tcPr>
            <w:tcW w:w="1232" w:type="dxa"/>
            <w:vAlign w:val="center"/>
          </w:tcPr>
          <w:p w14:paraId="61A1FF29">
            <w:pPr>
              <w:jc w:val="right"/>
            </w:pPr>
            <w:r>
              <w:rPr>
                <w:rFonts w:hint="eastAsia"/>
              </w:rPr>
              <w:t>134,287,148.47</w:t>
            </w:r>
          </w:p>
        </w:tc>
      </w:tr>
      <w:tr w14:paraId="53B1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3AE2617">
            <w:r>
              <w:rPr>
                <w:rFonts w:hint="eastAsia"/>
              </w:rPr>
              <w:t>资产合计</w:t>
            </w:r>
          </w:p>
        </w:tc>
        <w:tc>
          <w:tcPr>
            <w:tcW w:w="1232" w:type="dxa"/>
            <w:vAlign w:val="center"/>
          </w:tcPr>
          <w:p w14:paraId="32048F50">
            <w:pPr>
              <w:jc w:val="right"/>
            </w:pPr>
            <w:r>
              <w:rPr>
                <w:rFonts w:hint="eastAsia"/>
              </w:rPr>
              <w:t>-</w:t>
            </w:r>
          </w:p>
        </w:tc>
        <w:tc>
          <w:tcPr>
            <w:tcW w:w="1232" w:type="dxa"/>
            <w:vAlign w:val="center"/>
          </w:tcPr>
          <w:p w14:paraId="06600FC2">
            <w:pPr>
              <w:jc w:val="right"/>
            </w:pPr>
            <w:r>
              <w:rPr>
                <w:rFonts w:hint="eastAsia"/>
              </w:rPr>
              <w:t>134,287,148.47</w:t>
            </w:r>
          </w:p>
        </w:tc>
        <w:tc>
          <w:tcPr>
            <w:tcW w:w="1232" w:type="dxa"/>
            <w:vAlign w:val="center"/>
          </w:tcPr>
          <w:p w14:paraId="7A89AEF5">
            <w:pPr>
              <w:jc w:val="right"/>
            </w:pPr>
            <w:r>
              <w:rPr>
                <w:rFonts w:hint="eastAsia"/>
              </w:rPr>
              <w:t>-</w:t>
            </w:r>
          </w:p>
        </w:tc>
        <w:tc>
          <w:tcPr>
            <w:tcW w:w="1232" w:type="dxa"/>
            <w:vAlign w:val="center"/>
          </w:tcPr>
          <w:p w14:paraId="066C485B">
            <w:pPr>
              <w:jc w:val="right"/>
            </w:pPr>
            <w:r>
              <w:rPr>
                <w:rFonts w:hint="eastAsia"/>
              </w:rPr>
              <w:t>-</w:t>
            </w:r>
          </w:p>
        </w:tc>
        <w:tc>
          <w:tcPr>
            <w:tcW w:w="1232" w:type="dxa"/>
            <w:vAlign w:val="center"/>
          </w:tcPr>
          <w:p w14:paraId="74670C86">
            <w:pPr>
              <w:jc w:val="right"/>
            </w:pPr>
            <w:r>
              <w:rPr>
                <w:rFonts w:hint="eastAsia"/>
              </w:rPr>
              <w:t>-</w:t>
            </w:r>
          </w:p>
        </w:tc>
        <w:tc>
          <w:tcPr>
            <w:tcW w:w="1232" w:type="dxa"/>
            <w:vAlign w:val="center"/>
          </w:tcPr>
          <w:p w14:paraId="2BA0578D">
            <w:pPr>
              <w:jc w:val="right"/>
            </w:pPr>
            <w:r>
              <w:rPr>
                <w:rFonts w:hint="eastAsia"/>
              </w:rPr>
              <w:t>134,287,148.47</w:t>
            </w:r>
          </w:p>
        </w:tc>
      </w:tr>
      <w:tr w14:paraId="28A3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BCD07F0">
            <w:r>
              <w:rPr>
                <w:rFonts w:hint="eastAsia"/>
              </w:rPr>
              <w:t>以外币计价的负债</w:t>
            </w:r>
          </w:p>
        </w:tc>
        <w:tc>
          <w:tcPr>
            <w:tcW w:w="1232" w:type="dxa"/>
            <w:vAlign w:val="center"/>
          </w:tcPr>
          <w:p w14:paraId="30D13255"/>
        </w:tc>
        <w:tc>
          <w:tcPr>
            <w:tcW w:w="1232" w:type="dxa"/>
            <w:vAlign w:val="center"/>
          </w:tcPr>
          <w:p w14:paraId="1925FC05"/>
        </w:tc>
        <w:tc>
          <w:tcPr>
            <w:tcW w:w="1232" w:type="dxa"/>
            <w:vAlign w:val="center"/>
          </w:tcPr>
          <w:p w14:paraId="75172A60"/>
        </w:tc>
        <w:tc>
          <w:tcPr>
            <w:tcW w:w="1232" w:type="dxa"/>
            <w:vAlign w:val="center"/>
          </w:tcPr>
          <w:p w14:paraId="03CF4608"/>
        </w:tc>
        <w:tc>
          <w:tcPr>
            <w:tcW w:w="1232" w:type="dxa"/>
            <w:vAlign w:val="center"/>
          </w:tcPr>
          <w:p w14:paraId="2452C3A3"/>
        </w:tc>
        <w:tc>
          <w:tcPr>
            <w:tcW w:w="1232" w:type="dxa"/>
            <w:vAlign w:val="center"/>
          </w:tcPr>
          <w:p w14:paraId="271C3DC8"/>
        </w:tc>
      </w:tr>
      <w:tr w14:paraId="2D80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74BB10F">
            <w:r>
              <w:rPr>
                <w:rFonts w:hint="eastAsia"/>
              </w:rPr>
              <w:t>负债合计</w:t>
            </w:r>
          </w:p>
        </w:tc>
        <w:tc>
          <w:tcPr>
            <w:tcW w:w="1232" w:type="dxa"/>
            <w:vAlign w:val="center"/>
          </w:tcPr>
          <w:p w14:paraId="046114CB">
            <w:pPr>
              <w:jc w:val="right"/>
            </w:pPr>
            <w:r>
              <w:rPr>
                <w:rFonts w:hint="eastAsia"/>
              </w:rPr>
              <w:t>-</w:t>
            </w:r>
          </w:p>
        </w:tc>
        <w:tc>
          <w:tcPr>
            <w:tcW w:w="1232" w:type="dxa"/>
            <w:vAlign w:val="center"/>
          </w:tcPr>
          <w:p w14:paraId="78B7AC53">
            <w:pPr>
              <w:jc w:val="right"/>
            </w:pPr>
            <w:r>
              <w:rPr>
                <w:rFonts w:hint="eastAsia"/>
              </w:rPr>
              <w:t>-</w:t>
            </w:r>
          </w:p>
        </w:tc>
        <w:tc>
          <w:tcPr>
            <w:tcW w:w="1232" w:type="dxa"/>
            <w:vAlign w:val="center"/>
          </w:tcPr>
          <w:p w14:paraId="7F869CFB">
            <w:pPr>
              <w:jc w:val="right"/>
            </w:pPr>
            <w:r>
              <w:rPr>
                <w:rFonts w:hint="eastAsia"/>
              </w:rPr>
              <w:t>-</w:t>
            </w:r>
          </w:p>
        </w:tc>
        <w:tc>
          <w:tcPr>
            <w:tcW w:w="1232" w:type="dxa"/>
            <w:vAlign w:val="center"/>
          </w:tcPr>
          <w:p w14:paraId="308B8B52">
            <w:pPr>
              <w:jc w:val="right"/>
            </w:pPr>
            <w:r>
              <w:rPr>
                <w:rFonts w:hint="eastAsia"/>
              </w:rPr>
              <w:t>-</w:t>
            </w:r>
          </w:p>
        </w:tc>
        <w:tc>
          <w:tcPr>
            <w:tcW w:w="1232" w:type="dxa"/>
            <w:vAlign w:val="center"/>
          </w:tcPr>
          <w:p w14:paraId="5BC87DD9">
            <w:pPr>
              <w:jc w:val="right"/>
            </w:pPr>
            <w:r>
              <w:rPr>
                <w:rFonts w:hint="eastAsia"/>
              </w:rPr>
              <w:t>-</w:t>
            </w:r>
          </w:p>
        </w:tc>
        <w:tc>
          <w:tcPr>
            <w:tcW w:w="1232" w:type="dxa"/>
            <w:vAlign w:val="center"/>
          </w:tcPr>
          <w:p w14:paraId="45070543">
            <w:pPr>
              <w:jc w:val="right"/>
            </w:pPr>
            <w:r>
              <w:rPr>
                <w:rFonts w:hint="eastAsia"/>
              </w:rPr>
              <w:t>-</w:t>
            </w:r>
          </w:p>
        </w:tc>
      </w:tr>
      <w:tr w14:paraId="1B07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4CB84A8">
            <w:r>
              <w:rPr>
                <w:rFonts w:hint="eastAsia"/>
              </w:rPr>
              <w:t>资产负债表外汇风险敞口净额</w:t>
            </w:r>
          </w:p>
        </w:tc>
        <w:tc>
          <w:tcPr>
            <w:tcW w:w="1232" w:type="dxa"/>
            <w:vAlign w:val="center"/>
          </w:tcPr>
          <w:p w14:paraId="337F149E">
            <w:pPr>
              <w:jc w:val="right"/>
            </w:pPr>
            <w:r>
              <w:rPr>
                <w:rFonts w:hint="eastAsia"/>
              </w:rPr>
              <w:t>-</w:t>
            </w:r>
          </w:p>
        </w:tc>
        <w:tc>
          <w:tcPr>
            <w:tcW w:w="1232" w:type="dxa"/>
            <w:vAlign w:val="center"/>
          </w:tcPr>
          <w:p w14:paraId="23CA1C10">
            <w:pPr>
              <w:jc w:val="right"/>
            </w:pPr>
            <w:r>
              <w:rPr>
                <w:rFonts w:hint="eastAsia"/>
              </w:rPr>
              <w:t>134,287,148.47</w:t>
            </w:r>
          </w:p>
        </w:tc>
        <w:tc>
          <w:tcPr>
            <w:tcW w:w="1232" w:type="dxa"/>
            <w:vAlign w:val="center"/>
          </w:tcPr>
          <w:p w14:paraId="04E15A44">
            <w:pPr>
              <w:jc w:val="right"/>
            </w:pPr>
            <w:r>
              <w:rPr>
                <w:rFonts w:hint="eastAsia"/>
              </w:rPr>
              <w:t>-</w:t>
            </w:r>
          </w:p>
        </w:tc>
        <w:tc>
          <w:tcPr>
            <w:tcW w:w="1232" w:type="dxa"/>
            <w:vAlign w:val="center"/>
          </w:tcPr>
          <w:p w14:paraId="1D2EEF70">
            <w:pPr>
              <w:jc w:val="right"/>
            </w:pPr>
            <w:r>
              <w:rPr>
                <w:rFonts w:hint="eastAsia"/>
              </w:rPr>
              <w:t>-</w:t>
            </w:r>
          </w:p>
        </w:tc>
        <w:tc>
          <w:tcPr>
            <w:tcW w:w="1232" w:type="dxa"/>
            <w:vAlign w:val="center"/>
          </w:tcPr>
          <w:p w14:paraId="753F9423">
            <w:pPr>
              <w:jc w:val="right"/>
            </w:pPr>
            <w:r>
              <w:rPr>
                <w:rFonts w:hint="eastAsia"/>
              </w:rPr>
              <w:t>-</w:t>
            </w:r>
          </w:p>
        </w:tc>
        <w:tc>
          <w:tcPr>
            <w:tcW w:w="1232" w:type="dxa"/>
            <w:vAlign w:val="center"/>
          </w:tcPr>
          <w:p w14:paraId="272AFD70">
            <w:pPr>
              <w:jc w:val="right"/>
            </w:pPr>
            <w:r>
              <w:rPr>
                <w:rFonts w:hint="eastAsia"/>
              </w:rPr>
              <w:t>134,287,148.47</w:t>
            </w:r>
          </w:p>
        </w:tc>
      </w:tr>
    </w:tbl>
    <w:p w14:paraId="58F637C2">
      <w:pPr>
        <w:pStyle w:val="37"/>
      </w:pPr>
      <w:bookmarkStart w:id="150" w:name="_Toc150"/>
      <w:r>
        <w:t>外汇风险的敏感性分析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D9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54915">
            <w:r>
              <w:rPr>
                <w:rFonts w:hint="eastAsia"/>
              </w:rPr>
              <w:t>假设</w:t>
            </w:r>
          </w:p>
        </w:tc>
        <w:tc>
          <w:tcPr>
            <w:tcW w:w="2768" w:type="dxa"/>
            <w:gridSpan w:val="2"/>
            <w:vAlign w:val="center"/>
          </w:tcPr>
          <w:p w14:paraId="75D567A8">
            <w:r>
              <w:rPr>
                <w:rFonts w:hint="eastAsia"/>
              </w:rPr>
              <w:t>除汇率以外的其他市场变量保持不变</w:t>
            </w:r>
          </w:p>
        </w:tc>
      </w:tr>
      <w:tr w14:paraId="5FC4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5267EEA">
            <w:r>
              <w:rPr>
                <w:rFonts w:hint="eastAsia"/>
              </w:rPr>
              <w:t>分析</w:t>
            </w:r>
          </w:p>
        </w:tc>
        <w:tc>
          <w:tcPr>
            <w:tcW w:w="2768" w:type="dxa"/>
            <w:vMerge w:val="restart"/>
            <w:vAlign w:val="center"/>
          </w:tcPr>
          <w:p w14:paraId="51B44515">
            <w:r>
              <w:rPr>
                <w:rFonts w:hint="eastAsia"/>
              </w:rPr>
              <w:t>相关风险变量的变动</w:t>
            </w:r>
          </w:p>
        </w:tc>
        <w:tc>
          <w:tcPr>
            <w:tcW w:w="2768" w:type="dxa"/>
            <w:vAlign w:val="center"/>
          </w:tcPr>
          <w:p w14:paraId="408E597B">
            <w:r>
              <w:rPr>
                <w:rFonts w:hint="eastAsia"/>
              </w:rPr>
              <w:t>对资产负债表日基金资产净值的影响金额（单位：人民币元）</w:t>
            </w:r>
          </w:p>
        </w:tc>
      </w:tr>
      <w:tr w14:paraId="4F9E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83E56F0"/>
        </w:tc>
        <w:tc>
          <w:tcPr>
            <w:tcW w:w="2768" w:type="dxa"/>
            <w:vMerge w:val="continue"/>
            <w:vAlign w:val="center"/>
          </w:tcPr>
          <w:p w14:paraId="3E312222"/>
        </w:tc>
        <w:tc>
          <w:tcPr>
            <w:tcW w:w="2768" w:type="dxa"/>
            <w:vAlign w:val="center"/>
          </w:tcPr>
          <w:p w14:paraId="26659F02">
            <w:r>
              <w:rPr>
                <w:rFonts w:hint="eastAsia"/>
              </w:rPr>
              <w:t>本期末（ 2025年12月31日 ）</w:t>
            </w:r>
          </w:p>
        </w:tc>
      </w:tr>
      <w:tr w14:paraId="7C1B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5057012"/>
        </w:tc>
        <w:tc>
          <w:tcPr>
            <w:tcW w:w="2768" w:type="dxa"/>
            <w:vAlign w:val="center"/>
          </w:tcPr>
          <w:p w14:paraId="6CB9B56C">
            <w:r>
              <w:rPr>
                <w:rFonts w:hint="eastAsia"/>
              </w:rPr>
              <w:t>1. 所有外币相对人民币升值 5%</w:t>
            </w:r>
          </w:p>
        </w:tc>
        <w:tc>
          <w:tcPr>
            <w:tcW w:w="2768" w:type="dxa"/>
            <w:vAlign w:val="center"/>
          </w:tcPr>
          <w:p w14:paraId="20415AFE">
            <w:pPr>
              <w:jc w:val="right"/>
            </w:pPr>
            <w:r>
              <w:rPr>
                <w:rFonts w:hint="eastAsia"/>
              </w:rPr>
              <w:t>6,714,357.42</w:t>
            </w:r>
          </w:p>
        </w:tc>
      </w:tr>
      <w:tr w14:paraId="4E47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7C9DD71"/>
        </w:tc>
        <w:tc>
          <w:tcPr>
            <w:tcW w:w="2768" w:type="dxa"/>
            <w:vAlign w:val="center"/>
          </w:tcPr>
          <w:p w14:paraId="5226DDD7">
            <w:r>
              <w:rPr>
                <w:rFonts w:hint="eastAsia"/>
              </w:rPr>
              <w:t>2. 所有外币相对人民币贬值 5%</w:t>
            </w:r>
          </w:p>
        </w:tc>
        <w:tc>
          <w:tcPr>
            <w:tcW w:w="2768" w:type="dxa"/>
            <w:vAlign w:val="center"/>
          </w:tcPr>
          <w:p w14:paraId="5C1D2DAA">
            <w:pPr>
              <w:jc w:val="right"/>
            </w:pPr>
            <w:r>
              <w:rPr>
                <w:rFonts w:hint="eastAsia"/>
              </w:rPr>
              <w:t>-6,714,357.42</w:t>
            </w:r>
          </w:p>
        </w:tc>
      </w:tr>
    </w:tbl>
    <w:p w14:paraId="5AC1D8DD">
      <w:pPr>
        <w:pStyle w:val="36"/>
      </w:pPr>
      <w:bookmarkStart w:id="151" w:name="_Toc151"/>
      <w:r>
        <w:t>其他价格风险</w:t>
      </w:r>
      <w:bookmarkEnd w:id="151"/>
    </w:p>
    <w:p w14:paraId="1715DAA4">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167D13C">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9A971BE">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17AF303">
      <w:pPr>
        <w:pStyle w:val="37"/>
      </w:pPr>
      <w:bookmarkStart w:id="152" w:name="_Toc152"/>
      <w:r>
        <w:t>其他价格风险敞口</w:t>
      </w:r>
      <w:bookmarkEnd w:id="152"/>
    </w:p>
    <w:p w14:paraId="4C0368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02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15B124B">
            <w:pPr>
              <w:jc w:val="center"/>
            </w:pPr>
            <w:r>
              <w:rPr>
                <w:rFonts w:hint="eastAsia"/>
                <w:b/>
              </w:rPr>
              <w:t>项目</w:t>
            </w:r>
          </w:p>
        </w:tc>
        <w:tc>
          <w:tcPr>
            <w:tcW w:w="2768" w:type="dxa"/>
            <w:gridSpan w:val="2"/>
            <w:shd w:val="clear" w:color="auto" w:fill="BFBFBF"/>
            <w:vAlign w:val="center"/>
          </w:tcPr>
          <w:p w14:paraId="6614095B">
            <w:pPr>
              <w:jc w:val="center"/>
            </w:pPr>
            <w:r>
              <w:rPr>
                <w:rFonts w:hint="eastAsia"/>
                <w:b/>
              </w:rPr>
              <w:t>本期末2025年12月31日</w:t>
            </w:r>
          </w:p>
        </w:tc>
      </w:tr>
      <w:tr w14:paraId="376A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6895D1"/>
        </w:tc>
        <w:tc>
          <w:tcPr>
            <w:tcW w:w="2768" w:type="dxa"/>
            <w:shd w:val="clear" w:color="auto" w:fill="BFBFBF"/>
            <w:vAlign w:val="center"/>
          </w:tcPr>
          <w:p w14:paraId="5A3590E5">
            <w:pPr>
              <w:jc w:val="center"/>
            </w:pPr>
            <w:r>
              <w:rPr>
                <w:rFonts w:hint="eastAsia"/>
                <w:b/>
              </w:rPr>
              <w:t>公允价值</w:t>
            </w:r>
          </w:p>
        </w:tc>
        <w:tc>
          <w:tcPr>
            <w:tcW w:w="2768" w:type="dxa"/>
            <w:shd w:val="clear" w:color="auto" w:fill="BFBFBF"/>
            <w:vAlign w:val="center"/>
          </w:tcPr>
          <w:p w14:paraId="3459EE73">
            <w:pPr>
              <w:jc w:val="center"/>
            </w:pPr>
            <w:r>
              <w:rPr>
                <w:rFonts w:hint="eastAsia"/>
                <w:b/>
              </w:rPr>
              <w:t>占基金资产净值比例（%）</w:t>
            </w:r>
          </w:p>
        </w:tc>
      </w:tr>
      <w:tr w14:paraId="6E94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29C51">
            <w:r>
              <w:rPr>
                <w:rFonts w:hint="eastAsia"/>
              </w:rPr>
              <w:t>交易性金融资产-股票投资</w:t>
            </w:r>
          </w:p>
        </w:tc>
        <w:tc>
          <w:tcPr>
            <w:tcW w:w="2768" w:type="dxa"/>
            <w:vAlign w:val="center"/>
          </w:tcPr>
          <w:p w14:paraId="77416C02">
            <w:pPr>
              <w:jc w:val="right"/>
            </w:pPr>
            <w:r>
              <w:rPr>
                <w:rFonts w:hint="eastAsia"/>
              </w:rPr>
              <w:t>625,676,085.39</w:t>
            </w:r>
          </w:p>
        </w:tc>
        <w:tc>
          <w:tcPr>
            <w:tcW w:w="2768" w:type="dxa"/>
            <w:vAlign w:val="center"/>
          </w:tcPr>
          <w:p w14:paraId="3A8A00B1">
            <w:pPr>
              <w:jc w:val="right"/>
            </w:pPr>
            <w:r>
              <w:rPr>
                <w:rFonts w:hint="eastAsia"/>
              </w:rPr>
              <w:t>19.48</w:t>
            </w:r>
          </w:p>
        </w:tc>
      </w:tr>
      <w:tr w14:paraId="3F8C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0F142">
            <w:r>
              <w:rPr>
                <w:rFonts w:hint="eastAsia"/>
              </w:rPr>
              <w:t>交易性金融资产-基金投资</w:t>
            </w:r>
          </w:p>
        </w:tc>
        <w:tc>
          <w:tcPr>
            <w:tcW w:w="2768" w:type="dxa"/>
            <w:vAlign w:val="center"/>
          </w:tcPr>
          <w:p w14:paraId="45D7078B">
            <w:pPr>
              <w:jc w:val="right"/>
            </w:pPr>
            <w:r>
              <w:rPr>
                <w:rFonts w:hint="eastAsia"/>
              </w:rPr>
              <w:t>-</w:t>
            </w:r>
          </w:p>
        </w:tc>
        <w:tc>
          <w:tcPr>
            <w:tcW w:w="2768" w:type="dxa"/>
            <w:vAlign w:val="center"/>
          </w:tcPr>
          <w:p w14:paraId="00A4DB8D">
            <w:pPr>
              <w:jc w:val="right"/>
            </w:pPr>
            <w:r>
              <w:rPr>
                <w:rFonts w:hint="eastAsia"/>
              </w:rPr>
              <w:t>-</w:t>
            </w:r>
          </w:p>
        </w:tc>
      </w:tr>
      <w:tr w14:paraId="55F4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C8E8E7">
            <w:r>
              <w:rPr>
                <w:rFonts w:hint="eastAsia"/>
              </w:rPr>
              <w:t>交易性金融资产-贵金属投资</w:t>
            </w:r>
          </w:p>
        </w:tc>
        <w:tc>
          <w:tcPr>
            <w:tcW w:w="2768" w:type="dxa"/>
            <w:vAlign w:val="center"/>
          </w:tcPr>
          <w:p w14:paraId="709E7649">
            <w:pPr>
              <w:jc w:val="right"/>
            </w:pPr>
            <w:r>
              <w:rPr>
                <w:rFonts w:hint="eastAsia"/>
              </w:rPr>
              <w:t>-</w:t>
            </w:r>
          </w:p>
        </w:tc>
        <w:tc>
          <w:tcPr>
            <w:tcW w:w="2768" w:type="dxa"/>
            <w:vAlign w:val="center"/>
          </w:tcPr>
          <w:p w14:paraId="283591A4">
            <w:pPr>
              <w:jc w:val="right"/>
            </w:pPr>
            <w:r>
              <w:rPr>
                <w:rFonts w:hint="eastAsia"/>
              </w:rPr>
              <w:t>-</w:t>
            </w:r>
          </w:p>
        </w:tc>
      </w:tr>
      <w:tr w14:paraId="27DE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272368">
            <w:r>
              <w:rPr>
                <w:rFonts w:hint="eastAsia"/>
              </w:rPr>
              <w:t>衍生金融资产-权证投资</w:t>
            </w:r>
          </w:p>
        </w:tc>
        <w:tc>
          <w:tcPr>
            <w:tcW w:w="2768" w:type="dxa"/>
            <w:vAlign w:val="center"/>
          </w:tcPr>
          <w:p w14:paraId="5276505D">
            <w:pPr>
              <w:jc w:val="right"/>
            </w:pPr>
            <w:r>
              <w:rPr>
                <w:rFonts w:hint="eastAsia"/>
              </w:rPr>
              <w:t>-</w:t>
            </w:r>
          </w:p>
        </w:tc>
        <w:tc>
          <w:tcPr>
            <w:tcW w:w="2768" w:type="dxa"/>
            <w:vAlign w:val="center"/>
          </w:tcPr>
          <w:p w14:paraId="634B9C5B">
            <w:pPr>
              <w:jc w:val="right"/>
            </w:pPr>
            <w:r>
              <w:rPr>
                <w:rFonts w:hint="eastAsia"/>
              </w:rPr>
              <w:t>-</w:t>
            </w:r>
          </w:p>
        </w:tc>
      </w:tr>
      <w:tr w14:paraId="1E17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A20EEF">
            <w:r>
              <w:rPr>
                <w:rFonts w:hint="eastAsia"/>
              </w:rPr>
              <w:t>其他</w:t>
            </w:r>
          </w:p>
        </w:tc>
        <w:tc>
          <w:tcPr>
            <w:tcW w:w="2768" w:type="dxa"/>
            <w:vAlign w:val="center"/>
          </w:tcPr>
          <w:p w14:paraId="0FD2BF53">
            <w:pPr>
              <w:jc w:val="right"/>
            </w:pPr>
            <w:r>
              <w:rPr>
                <w:rFonts w:hint="eastAsia"/>
              </w:rPr>
              <w:t>-</w:t>
            </w:r>
          </w:p>
        </w:tc>
        <w:tc>
          <w:tcPr>
            <w:tcW w:w="2768" w:type="dxa"/>
            <w:vAlign w:val="center"/>
          </w:tcPr>
          <w:p w14:paraId="244E76CD">
            <w:pPr>
              <w:jc w:val="right"/>
            </w:pPr>
            <w:r>
              <w:rPr>
                <w:rFonts w:hint="eastAsia"/>
              </w:rPr>
              <w:t>-</w:t>
            </w:r>
          </w:p>
        </w:tc>
      </w:tr>
      <w:tr w14:paraId="6E0A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15E42">
            <w:r>
              <w:rPr>
                <w:rFonts w:hint="eastAsia"/>
              </w:rPr>
              <w:t>合计</w:t>
            </w:r>
          </w:p>
        </w:tc>
        <w:tc>
          <w:tcPr>
            <w:tcW w:w="2768" w:type="dxa"/>
            <w:vAlign w:val="center"/>
          </w:tcPr>
          <w:p w14:paraId="250CF409">
            <w:pPr>
              <w:jc w:val="right"/>
            </w:pPr>
            <w:r>
              <w:rPr>
                <w:rFonts w:hint="eastAsia"/>
              </w:rPr>
              <w:t>625,676,085.39</w:t>
            </w:r>
          </w:p>
        </w:tc>
        <w:tc>
          <w:tcPr>
            <w:tcW w:w="2768" w:type="dxa"/>
            <w:vAlign w:val="center"/>
          </w:tcPr>
          <w:p w14:paraId="53815E6A">
            <w:pPr>
              <w:jc w:val="right"/>
            </w:pPr>
            <w:r>
              <w:rPr>
                <w:rFonts w:hint="eastAsia"/>
              </w:rPr>
              <w:t>19.48</w:t>
            </w:r>
          </w:p>
        </w:tc>
      </w:tr>
    </w:tbl>
    <w:p w14:paraId="5C51BEA2">
      <w:pPr>
        <w:pStyle w:val="37"/>
      </w:pPr>
      <w:bookmarkStart w:id="153" w:name="_Toc153"/>
      <w:r>
        <w:t>其他价格风险的敏感性分析</w:t>
      </w:r>
      <w:bookmarkEnd w:id="15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B1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5060F">
            <w:r>
              <w:rPr>
                <w:rFonts w:hint="eastAsia"/>
              </w:rPr>
              <w:t>假设</w:t>
            </w:r>
          </w:p>
        </w:tc>
        <w:tc>
          <w:tcPr>
            <w:tcW w:w="2768" w:type="dxa"/>
            <w:gridSpan w:val="2"/>
            <w:vAlign w:val="center"/>
          </w:tcPr>
          <w:p w14:paraId="4944D786">
            <w:r>
              <w:rPr>
                <w:rFonts w:hint="eastAsia"/>
              </w:rPr>
              <w:t>除沪深300指数以外的其他市场变量保持不变</w:t>
            </w:r>
          </w:p>
        </w:tc>
      </w:tr>
      <w:tr w14:paraId="0FE0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F9F39C6">
            <w:r>
              <w:rPr>
                <w:rFonts w:hint="eastAsia"/>
              </w:rPr>
              <w:t>分析</w:t>
            </w:r>
          </w:p>
        </w:tc>
        <w:tc>
          <w:tcPr>
            <w:tcW w:w="2768" w:type="dxa"/>
            <w:vMerge w:val="restart"/>
            <w:vAlign w:val="center"/>
          </w:tcPr>
          <w:p w14:paraId="6C45B914">
            <w:r>
              <w:rPr>
                <w:rFonts w:hint="eastAsia"/>
              </w:rPr>
              <w:t>相关风险变量的变动</w:t>
            </w:r>
          </w:p>
        </w:tc>
        <w:tc>
          <w:tcPr>
            <w:tcW w:w="2768" w:type="dxa"/>
            <w:vAlign w:val="center"/>
          </w:tcPr>
          <w:p w14:paraId="4B71CEE2">
            <w:r>
              <w:rPr>
                <w:rFonts w:hint="eastAsia"/>
              </w:rPr>
              <w:t>对资产负债表日基金资产净值的影响金额（单位：人民币元）</w:t>
            </w:r>
          </w:p>
        </w:tc>
      </w:tr>
      <w:tr w14:paraId="7DAD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611DAAB"/>
        </w:tc>
        <w:tc>
          <w:tcPr>
            <w:tcW w:w="2768" w:type="dxa"/>
            <w:vMerge w:val="continue"/>
            <w:vAlign w:val="center"/>
          </w:tcPr>
          <w:p w14:paraId="0398240F"/>
        </w:tc>
        <w:tc>
          <w:tcPr>
            <w:tcW w:w="2768" w:type="dxa"/>
            <w:vAlign w:val="center"/>
          </w:tcPr>
          <w:p w14:paraId="19D3C7A1">
            <w:r>
              <w:rPr>
                <w:rFonts w:hint="eastAsia"/>
              </w:rPr>
              <w:t>本期末（ 2025年12月31日 ）</w:t>
            </w:r>
          </w:p>
        </w:tc>
      </w:tr>
      <w:tr w14:paraId="449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4B54DE"/>
        </w:tc>
        <w:tc>
          <w:tcPr>
            <w:tcW w:w="2768" w:type="dxa"/>
            <w:vAlign w:val="center"/>
          </w:tcPr>
          <w:p w14:paraId="260F5659">
            <w:r>
              <w:rPr>
                <w:rFonts w:hint="eastAsia"/>
              </w:rPr>
              <w:t>1.沪深300上升 5%</w:t>
            </w:r>
          </w:p>
        </w:tc>
        <w:tc>
          <w:tcPr>
            <w:tcW w:w="2768" w:type="dxa"/>
            <w:vAlign w:val="center"/>
          </w:tcPr>
          <w:p w14:paraId="244572AA">
            <w:pPr>
              <w:jc w:val="right"/>
            </w:pPr>
            <w:r>
              <w:rPr>
                <w:rFonts w:hint="eastAsia"/>
              </w:rPr>
              <w:t>39,292,083.19</w:t>
            </w:r>
          </w:p>
        </w:tc>
      </w:tr>
      <w:tr w14:paraId="2599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4939961"/>
        </w:tc>
        <w:tc>
          <w:tcPr>
            <w:tcW w:w="2768" w:type="dxa"/>
            <w:vAlign w:val="center"/>
          </w:tcPr>
          <w:p w14:paraId="32AADED3">
            <w:r>
              <w:rPr>
                <w:rFonts w:hint="eastAsia"/>
              </w:rPr>
              <w:t>2.沪深300下降 5%</w:t>
            </w:r>
          </w:p>
        </w:tc>
        <w:tc>
          <w:tcPr>
            <w:tcW w:w="2768" w:type="dxa"/>
            <w:vAlign w:val="center"/>
          </w:tcPr>
          <w:p w14:paraId="6F3B11E7">
            <w:pPr>
              <w:jc w:val="right"/>
            </w:pPr>
            <w:r>
              <w:rPr>
                <w:rFonts w:hint="eastAsia"/>
              </w:rPr>
              <w:t>-39,292,083.19</w:t>
            </w:r>
          </w:p>
        </w:tc>
      </w:tr>
    </w:tbl>
    <w:p w14:paraId="73EE18AD">
      <w:pPr>
        <w:pStyle w:val="28"/>
      </w:pPr>
      <w:bookmarkStart w:id="154" w:name="_Toc154"/>
      <w:r>
        <w:t>公允价值</w:t>
      </w:r>
      <w:bookmarkEnd w:id="154"/>
    </w:p>
    <w:p w14:paraId="2B7EFD3C">
      <w:pPr>
        <w:pStyle w:val="35"/>
      </w:pPr>
      <w:bookmarkStart w:id="155" w:name="_Toc155"/>
      <w:r>
        <w:t>金融工具公允价值计量的方法</w:t>
      </w:r>
      <w:bookmarkEnd w:id="155"/>
    </w:p>
    <w:p w14:paraId="5645799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F6635B9">
      <w:pPr>
        <w:pStyle w:val="35"/>
      </w:pPr>
      <w:bookmarkStart w:id="156" w:name="_Toc156"/>
      <w:r>
        <w:t>持续的以公允价值计量的金融工具</w:t>
      </w:r>
      <w:bookmarkEnd w:id="156"/>
    </w:p>
    <w:p w14:paraId="199F1134">
      <w:pPr>
        <w:pStyle w:val="36"/>
      </w:pPr>
      <w:bookmarkStart w:id="157" w:name="_Toc157"/>
      <w:r>
        <w:t>各层次金融工具的公允价值</w:t>
      </w:r>
      <w:bookmarkEnd w:id="157"/>
    </w:p>
    <w:p w14:paraId="16FFBE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20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9D39429">
            <w:pPr>
              <w:jc w:val="center"/>
            </w:pPr>
            <w:r>
              <w:rPr>
                <w:rFonts w:hint="eastAsia"/>
                <w:b/>
              </w:rPr>
              <w:t>公允价值计量结果所属的层次</w:t>
            </w:r>
          </w:p>
        </w:tc>
        <w:tc>
          <w:tcPr>
            <w:tcW w:w="4153" w:type="dxa"/>
            <w:shd w:val="clear" w:color="auto" w:fill="BFBFBF"/>
            <w:vAlign w:val="center"/>
          </w:tcPr>
          <w:p w14:paraId="7FF9AFE6">
            <w:pPr>
              <w:jc w:val="center"/>
            </w:pPr>
            <w:r>
              <w:rPr>
                <w:rFonts w:hint="eastAsia"/>
                <w:b/>
              </w:rPr>
              <w:t>本期末2025年12月31日</w:t>
            </w:r>
          </w:p>
        </w:tc>
      </w:tr>
      <w:tr w14:paraId="4A35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EF02B9">
            <w:r>
              <w:rPr>
                <w:rFonts w:hint="eastAsia"/>
              </w:rPr>
              <w:t>第一层次</w:t>
            </w:r>
          </w:p>
        </w:tc>
        <w:tc>
          <w:tcPr>
            <w:tcW w:w="4153" w:type="dxa"/>
            <w:vAlign w:val="center"/>
          </w:tcPr>
          <w:p w14:paraId="7100EE25">
            <w:pPr>
              <w:jc w:val="right"/>
            </w:pPr>
            <w:r>
              <w:rPr>
                <w:rFonts w:hint="eastAsia"/>
              </w:rPr>
              <w:t>625,676,085.39</w:t>
            </w:r>
          </w:p>
        </w:tc>
      </w:tr>
      <w:tr w14:paraId="0994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BE1B11">
            <w:r>
              <w:rPr>
                <w:rFonts w:hint="eastAsia"/>
              </w:rPr>
              <w:t>第二层次</w:t>
            </w:r>
          </w:p>
        </w:tc>
        <w:tc>
          <w:tcPr>
            <w:tcW w:w="4153" w:type="dxa"/>
            <w:vAlign w:val="center"/>
          </w:tcPr>
          <w:p w14:paraId="0DBDAD93">
            <w:pPr>
              <w:jc w:val="right"/>
            </w:pPr>
            <w:r>
              <w:rPr>
                <w:rFonts w:hint="eastAsia"/>
              </w:rPr>
              <w:t>2,829,808,145.99</w:t>
            </w:r>
          </w:p>
        </w:tc>
      </w:tr>
      <w:tr w14:paraId="1C9B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E80941">
            <w:r>
              <w:rPr>
                <w:rFonts w:hint="eastAsia"/>
              </w:rPr>
              <w:t>第三层次</w:t>
            </w:r>
          </w:p>
        </w:tc>
        <w:tc>
          <w:tcPr>
            <w:tcW w:w="4153" w:type="dxa"/>
            <w:vAlign w:val="center"/>
          </w:tcPr>
          <w:p w14:paraId="634CB644">
            <w:pPr>
              <w:jc w:val="right"/>
            </w:pPr>
            <w:r>
              <w:rPr>
                <w:rFonts w:hint="eastAsia"/>
              </w:rPr>
              <w:t>-</w:t>
            </w:r>
          </w:p>
        </w:tc>
      </w:tr>
      <w:tr w14:paraId="57AE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8FBC3E">
            <w:r>
              <w:rPr>
                <w:rFonts w:hint="eastAsia"/>
              </w:rPr>
              <w:t>合计</w:t>
            </w:r>
          </w:p>
        </w:tc>
        <w:tc>
          <w:tcPr>
            <w:tcW w:w="4153" w:type="dxa"/>
            <w:vAlign w:val="center"/>
          </w:tcPr>
          <w:p w14:paraId="36E6AF75">
            <w:pPr>
              <w:jc w:val="right"/>
            </w:pPr>
            <w:r>
              <w:rPr>
                <w:rFonts w:hint="eastAsia"/>
              </w:rPr>
              <w:t>3,455,484,231.38</w:t>
            </w:r>
          </w:p>
        </w:tc>
      </w:tr>
    </w:tbl>
    <w:p w14:paraId="38F0D6FA">
      <w:pPr>
        <w:pStyle w:val="36"/>
      </w:pPr>
      <w:bookmarkStart w:id="158" w:name="_Toc158"/>
      <w:r>
        <w:t>公允价值所属层次间的重大变动</w:t>
      </w:r>
      <w:bookmarkEnd w:id="158"/>
    </w:p>
    <w:p w14:paraId="4DBC4D8E">
      <w:pPr>
        <w:pStyle w:val="18"/>
        <w:rPr>
          <w:rFonts w:hint="eastAsia"/>
        </w:rPr>
      </w:pPr>
      <w:r>
        <w:rPr>
          <w:rFonts w:hint="eastAsia"/>
        </w:rPr>
        <w:t>本基金调整公允价值计量层次转换时点的相关会计政策在前后各会计期间保持一致。</w:t>
      </w:r>
    </w:p>
    <w:p w14:paraId="56C14F94">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27DEEE7">
      <w:pPr>
        <w:pStyle w:val="35"/>
      </w:pPr>
      <w:bookmarkStart w:id="159" w:name="_Toc159"/>
      <w:r>
        <w:t>非持续的以公允价值计量的金融工具的说明</w:t>
      </w:r>
      <w:bookmarkEnd w:id="159"/>
    </w:p>
    <w:p w14:paraId="272D8F3B">
      <w:pPr>
        <w:pStyle w:val="18"/>
        <w:rPr>
          <w:rFonts w:hint="eastAsia"/>
        </w:rPr>
      </w:pPr>
      <w:r>
        <w:rPr>
          <w:rFonts w:hint="eastAsia"/>
        </w:rPr>
        <w:t>于本报告期末，本基金未持有非持续的以公允价值计量的金融资产。</w:t>
      </w:r>
    </w:p>
    <w:p w14:paraId="05697E6F">
      <w:pPr>
        <w:pStyle w:val="35"/>
      </w:pPr>
      <w:bookmarkStart w:id="160" w:name="_Toc160"/>
      <w:r>
        <w:t>不以公允价值计量的金融工具的相关说明</w:t>
      </w:r>
      <w:bookmarkEnd w:id="160"/>
    </w:p>
    <w:p w14:paraId="7F8DC891">
      <w:pPr>
        <w:pStyle w:val="18"/>
        <w:rPr>
          <w:rFonts w:hint="eastAsia"/>
        </w:rPr>
      </w:pPr>
      <w:r>
        <w:rPr>
          <w:rFonts w:hint="eastAsia"/>
        </w:rPr>
        <w:t>不以公允价值计量的金融资产和负债主要包括应收款项和其他金融负债，其账面价值与公允价值相差很小。</w:t>
      </w:r>
    </w:p>
    <w:p w14:paraId="63EFA11E">
      <w:pPr>
        <w:pStyle w:val="28"/>
      </w:pPr>
      <w:bookmarkStart w:id="161" w:name="_Toc161"/>
      <w:r>
        <w:t>有助于理解和分析会计报表需要说明的其他事项</w:t>
      </w:r>
      <w:bookmarkEnd w:id="161"/>
    </w:p>
    <w:p w14:paraId="254A92AB">
      <w:pPr>
        <w:pStyle w:val="18"/>
        <w:rPr>
          <w:rFonts w:hint="eastAsia"/>
        </w:rPr>
      </w:pPr>
      <w:r>
        <w:rPr>
          <w:rFonts w:hint="eastAsia"/>
        </w:rPr>
        <w:t>截至资产负债表日本基金无需要说明的其他重要事项。</w:t>
      </w:r>
    </w:p>
    <w:p w14:paraId="09AAE733">
      <w:pPr>
        <w:pStyle w:val="26"/>
      </w:pPr>
      <w:bookmarkStart w:id="162" w:name="_Toc4482"/>
      <w:r>
        <w:t>投资组合报告</w:t>
      </w:r>
      <w:bookmarkEnd w:id="162"/>
    </w:p>
    <w:p w14:paraId="031448A1">
      <w:pPr>
        <w:pStyle w:val="23"/>
      </w:pPr>
      <w:bookmarkStart w:id="163" w:name="_Toc526"/>
      <w:r>
        <w:t>期末基金资产组合情况</w:t>
      </w:r>
      <w:bookmarkEnd w:id="163"/>
    </w:p>
    <w:p w14:paraId="024C60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572C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3B221F0">
            <w:pPr>
              <w:jc w:val="center"/>
            </w:pPr>
            <w:r>
              <w:rPr>
                <w:rFonts w:hint="eastAsia"/>
                <w:b/>
              </w:rPr>
              <w:t>序号</w:t>
            </w:r>
          </w:p>
        </w:tc>
        <w:tc>
          <w:tcPr>
            <w:tcW w:w="2901" w:type="dxa"/>
            <w:shd w:val="clear" w:color="auto" w:fill="BFBFBF"/>
            <w:vAlign w:val="center"/>
          </w:tcPr>
          <w:p w14:paraId="1EEC4B6D">
            <w:pPr>
              <w:jc w:val="center"/>
            </w:pPr>
            <w:r>
              <w:rPr>
                <w:rFonts w:hint="eastAsia"/>
                <w:b/>
              </w:rPr>
              <w:t>项目</w:t>
            </w:r>
          </w:p>
        </w:tc>
        <w:tc>
          <w:tcPr>
            <w:tcW w:w="2325" w:type="dxa"/>
            <w:shd w:val="clear" w:color="auto" w:fill="BFBFBF"/>
            <w:vAlign w:val="center"/>
          </w:tcPr>
          <w:p w14:paraId="778AAEB7">
            <w:pPr>
              <w:jc w:val="center"/>
            </w:pPr>
            <w:r>
              <w:rPr>
                <w:rFonts w:hint="eastAsia"/>
                <w:b/>
              </w:rPr>
              <w:t>金额</w:t>
            </w:r>
          </w:p>
        </w:tc>
        <w:tc>
          <w:tcPr>
            <w:tcW w:w="2447" w:type="dxa"/>
            <w:shd w:val="clear" w:color="auto" w:fill="BFBFBF"/>
            <w:vAlign w:val="center"/>
          </w:tcPr>
          <w:p w14:paraId="1CB28500">
            <w:pPr>
              <w:jc w:val="center"/>
            </w:pPr>
            <w:r>
              <w:rPr>
                <w:rFonts w:hint="eastAsia"/>
                <w:b/>
              </w:rPr>
              <w:t>占基金总资产的比例（%）</w:t>
            </w:r>
          </w:p>
        </w:tc>
      </w:tr>
      <w:tr w14:paraId="2D58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C2DD67">
            <w:pPr>
              <w:jc w:val="center"/>
            </w:pPr>
            <w:r>
              <w:rPr>
                <w:rFonts w:hint="eastAsia"/>
              </w:rPr>
              <w:t>1</w:t>
            </w:r>
          </w:p>
        </w:tc>
        <w:tc>
          <w:tcPr>
            <w:tcW w:w="2901" w:type="dxa"/>
            <w:vAlign w:val="center"/>
          </w:tcPr>
          <w:p w14:paraId="45B67796">
            <w:r>
              <w:rPr>
                <w:rFonts w:hint="eastAsia"/>
              </w:rPr>
              <w:t>权益投资</w:t>
            </w:r>
          </w:p>
        </w:tc>
        <w:tc>
          <w:tcPr>
            <w:tcW w:w="2325" w:type="dxa"/>
            <w:vAlign w:val="center"/>
          </w:tcPr>
          <w:p w14:paraId="47C13AC3">
            <w:pPr>
              <w:jc w:val="right"/>
            </w:pPr>
            <w:r>
              <w:rPr>
                <w:rFonts w:hint="eastAsia"/>
              </w:rPr>
              <w:t>625,676,085.39</w:t>
            </w:r>
          </w:p>
        </w:tc>
        <w:tc>
          <w:tcPr>
            <w:tcW w:w="2447" w:type="dxa"/>
            <w:vAlign w:val="center"/>
          </w:tcPr>
          <w:p w14:paraId="50FB70C7">
            <w:pPr>
              <w:jc w:val="right"/>
            </w:pPr>
            <w:r>
              <w:rPr>
                <w:rFonts w:hint="eastAsia"/>
              </w:rPr>
              <w:t>17.82</w:t>
            </w:r>
          </w:p>
        </w:tc>
      </w:tr>
      <w:tr w14:paraId="5A1B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C13BA1">
            <w:pPr>
              <w:jc w:val="center"/>
            </w:pPr>
          </w:p>
        </w:tc>
        <w:tc>
          <w:tcPr>
            <w:tcW w:w="2901" w:type="dxa"/>
            <w:vAlign w:val="center"/>
          </w:tcPr>
          <w:p w14:paraId="1D6F72F6">
            <w:r>
              <w:rPr>
                <w:rFonts w:hint="eastAsia"/>
              </w:rPr>
              <w:t>其中：股票</w:t>
            </w:r>
          </w:p>
        </w:tc>
        <w:tc>
          <w:tcPr>
            <w:tcW w:w="2325" w:type="dxa"/>
            <w:vAlign w:val="center"/>
          </w:tcPr>
          <w:p w14:paraId="53ADB653">
            <w:pPr>
              <w:jc w:val="right"/>
            </w:pPr>
            <w:r>
              <w:rPr>
                <w:rFonts w:hint="eastAsia"/>
              </w:rPr>
              <w:t>625,676,085.39</w:t>
            </w:r>
          </w:p>
        </w:tc>
        <w:tc>
          <w:tcPr>
            <w:tcW w:w="2447" w:type="dxa"/>
            <w:vAlign w:val="center"/>
          </w:tcPr>
          <w:p w14:paraId="7AE4A289">
            <w:pPr>
              <w:jc w:val="right"/>
            </w:pPr>
            <w:r>
              <w:rPr>
                <w:rFonts w:hint="eastAsia"/>
              </w:rPr>
              <w:t>17.82</w:t>
            </w:r>
          </w:p>
        </w:tc>
      </w:tr>
      <w:tr w14:paraId="5347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A6607F">
            <w:pPr>
              <w:jc w:val="center"/>
            </w:pPr>
            <w:r>
              <w:rPr>
                <w:rFonts w:hint="eastAsia"/>
              </w:rPr>
              <w:t>2</w:t>
            </w:r>
          </w:p>
        </w:tc>
        <w:tc>
          <w:tcPr>
            <w:tcW w:w="2901" w:type="dxa"/>
            <w:vAlign w:val="center"/>
          </w:tcPr>
          <w:p w14:paraId="4547831A">
            <w:r>
              <w:rPr>
                <w:rFonts w:hint="eastAsia"/>
              </w:rPr>
              <w:t>基金投资</w:t>
            </w:r>
          </w:p>
        </w:tc>
        <w:tc>
          <w:tcPr>
            <w:tcW w:w="2325" w:type="dxa"/>
            <w:vAlign w:val="center"/>
          </w:tcPr>
          <w:p w14:paraId="4CCBD6B9">
            <w:pPr>
              <w:jc w:val="right"/>
            </w:pPr>
            <w:r>
              <w:rPr>
                <w:rFonts w:hint="eastAsia"/>
              </w:rPr>
              <w:t>-</w:t>
            </w:r>
          </w:p>
        </w:tc>
        <w:tc>
          <w:tcPr>
            <w:tcW w:w="2447" w:type="dxa"/>
            <w:vAlign w:val="center"/>
          </w:tcPr>
          <w:p w14:paraId="7C3477CA">
            <w:pPr>
              <w:jc w:val="right"/>
            </w:pPr>
            <w:r>
              <w:rPr>
                <w:rFonts w:hint="eastAsia"/>
              </w:rPr>
              <w:t>-</w:t>
            </w:r>
          </w:p>
        </w:tc>
      </w:tr>
      <w:tr w14:paraId="6A26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43FD4C">
            <w:pPr>
              <w:jc w:val="center"/>
            </w:pPr>
            <w:r>
              <w:rPr>
                <w:rFonts w:hint="eastAsia"/>
              </w:rPr>
              <w:t>3</w:t>
            </w:r>
          </w:p>
        </w:tc>
        <w:tc>
          <w:tcPr>
            <w:tcW w:w="2901" w:type="dxa"/>
            <w:vAlign w:val="center"/>
          </w:tcPr>
          <w:p w14:paraId="02EE2411">
            <w:r>
              <w:rPr>
                <w:rFonts w:hint="eastAsia"/>
              </w:rPr>
              <w:t>固定收益投资</w:t>
            </w:r>
          </w:p>
        </w:tc>
        <w:tc>
          <w:tcPr>
            <w:tcW w:w="2325" w:type="dxa"/>
            <w:vAlign w:val="center"/>
          </w:tcPr>
          <w:p w14:paraId="092ED7CA">
            <w:pPr>
              <w:jc w:val="right"/>
            </w:pPr>
            <w:r>
              <w:rPr>
                <w:rFonts w:hint="eastAsia"/>
              </w:rPr>
              <w:t>2,829,808,145.99</w:t>
            </w:r>
          </w:p>
        </w:tc>
        <w:tc>
          <w:tcPr>
            <w:tcW w:w="2447" w:type="dxa"/>
            <w:vAlign w:val="center"/>
          </w:tcPr>
          <w:p w14:paraId="05761C9C">
            <w:pPr>
              <w:jc w:val="right"/>
            </w:pPr>
            <w:r>
              <w:rPr>
                <w:rFonts w:hint="eastAsia"/>
              </w:rPr>
              <w:t>80.58</w:t>
            </w:r>
          </w:p>
        </w:tc>
      </w:tr>
      <w:tr w14:paraId="493A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58DAD5">
            <w:pPr>
              <w:jc w:val="center"/>
            </w:pPr>
          </w:p>
        </w:tc>
        <w:tc>
          <w:tcPr>
            <w:tcW w:w="2901" w:type="dxa"/>
            <w:vAlign w:val="center"/>
          </w:tcPr>
          <w:p w14:paraId="46125481">
            <w:r>
              <w:rPr>
                <w:rFonts w:hint="eastAsia"/>
              </w:rPr>
              <w:t>其中：债券</w:t>
            </w:r>
          </w:p>
        </w:tc>
        <w:tc>
          <w:tcPr>
            <w:tcW w:w="2325" w:type="dxa"/>
            <w:vAlign w:val="center"/>
          </w:tcPr>
          <w:p w14:paraId="3F3CE814">
            <w:pPr>
              <w:jc w:val="right"/>
            </w:pPr>
            <w:r>
              <w:rPr>
                <w:rFonts w:hint="eastAsia"/>
              </w:rPr>
              <w:t>2,829,808,145.99</w:t>
            </w:r>
          </w:p>
        </w:tc>
        <w:tc>
          <w:tcPr>
            <w:tcW w:w="2447" w:type="dxa"/>
            <w:vAlign w:val="center"/>
          </w:tcPr>
          <w:p w14:paraId="405E06DB">
            <w:pPr>
              <w:jc w:val="right"/>
            </w:pPr>
            <w:r>
              <w:rPr>
                <w:rFonts w:hint="eastAsia"/>
              </w:rPr>
              <w:t>80.58</w:t>
            </w:r>
          </w:p>
        </w:tc>
      </w:tr>
      <w:tr w14:paraId="6D95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350A3D">
            <w:pPr>
              <w:jc w:val="center"/>
            </w:pPr>
          </w:p>
        </w:tc>
        <w:tc>
          <w:tcPr>
            <w:tcW w:w="2901" w:type="dxa"/>
            <w:vAlign w:val="center"/>
          </w:tcPr>
          <w:p w14:paraId="715CBD44">
            <w:r>
              <w:rPr>
                <w:rFonts w:hint="eastAsia"/>
              </w:rPr>
              <w:t xml:space="preserve">      资产支持证券</w:t>
            </w:r>
          </w:p>
        </w:tc>
        <w:tc>
          <w:tcPr>
            <w:tcW w:w="2325" w:type="dxa"/>
            <w:vAlign w:val="center"/>
          </w:tcPr>
          <w:p w14:paraId="119733B5">
            <w:pPr>
              <w:jc w:val="right"/>
            </w:pPr>
            <w:r>
              <w:rPr>
                <w:rFonts w:hint="eastAsia"/>
              </w:rPr>
              <w:t>-</w:t>
            </w:r>
          </w:p>
        </w:tc>
        <w:tc>
          <w:tcPr>
            <w:tcW w:w="2447" w:type="dxa"/>
            <w:vAlign w:val="center"/>
          </w:tcPr>
          <w:p w14:paraId="7830BCDA">
            <w:pPr>
              <w:jc w:val="right"/>
            </w:pPr>
            <w:r>
              <w:rPr>
                <w:rFonts w:hint="eastAsia"/>
              </w:rPr>
              <w:t>-</w:t>
            </w:r>
          </w:p>
        </w:tc>
      </w:tr>
      <w:tr w14:paraId="7109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5991BA">
            <w:pPr>
              <w:jc w:val="center"/>
            </w:pPr>
            <w:r>
              <w:rPr>
                <w:rFonts w:hint="eastAsia"/>
              </w:rPr>
              <w:t>4</w:t>
            </w:r>
          </w:p>
        </w:tc>
        <w:tc>
          <w:tcPr>
            <w:tcW w:w="2901" w:type="dxa"/>
            <w:vAlign w:val="center"/>
          </w:tcPr>
          <w:p w14:paraId="6DDBE7CF">
            <w:r>
              <w:rPr>
                <w:rFonts w:hint="eastAsia"/>
              </w:rPr>
              <w:t>贵金属投资</w:t>
            </w:r>
          </w:p>
        </w:tc>
        <w:tc>
          <w:tcPr>
            <w:tcW w:w="2325" w:type="dxa"/>
            <w:vAlign w:val="center"/>
          </w:tcPr>
          <w:p w14:paraId="30F179C4">
            <w:pPr>
              <w:jc w:val="right"/>
            </w:pPr>
            <w:r>
              <w:rPr>
                <w:rFonts w:hint="eastAsia"/>
              </w:rPr>
              <w:t>-</w:t>
            </w:r>
          </w:p>
        </w:tc>
        <w:tc>
          <w:tcPr>
            <w:tcW w:w="2447" w:type="dxa"/>
            <w:vAlign w:val="center"/>
          </w:tcPr>
          <w:p w14:paraId="3BB3DC54">
            <w:pPr>
              <w:jc w:val="right"/>
            </w:pPr>
            <w:r>
              <w:rPr>
                <w:rFonts w:hint="eastAsia"/>
              </w:rPr>
              <w:t>-</w:t>
            </w:r>
          </w:p>
        </w:tc>
      </w:tr>
      <w:tr w14:paraId="10F1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C968CB">
            <w:pPr>
              <w:jc w:val="center"/>
            </w:pPr>
            <w:r>
              <w:rPr>
                <w:rFonts w:hint="eastAsia"/>
              </w:rPr>
              <w:t>5</w:t>
            </w:r>
          </w:p>
        </w:tc>
        <w:tc>
          <w:tcPr>
            <w:tcW w:w="2901" w:type="dxa"/>
            <w:vAlign w:val="center"/>
          </w:tcPr>
          <w:p w14:paraId="6ED8EE00">
            <w:r>
              <w:rPr>
                <w:rFonts w:hint="eastAsia"/>
              </w:rPr>
              <w:t>金融衍生品投资</w:t>
            </w:r>
          </w:p>
        </w:tc>
        <w:tc>
          <w:tcPr>
            <w:tcW w:w="2325" w:type="dxa"/>
            <w:vAlign w:val="center"/>
          </w:tcPr>
          <w:p w14:paraId="673E4DE2">
            <w:pPr>
              <w:jc w:val="right"/>
            </w:pPr>
            <w:r>
              <w:rPr>
                <w:rFonts w:hint="eastAsia"/>
              </w:rPr>
              <w:t>-</w:t>
            </w:r>
          </w:p>
        </w:tc>
        <w:tc>
          <w:tcPr>
            <w:tcW w:w="2447" w:type="dxa"/>
            <w:vAlign w:val="center"/>
          </w:tcPr>
          <w:p w14:paraId="142BB8C4">
            <w:pPr>
              <w:jc w:val="right"/>
            </w:pPr>
            <w:r>
              <w:rPr>
                <w:rFonts w:hint="eastAsia"/>
              </w:rPr>
              <w:t>-</w:t>
            </w:r>
          </w:p>
        </w:tc>
      </w:tr>
      <w:tr w14:paraId="5174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086C7D">
            <w:pPr>
              <w:jc w:val="center"/>
            </w:pPr>
            <w:r>
              <w:rPr>
                <w:rFonts w:hint="eastAsia"/>
              </w:rPr>
              <w:t>6</w:t>
            </w:r>
          </w:p>
        </w:tc>
        <w:tc>
          <w:tcPr>
            <w:tcW w:w="2901" w:type="dxa"/>
            <w:vAlign w:val="center"/>
          </w:tcPr>
          <w:p w14:paraId="5ABF337D">
            <w:r>
              <w:rPr>
                <w:rFonts w:hint="eastAsia"/>
              </w:rPr>
              <w:t>买入返售金融资产</w:t>
            </w:r>
          </w:p>
        </w:tc>
        <w:tc>
          <w:tcPr>
            <w:tcW w:w="2325" w:type="dxa"/>
            <w:vAlign w:val="center"/>
          </w:tcPr>
          <w:p w14:paraId="6DE2DD37">
            <w:pPr>
              <w:jc w:val="right"/>
            </w:pPr>
            <w:r>
              <w:rPr>
                <w:rFonts w:hint="eastAsia"/>
              </w:rPr>
              <w:t>20,000,000.00</w:t>
            </w:r>
          </w:p>
        </w:tc>
        <w:tc>
          <w:tcPr>
            <w:tcW w:w="2447" w:type="dxa"/>
            <w:vAlign w:val="center"/>
          </w:tcPr>
          <w:p w14:paraId="415AE17E">
            <w:pPr>
              <w:jc w:val="right"/>
            </w:pPr>
            <w:r>
              <w:rPr>
                <w:rFonts w:hint="eastAsia"/>
              </w:rPr>
              <w:t>0.57</w:t>
            </w:r>
          </w:p>
        </w:tc>
      </w:tr>
      <w:tr w14:paraId="09E4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2C956A">
            <w:pPr>
              <w:jc w:val="center"/>
            </w:pPr>
          </w:p>
        </w:tc>
        <w:tc>
          <w:tcPr>
            <w:tcW w:w="2901" w:type="dxa"/>
            <w:vAlign w:val="center"/>
          </w:tcPr>
          <w:p w14:paraId="0DCAC1EB">
            <w:r>
              <w:rPr>
                <w:rFonts w:hint="eastAsia"/>
              </w:rPr>
              <w:t>其中：买断式回购的买入返售金融资产</w:t>
            </w:r>
          </w:p>
        </w:tc>
        <w:tc>
          <w:tcPr>
            <w:tcW w:w="2325" w:type="dxa"/>
            <w:vAlign w:val="center"/>
          </w:tcPr>
          <w:p w14:paraId="60F45A93">
            <w:pPr>
              <w:jc w:val="right"/>
            </w:pPr>
            <w:r>
              <w:rPr>
                <w:rFonts w:hint="eastAsia"/>
              </w:rPr>
              <w:t>-</w:t>
            </w:r>
          </w:p>
        </w:tc>
        <w:tc>
          <w:tcPr>
            <w:tcW w:w="2447" w:type="dxa"/>
            <w:vAlign w:val="center"/>
          </w:tcPr>
          <w:p w14:paraId="218B4562">
            <w:pPr>
              <w:jc w:val="right"/>
            </w:pPr>
            <w:r>
              <w:rPr>
                <w:rFonts w:hint="eastAsia"/>
              </w:rPr>
              <w:t>-</w:t>
            </w:r>
          </w:p>
        </w:tc>
      </w:tr>
      <w:tr w14:paraId="372F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E4F85B">
            <w:pPr>
              <w:jc w:val="center"/>
            </w:pPr>
            <w:r>
              <w:rPr>
                <w:rFonts w:hint="eastAsia"/>
              </w:rPr>
              <w:t>7</w:t>
            </w:r>
          </w:p>
        </w:tc>
        <w:tc>
          <w:tcPr>
            <w:tcW w:w="2901" w:type="dxa"/>
            <w:vAlign w:val="center"/>
          </w:tcPr>
          <w:p w14:paraId="2E003E2F">
            <w:r>
              <w:rPr>
                <w:rFonts w:hint="eastAsia"/>
              </w:rPr>
              <w:t>银行存款和结算备付金合计</w:t>
            </w:r>
          </w:p>
        </w:tc>
        <w:tc>
          <w:tcPr>
            <w:tcW w:w="2325" w:type="dxa"/>
            <w:vAlign w:val="center"/>
          </w:tcPr>
          <w:p w14:paraId="040EDF95">
            <w:pPr>
              <w:jc w:val="right"/>
            </w:pPr>
            <w:r>
              <w:rPr>
                <w:rFonts w:hint="eastAsia"/>
              </w:rPr>
              <w:t>22,000,590.16</w:t>
            </w:r>
          </w:p>
        </w:tc>
        <w:tc>
          <w:tcPr>
            <w:tcW w:w="2447" w:type="dxa"/>
            <w:vAlign w:val="center"/>
          </w:tcPr>
          <w:p w14:paraId="0A854477">
            <w:pPr>
              <w:jc w:val="right"/>
            </w:pPr>
            <w:r>
              <w:rPr>
                <w:rFonts w:hint="eastAsia"/>
              </w:rPr>
              <w:t>0.63</w:t>
            </w:r>
          </w:p>
        </w:tc>
      </w:tr>
      <w:tr w14:paraId="6AA1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FAE8D4">
            <w:pPr>
              <w:jc w:val="center"/>
            </w:pPr>
            <w:r>
              <w:rPr>
                <w:rFonts w:hint="eastAsia"/>
              </w:rPr>
              <w:t>8</w:t>
            </w:r>
          </w:p>
        </w:tc>
        <w:tc>
          <w:tcPr>
            <w:tcW w:w="2901" w:type="dxa"/>
            <w:vAlign w:val="center"/>
          </w:tcPr>
          <w:p w14:paraId="0D0C0533">
            <w:r>
              <w:rPr>
                <w:rFonts w:hint="eastAsia"/>
              </w:rPr>
              <w:t>其他各项资产</w:t>
            </w:r>
          </w:p>
        </w:tc>
        <w:tc>
          <w:tcPr>
            <w:tcW w:w="2325" w:type="dxa"/>
            <w:vAlign w:val="center"/>
          </w:tcPr>
          <w:p w14:paraId="65B451F1">
            <w:pPr>
              <w:jc w:val="right"/>
            </w:pPr>
            <w:r>
              <w:rPr>
                <w:rFonts w:hint="eastAsia"/>
              </w:rPr>
              <w:t>14,465,693.00</w:t>
            </w:r>
          </w:p>
        </w:tc>
        <w:tc>
          <w:tcPr>
            <w:tcW w:w="2447" w:type="dxa"/>
            <w:vAlign w:val="center"/>
          </w:tcPr>
          <w:p w14:paraId="47C308F2">
            <w:pPr>
              <w:jc w:val="right"/>
            </w:pPr>
            <w:r>
              <w:rPr>
                <w:rFonts w:hint="eastAsia"/>
              </w:rPr>
              <w:t>0.41</w:t>
            </w:r>
          </w:p>
        </w:tc>
      </w:tr>
      <w:tr w14:paraId="104C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FDFFD1">
            <w:pPr>
              <w:jc w:val="center"/>
            </w:pPr>
            <w:r>
              <w:rPr>
                <w:rFonts w:hint="eastAsia"/>
              </w:rPr>
              <w:t>9</w:t>
            </w:r>
          </w:p>
        </w:tc>
        <w:tc>
          <w:tcPr>
            <w:tcW w:w="2901" w:type="dxa"/>
            <w:vAlign w:val="center"/>
          </w:tcPr>
          <w:p w14:paraId="79531E40">
            <w:r>
              <w:rPr>
                <w:rFonts w:hint="eastAsia"/>
              </w:rPr>
              <w:t>合计</w:t>
            </w:r>
          </w:p>
        </w:tc>
        <w:tc>
          <w:tcPr>
            <w:tcW w:w="2325" w:type="dxa"/>
            <w:vAlign w:val="center"/>
          </w:tcPr>
          <w:p w14:paraId="0B4C6702">
            <w:pPr>
              <w:jc w:val="right"/>
            </w:pPr>
            <w:r>
              <w:rPr>
                <w:rFonts w:hint="eastAsia"/>
              </w:rPr>
              <w:t>3,511,950,514.54</w:t>
            </w:r>
          </w:p>
        </w:tc>
        <w:tc>
          <w:tcPr>
            <w:tcW w:w="2447" w:type="dxa"/>
            <w:vAlign w:val="center"/>
          </w:tcPr>
          <w:p w14:paraId="4CE6643B">
            <w:pPr>
              <w:jc w:val="right"/>
            </w:pPr>
            <w:r>
              <w:rPr>
                <w:rFonts w:hint="eastAsia"/>
              </w:rPr>
              <w:t>100.00</w:t>
            </w:r>
          </w:p>
        </w:tc>
      </w:tr>
    </w:tbl>
    <w:p w14:paraId="1442B729">
      <w:pPr>
        <w:pStyle w:val="47"/>
        <w:rPr>
          <w:rFonts w:hint="eastAsia"/>
        </w:rPr>
      </w:pPr>
      <w:r>
        <w:rPr>
          <w:rFonts w:hint="eastAsia"/>
        </w:rPr>
        <w:t>注：本基金本报告期末通过深港通交易机制投资的港股市值为人民币134,287,148.47元，占基金资产净值比例4.18%。</w:t>
      </w:r>
    </w:p>
    <w:p w14:paraId="36E33A8C">
      <w:pPr>
        <w:pStyle w:val="23"/>
      </w:pPr>
      <w:bookmarkStart w:id="164" w:name="_Toc12230"/>
      <w:r>
        <w:t>报告期末按行业分类的股票投资组合</w:t>
      </w:r>
      <w:bookmarkEnd w:id="164"/>
    </w:p>
    <w:p w14:paraId="24FEB555">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A54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165178">
            <w:pPr>
              <w:jc w:val="center"/>
            </w:pPr>
            <w:r>
              <w:rPr>
                <w:rFonts w:hint="eastAsia"/>
                <w:b/>
              </w:rPr>
              <w:t>代码</w:t>
            </w:r>
          </w:p>
        </w:tc>
        <w:tc>
          <w:tcPr>
            <w:tcW w:w="3510" w:type="dxa"/>
            <w:shd w:val="clear" w:color="auto" w:fill="BFBFBF"/>
            <w:vAlign w:val="center"/>
          </w:tcPr>
          <w:p w14:paraId="449523C3">
            <w:pPr>
              <w:jc w:val="center"/>
            </w:pPr>
            <w:r>
              <w:rPr>
                <w:rFonts w:hint="eastAsia"/>
                <w:b/>
              </w:rPr>
              <w:t>行业类别</w:t>
            </w:r>
          </w:p>
        </w:tc>
        <w:tc>
          <w:tcPr>
            <w:tcW w:w="1727" w:type="dxa"/>
            <w:shd w:val="clear" w:color="auto" w:fill="BFBFBF"/>
            <w:vAlign w:val="center"/>
          </w:tcPr>
          <w:p w14:paraId="2BC62A2B">
            <w:pPr>
              <w:jc w:val="center"/>
            </w:pPr>
            <w:r>
              <w:rPr>
                <w:rFonts w:hint="eastAsia"/>
                <w:b/>
              </w:rPr>
              <w:t>公允价值（元）</w:t>
            </w:r>
          </w:p>
        </w:tc>
        <w:tc>
          <w:tcPr>
            <w:tcW w:w="2436" w:type="dxa"/>
            <w:shd w:val="clear" w:color="auto" w:fill="BFBFBF"/>
            <w:vAlign w:val="center"/>
          </w:tcPr>
          <w:p w14:paraId="29541EB9">
            <w:pPr>
              <w:jc w:val="center"/>
            </w:pPr>
            <w:r>
              <w:rPr>
                <w:rFonts w:hint="eastAsia"/>
                <w:b/>
              </w:rPr>
              <w:t>占基金资产净值比例（％）</w:t>
            </w:r>
          </w:p>
        </w:tc>
      </w:tr>
      <w:tr w14:paraId="6D7D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CD3787">
            <w:r>
              <w:rPr>
                <w:rFonts w:hint="eastAsia"/>
              </w:rPr>
              <w:t>A</w:t>
            </w:r>
          </w:p>
        </w:tc>
        <w:tc>
          <w:tcPr>
            <w:tcW w:w="3510" w:type="dxa"/>
            <w:vAlign w:val="center"/>
          </w:tcPr>
          <w:p w14:paraId="7A9BE043">
            <w:r>
              <w:rPr>
                <w:rFonts w:hint="eastAsia"/>
              </w:rPr>
              <w:t>农、林、牧、渔业</w:t>
            </w:r>
          </w:p>
        </w:tc>
        <w:tc>
          <w:tcPr>
            <w:tcW w:w="1727" w:type="dxa"/>
            <w:vAlign w:val="center"/>
          </w:tcPr>
          <w:p w14:paraId="28C48B09">
            <w:pPr>
              <w:jc w:val="right"/>
            </w:pPr>
            <w:r>
              <w:rPr>
                <w:rFonts w:hint="eastAsia"/>
              </w:rPr>
              <w:t>-</w:t>
            </w:r>
          </w:p>
        </w:tc>
        <w:tc>
          <w:tcPr>
            <w:tcW w:w="2436" w:type="dxa"/>
            <w:vAlign w:val="center"/>
          </w:tcPr>
          <w:p w14:paraId="6EEB7FD5">
            <w:pPr>
              <w:jc w:val="right"/>
            </w:pPr>
            <w:r>
              <w:rPr>
                <w:rFonts w:hint="eastAsia"/>
              </w:rPr>
              <w:t>-</w:t>
            </w:r>
          </w:p>
        </w:tc>
      </w:tr>
      <w:tr w14:paraId="50DB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518EA2">
            <w:r>
              <w:rPr>
                <w:rFonts w:hint="eastAsia"/>
              </w:rPr>
              <w:t>B</w:t>
            </w:r>
          </w:p>
        </w:tc>
        <w:tc>
          <w:tcPr>
            <w:tcW w:w="3510" w:type="dxa"/>
            <w:vAlign w:val="center"/>
          </w:tcPr>
          <w:p w14:paraId="3680F947">
            <w:r>
              <w:rPr>
                <w:rFonts w:hint="eastAsia"/>
              </w:rPr>
              <w:t>采矿业</w:t>
            </w:r>
          </w:p>
        </w:tc>
        <w:tc>
          <w:tcPr>
            <w:tcW w:w="1727" w:type="dxa"/>
            <w:vAlign w:val="center"/>
          </w:tcPr>
          <w:p w14:paraId="1DDDA2F6">
            <w:pPr>
              <w:jc w:val="right"/>
            </w:pPr>
            <w:r>
              <w:rPr>
                <w:rFonts w:hint="eastAsia"/>
              </w:rPr>
              <w:t>45,627,960.00</w:t>
            </w:r>
          </w:p>
        </w:tc>
        <w:tc>
          <w:tcPr>
            <w:tcW w:w="2436" w:type="dxa"/>
            <w:vAlign w:val="center"/>
          </w:tcPr>
          <w:p w14:paraId="2C4D4E8F">
            <w:pPr>
              <w:jc w:val="right"/>
            </w:pPr>
            <w:r>
              <w:rPr>
                <w:rFonts w:hint="eastAsia"/>
              </w:rPr>
              <w:t>1.42</w:t>
            </w:r>
          </w:p>
        </w:tc>
      </w:tr>
      <w:tr w14:paraId="5284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FADB3C">
            <w:r>
              <w:rPr>
                <w:rFonts w:hint="eastAsia"/>
              </w:rPr>
              <w:t>C</w:t>
            </w:r>
          </w:p>
        </w:tc>
        <w:tc>
          <w:tcPr>
            <w:tcW w:w="3510" w:type="dxa"/>
            <w:vAlign w:val="center"/>
          </w:tcPr>
          <w:p w14:paraId="3EB38F71">
            <w:r>
              <w:rPr>
                <w:rFonts w:hint="eastAsia"/>
              </w:rPr>
              <w:t>制造业</w:t>
            </w:r>
          </w:p>
        </w:tc>
        <w:tc>
          <w:tcPr>
            <w:tcW w:w="1727" w:type="dxa"/>
            <w:vAlign w:val="center"/>
          </w:tcPr>
          <w:p w14:paraId="2A127C02">
            <w:pPr>
              <w:jc w:val="right"/>
            </w:pPr>
            <w:r>
              <w:rPr>
                <w:rFonts w:hint="eastAsia"/>
              </w:rPr>
              <w:t>296,079,359.26</w:t>
            </w:r>
          </w:p>
        </w:tc>
        <w:tc>
          <w:tcPr>
            <w:tcW w:w="2436" w:type="dxa"/>
            <w:vAlign w:val="center"/>
          </w:tcPr>
          <w:p w14:paraId="2F713AA3">
            <w:pPr>
              <w:jc w:val="right"/>
            </w:pPr>
            <w:r>
              <w:rPr>
                <w:rFonts w:hint="eastAsia"/>
              </w:rPr>
              <w:t>9.22</w:t>
            </w:r>
          </w:p>
        </w:tc>
      </w:tr>
      <w:tr w14:paraId="4C22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B08574">
            <w:r>
              <w:rPr>
                <w:rFonts w:hint="eastAsia"/>
              </w:rPr>
              <w:t>D</w:t>
            </w:r>
          </w:p>
        </w:tc>
        <w:tc>
          <w:tcPr>
            <w:tcW w:w="3510" w:type="dxa"/>
            <w:vAlign w:val="center"/>
          </w:tcPr>
          <w:p w14:paraId="3BFF2E0D">
            <w:r>
              <w:rPr>
                <w:rFonts w:hint="eastAsia"/>
              </w:rPr>
              <w:t>电力、热力、燃气及水生产和供应业</w:t>
            </w:r>
          </w:p>
        </w:tc>
        <w:tc>
          <w:tcPr>
            <w:tcW w:w="1727" w:type="dxa"/>
            <w:vAlign w:val="center"/>
          </w:tcPr>
          <w:p w14:paraId="3A605C69">
            <w:pPr>
              <w:jc w:val="right"/>
            </w:pPr>
            <w:r>
              <w:rPr>
                <w:rFonts w:hint="eastAsia"/>
              </w:rPr>
              <w:t>26,901,296.00</w:t>
            </w:r>
          </w:p>
        </w:tc>
        <w:tc>
          <w:tcPr>
            <w:tcW w:w="2436" w:type="dxa"/>
            <w:vAlign w:val="center"/>
          </w:tcPr>
          <w:p w14:paraId="4CC1D514">
            <w:pPr>
              <w:jc w:val="right"/>
            </w:pPr>
            <w:r>
              <w:rPr>
                <w:rFonts w:hint="eastAsia"/>
              </w:rPr>
              <w:t>0.84</w:t>
            </w:r>
          </w:p>
        </w:tc>
      </w:tr>
      <w:tr w14:paraId="7C4F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F3986C">
            <w:r>
              <w:rPr>
                <w:rFonts w:hint="eastAsia"/>
              </w:rPr>
              <w:t>E</w:t>
            </w:r>
          </w:p>
        </w:tc>
        <w:tc>
          <w:tcPr>
            <w:tcW w:w="3510" w:type="dxa"/>
            <w:vAlign w:val="center"/>
          </w:tcPr>
          <w:p w14:paraId="4BCAC9AF">
            <w:r>
              <w:rPr>
                <w:rFonts w:hint="eastAsia"/>
              </w:rPr>
              <w:t>建筑业</w:t>
            </w:r>
          </w:p>
        </w:tc>
        <w:tc>
          <w:tcPr>
            <w:tcW w:w="1727" w:type="dxa"/>
            <w:vAlign w:val="center"/>
          </w:tcPr>
          <w:p w14:paraId="173E734A">
            <w:pPr>
              <w:jc w:val="right"/>
            </w:pPr>
            <w:r>
              <w:rPr>
                <w:rFonts w:hint="eastAsia"/>
              </w:rPr>
              <w:t>-</w:t>
            </w:r>
          </w:p>
        </w:tc>
        <w:tc>
          <w:tcPr>
            <w:tcW w:w="2436" w:type="dxa"/>
            <w:vAlign w:val="center"/>
          </w:tcPr>
          <w:p w14:paraId="3037DAA5">
            <w:pPr>
              <w:jc w:val="right"/>
            </w:pPr>
            <w:r>
              <w:rPr>
                <w:rFonts w:hint="eastAsia"/>
              </w:rPr>
              <w:t>-</w:t>
            </w:r>
          </w:p>
        </w:tc>
      </w:tr>
      <w:tr w14:paraId="4F2E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0776C0">
            <w:r>
              <w:rPr>
                <w:rFonts w:hint="eastAsia"/>
              </w:rPr>
              <w:t>F</w:t>
            </w:r>
          </w:p>
        </w:tc>
        <w:tc>
          <w:tcPr>
            <w:tcW w:w="3510" w:type="dxa"/>
            <w:vAlign w:val="center"/>
          </w:tcPr>
          <w:p w14:paraId="71EB254F">
            <w:r>
              <w:rPr>
                <w:rFonts w:hint="eastAsia"/>
              </w:rPr>
              <w:t>批发和零售业</w:t>
            </w:r>
          </w:p>
        </w:tc>
        <w:tc>
          <w:tcPr>
            <w:tcW w:w="1727" w:type="dxa"/>
            <w:vAlign w:val="center"/>
          </w:tcPr>
          <w:p w14:paraId="3C054D28">
            <w:pPr>
              <w:jc w:val="right"/>
            </w:pPr>
            <w:r>
              <w:rPr>
                <w:rFonts w:hint="eastAsia"/>
              </w:rPr>
              <w:t>21,961,815.00</w:t>
            </w:r>
          </w:p>
        </w:tc>
        <w:tc>
          <w:tcPr>
            <w:tcW w:w="2436" w:type="dxa"/>
            <w:vAlign w:val="center"/>
          </w:tcPr>
          <w:p w14:paraId="65353BE6">
            <w:pPr>
              <w:jc w:val="right"/>
            </w:pPr>
            <w:r>
              <w:rPr>
                <w:rFonts w:hint="eastAsia"/>
              </w:rPr>
              <w:t>0.68</w:t>
            </w:r>
          </w:p>
        </w:tc>
      </w:tr>
      <w:tr w14:paraId="6B1E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34301B">
            <w:r>
              <w:rPr>
                <w:rFonts w:hint="eastAsia"/>
              </w:rPr>
              <w:t>G</w:t>
            </w:r>
          </w:p>
        </w:tc>
        <w:tc>
          <w:tcPr>
            <w:tcW w:w="3510" w:type="dxa"/>
            <w:vAlign w:val="center"/>
          </w:tcPr>
          <w:p w14:paraId="717B6E7C">
            <w:r>
              <w:rPr>
                <w:rFonts w:hint="eastAsia"/>
              </w:rPr>
              <w:t>交通运输、仓储和邮政业</w:t>
            </w:r>
          </w:p>
        </w:tc>
        <w:tc>
          <w:tcPr>
            <w:tcW w:w="1727" w:type="dxa"/>
            <w:vAlign w:val="center"/>
          </w:tcPr>
          <w:p w14:paraId="46F9773B">
            <w:pPr>
              <w:jc w:val="right"/>
            </w:pPr>
            <w:r>
              <w:rPr>
                <w:rFonts w:hint="eastAsia"/>
              </w:rPr>
              <w:t>18,244,152.00</w:t>
            </w:r>
          </w:p>
        </w:tc>
        <w:tc>
          <w:tcPr>
            <w:tcW w:w="2436" w:type="dxa"/>
            <w:vAlign w:val="center"/>
          </w:tcPr>
          <w:p w14:paraId="0A20D3CF">
            <w:pPr>
              <w:jc w:val="right"/>
            </w:pPr>
            <w:r>
              <w:rPr>
                <w:rFonts w:hint="eastAsia"/>
              </w:rPr>
              <w:t>0.57</w:t>
            </w:r>
          </w:p>
        </w:tc>
      </w:tr>
      <w:tr w14:paraId="5716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8B6BAF">
            <w:r>
              <w:rPr>
                <w:rFonts w:hint="eastAsia"/>
              </w:rPr>
              <w:t>H</w:t>
            </w:r>
          </w:p>
        </w:tc>
        <w:tc>
          <w:tcPr>
            <w:tcW w:w="3510" w:type="dxa"/>
            <w:vAlign w:val="center"/>
          </w:tcPr>
          <w:p w14:paraId="646B542D">
            <w:r>
              <w:rPr>
                <w:rFonts w:hint="eastAsia"/>
              </w:rPr>
              <w:t>住宿和餐饮业</w:t>
            </w:r>
          </w:p>
        </w:tc>
        <w:tc>
          <w:tcPr>
            <w:tcW w:w="1727" w:type="dxa"/>
            <w:vAlign w:val="center"/>
          </w:tcPr>
          <w:p w14:paraId="2C2446A5">
            <w:pPr>
              <w:jc w:val="right"/>
            </w:pPr>
            <w:r>
              <w:rPr>
                <w:rFonts w:hint="eastAsia"/>
              </w:rPr>
              <w:t>-</w:t>
            </w:r>
          </w:p>
        </w:tc>
        <w:tc>
          <w:tcPr>
            <w:tcW w:w="2436" w:type="dxa"/>
            <w:vAlign w:val="center"/>
          </w:tcPr>
          <w:p w14:paraId="11C0E689">
            <w:pPr>
              <w:jc w:val="right"/>
            </w:pPr>
            <w:r>
              <w:rPr>
                <w:rFonts w:hint="eastAsia"/>
              </w:rPr>
              <w:t>-</w:t>
            </w:r>
          </w:p>
        </w:tc>
      </w:tr>
      <w:tr w14:paraId="2B6E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73B612">
            <w:r>
              <w:rPr>
                <w:rFonts w:hint="eastAsia"/>
              </w:rPr>
              <w:t>I</w:t>
            </w:r>
          </w:p>
        </w:tc>
        <w:tc>
          <w:tcPr>
            <w:tcW w:w="3510" w:type="dxa"/>
            <w:vAlign w:val="center"/>
          </w:tcPr>
          <w:p w14:paraId="0E17FCB2">
            <w:r>
              <w:rPr>
                <w:rFonts w:hint="eastAsia"/>
              </w:rPr>
              <w:t>信息传输、软件和信息技术服务业</w:t>
            </w:r>
          </w:p>
        </w:tc>
        <w:tc>
          <w:tcPr>
            <w:tcW w:w="1727" w:type="dxa"/>
            <w:vAlign w:val="center"/>
          </w:tcPr>
          <w:p w14:paraId="506BBC38">
            <w:pPr>
              <w:jc w:val="right"/>
            </w:pPr>
            <w:r>
              <w:rPr>
                <w:rFonts w:hint="eastAsia"/>
              </w:rPr>
              <w:t>16,834,816.81</w:t>
            </w:r>
          </w:p>
        </w:tc>
        <w:tc>
          <w:tcPr>
            <w:tcW w:w="2436" w:type="dxa"/>
            <w:vAlign w:val="center"/>
          </w:tcPr>
          <w:p w14:paraId="5A9E3F64">
            <w:pPr>
              <w:jc w:val="right"/>
            </w:pPr>
            <w:r>
              <w:rPr>
                <w:rFonts w:hint="eastAsia"/>
              </w:rPr>
              <w:t>0.52</w:t>
            </w:r>
          </w:p>
        </w:tc>
      </w:tr>
      <w:tr w14:paraId="19C6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2D8263">
            <w:r>
              <w:rPr>
                <w:rFonts w:hint="eastAsia"/>
              </w:rPr>
              <w:t>J</w:t>
            </w:r>
          </w:p>
        </w:tc>
        <w:tc>
          <w:tcPr>
            <w:tcW w:w="3510" w:type="dxa"/>
            <w:vAlign w:val="center"/>
          </w:tcPr>
          <w:p w14:paraId="18581E93">
            <w:r>
              <w:rPr>
                <w:rFonts w:hint="eastAsia"/>
              </w:rPr>
              <w:t>金融业</w:t>
            </w:r>
          </w:p>
        </w:tc>
        <w:tc>
          <w:tcPr>
            <w:tcW w:w="1727" w:type="dxa"/>
            <w:vAlign w:val="center"/>
          </w:tcPr>
          <w:p w14:paraId="0BFFDE91">
            <w:pPr>
              <w:jc w:val="right"/>
            </w:pPr>
            <w:r>
              <w:rPr>
                <w:rFonts w:hint="eastAsia"/>
              </w:rPr>
              <w:t>51,489,200.60</w:t>
            </w:r>
          </w:p>
        </w:tc>
        <w:tc>
          <w:tcPr>
            <w:tcW w:w="2436" w:type="dxa"/>
            <w:vAlign w:val="center"/>
          </w:tcPr>
          <w:p w14:paraId="205E6D10">
            <w:pPr>
              <w:jc w:val="right"/>
            </w:pPr>
            <w:r>
              <w:rPr>
                <w:rFonts w:hint="eastAsia"/>
              </w:rPr>
              <w:t>1.60</w:t>
            </w:r>
          </w:p>
        </w:tc>
      </w:tr>
      <w:tr w14:paraId="09AD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812D88">
            <w:r>
              <w:rPr>
                <w:rFonts w:hint="eastAsia"/>
              </w:rPr>
              <w:t>K</w:t>
            </w:r>
          </w:p>
        </w:tc>
        <w:tc>
          <w:tcPr>
            <w:tcW w:w="3510" w:type="dxa"/>
            <w:vAlign w:val="center"/>
          </w:tcPr>
          <w:p w14:paraId="0A094713">
            <w:r>
              <w:rPr>
                <w:rFonts w:hint="eastAsia"/>
              </w:rPr>
              <w:t>房地产业</w:t>
            </w:r>
          </w:p>
        </w:tc>
        <w:tc>
          <w:tcPr>
            <w:tcW w:w="1727" w:type="dxa"/>
            <w:vAlign w:val="center"/>
          </w:tcPr>
          <w:p w14:paraId="168F32CC">
            <w:pPr>
              <w:jc w:val="right"/>
            </w:pPr>
            <w:r>
              <w:rPr>
                <w:rFonts w:hint="eastAsia"/>
              </w:rPr>
              <w:t>-</w:t>
            </w:r>
          </w:p>
        </w:tc>
        <w:tc>
          <w:tcPr>
            <w:tcW w:w="2436" w:type="dxa"/>
            <w:vAlign w:val="center"/>
          </w:tcPr>
          <w:p w14:paraId="2D737BC0">
            <w:pPr>
              <w:jc w:val="right"/>
            </w:pPr>
            <w:r>
              <w:rPr>
                <w:rFonts w:hint="eastAsia"/>
              </w:rPr>
              <w:t>-</w:t>
            </w:r>
          </w:p>
        </w:tc>
      </w:tr>
      <w:tr w14:paraId="5944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73AEB5">
            <w:r>
              <w:rPr>
                <w:rFonts w:hint="eastAsia"/>
              </w:rPr>
              <w:t>L</w:t>
            </w:r>
          </w:p>
        </w:tc>
        <w:tc>
          <w:tcPr>
            <w:tcW w:w="3510" w:type="dxa"/>
            <w:vAlign w:val="center"/>
          </w:tcPr>
          <w:p w14:paraId="20EF61FF">
            <w:r>
              <w:rPr>
                <w:rFonts w:hint="eastAsia"/>
              </w:rPr>
              <w:t>租赁和商务服务业</w:t>
            </w:r>
          </w:p>
        </w:tc>
        <w:tc>
          <w:tcPr>
            <w:tcW w:w="1727" w:type="dxa"/>
            <w:vAlign w:val="center"/>
          </w:tcPr>
          <w:p w14:paraId="76467D8D">
            <w:pPr>
              <w:jc w:val="right"/>
            </w:pPr>
            <w:r>
              <w:rPr>
                <w:rFonts w:hint="eastAsia"/>
              </w:rPr>
              <w:t>14,250,337.25</w:t>
            </w:r>
          </w:p>
        </w:tc>
        <w:tc>
          <w:tcPr>
            <w:tcW w:w="2436" w:type="dxa"/>
            <w:vAlign w:val="center"/>
          </w:tcPr>
          <w:p w14:paraId="64B11BD0">
            <w:pPr>
              <w:jc w:val="right"/>
            </w:pPr>
            <w:r>
              <w:rPr>
                <w:rFonts w:hint="eastAsia"/>
              </w:rPr>
              <w:t>0.44</w:t>
            </w:r>
          </w:p>
        </w:tc>
      </w:tr>
      <w:tr w14:paraId="44D3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ABB16C">
            <w:r>
              <w:rPr>
                <w:rFonts w:hint="eastAsia"/>
              </w:rPr>
              <w:t>M</w:t>
            </w:r>
          </w:p>
        </w:tc>
        <w:tc>
          <w:tcPr>
            <w:tcW w:w="3510" w:type="dxa"/>
            <w:vAlign w:val="center"/>
          </w:tcPr>
          <w:p w14:paraId="79B61C20">
            <w:r>
              <w:rPr>
                <w:rFonts w:hint="eastAsia"/>
              </w:rPr>
              <w:t>科学研究和技术服务业</w:t>
            </w:r>
          </w:p>
        </w:tc>
        <w:tc>
          <w:tcPr>
            <w:tcW w:w="1727" w:type="dxa"/>
            <w:vAlign w:val="center"/>
          </w:tcPr>
          <w:p w14:paraId="1BC5FF5B">
            <w:pPr>
              <w:jc w:val="right"/>
            </w:pPr>
            <w:r>
              <w:rPr>
                <w:rFonts w:hint="eastAsia"/>
              </w:rPr>
              <w:t>-</w:t>
            </w:r>
          </w:p>
        </w:tc>
        <w:tc>
          <w:tcPr>
            <w:tcW w:w="2436" w:type="dxa"/>
            <w:vAlign w:val="center"/>
          </w:tcPr>
          <w:p w14:paraId="37A963DC">
            <w:pPr>
              <w:jc w:val="right"/>
            </w:pPr>
            <w:r>
              <w:rPr>
                <w:rFonts w:hint="eastAsia"/>
              </w:rPr>
              <w:t>-</w:t>
            </w:r>
          </w:p>
        </w:tc>
      </w:tr>
      <w:tr w14:paraId="7AC9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B26667">
            <w:r>
              <w:rPr>
                <w:rFonts w:hint="eastAsia"/>
              </w:rPr>
              <w:t>N</w:t>
            </w:r>
          </w:p>
        </w:tc>
        <w:tc>
          <w:tcPr>
            <w:tcW w:w="3510" w:type="dxa"/>
            <w:vAlign w:val="center"/>
          </w:tcPr>
          <w:p w14:paraId="1D913B94">
            <w:r>
              <w:rPr>
                <w:rFonts w:hint="eastAsia"/>
              </w:rPr>
              <w:t>水利、环境和公共设施管理业</w:t>
            </w:r>
          </w:p>
        </w:tc>
        <w:tc>
          <w:tcPr>
            <w:tcW w:w="1727" w:type="dxa"/>
            <w:vAlign w:val="center"/>
          </w:tcPr>
          <w:p w14:paraId="4EA4780F">
            <w:pPr>
              <w:jc w:val="right"/>
            </w:pPr>
            <w:r>
              <w:rPr>
                <w:rFonts w:hint="eastAsia"/>
              </w:rPr>
              <w:t>-</w:t>
            </w:r>
          </w:p>
        </w:tc>
        <w:tc>
          <w:tcPr>
            <w:tcW w:w="2436" w:type="dxa"/>
            <w:vAlign w:val="center"/>
          </w:tcPr>
          <w:p w14:paraId="40A88A4D">
            <w:pPr>
              <w:jc w:val="right"/>
            </w:pPr>
            <w:r>
              <w:rPr>
                <w:rFonts w:hint="eastAsia"/>
              </w:rPr>
              <w:t>-</w:t>
            </w:r>
          </w:p>
        </w:tc>
      </w:tr>
      <w:tr w14:paraId="6A27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846CF8">
            <w:r>
              <w:rPr>
                <w:rFonts w:hint="eastAsia"/>
              </w:rPr>
              <w:t>O</w:t>
            </w:r>
          </w:p>
        </w:tc>
        <w:tc>
          <w:tcPr>
            <w:tcW w:w="3510" w:type="dxa"/>
            <w:vAlign w:val="center"/>
          </w:tcPr>
          <w:p w14:paraId="41601244">
            <w:r>
              <w:rPr>
                <w:rFonts w:hint="eastAsia"/>
              </w:rPr>
              <w:t>居民服务、修理和其他服务业</w:t>
            </w:r>
          </w:p>
        </w:tc>
        <w:tc>
          <w:tcPr>
            <w:tcW w:w="1727" w:type="dxa"/>
            <w:vAlign w:val="center"/>
          </w:tcPr>
          <w:p w14:paraId="178930D7">
            <w:pPr>
              <w:jc w:val="right"/>
            </w:pPr>
            <w:r>
              <w:rPr>
                <w:rFonts w:hint="eastAsia"/>
              </w:rPr>
              <w:t>-</w:t>
            </w:r>
          </w:p>
        </w:tc>
        <w:tc>
          <w:tcPr>
            <w:tcW w:w="2436" w:type="dxa"/>
            <w:vAlign w:val="center"/>
          </w:tcPr>
          <w:p w14:paraId="5B4EADF9">
            <w:pPr>
              <w:jc w:val="right"/>
            </w:pPr>
            <w:r>
              <w:rPr>
                <w:rFonts w:hint="eastAsia"/>
              </w:rPr>
              <w:t>-</w:t>
            </w:r>
          </w:p>
        </w:tc>
      </w:tr>
      <w:tr w14:paraId="452F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28F39D">
            <w:r>
              <w:rPr>
                <w:rFonts w:hint="eastAsia"/>
              </w:rPr>
              <w:t>P</w:t>
            </w:r>
          </w:p>
        </w:tc>
        <w:tc>
          <w:tcPr>
            <w:tcW w:w="3510" w:type="dxa"/>
            <w:vAlign w:val="center"/>
          </w:tcPr>
          <w:p w14:paraId="5A0EADDA">
            <w:r>
              <w:rPr>
                <w:rFonts w:hint="eastAsia"/>
              </w:rPr>
              <w:t>教育</w:t>
            </w:r>
          </w:p>
        </w:tc>
        <w:tc>
          <w:tcPr>
            <w:tcW w:w="1727" w:type="dxa"/>
            <w:vAlign w:val="center"/>
          </w:tcPr>
          <w:p w14:paraId="42F1C04D">
            <w:pPr>
              <w:jc w:val="right"/>
            </w:pPr>
            <w:r>
              <w:rPr>
                <w:rFonts w:hint="eastAsia"/>
              </w:rPr>
              <w:t>-</w:t>
            </w:r>
          </w:p>
        </w:tc>
        <w:tc>
          <w:tcPr>
            <w:tcW w:w="2436" w:type="dxa"/>
            <w:vAlign w:val="center"/>
          </w:tcPr>
          <w:p w14:paraId="1EA990FC">
            <w:pPr>
              <w:jc w:val="right"/>
            </w:pPr>
            <w:r>
              <w:rPr>
                <w:rFonts w:hint="eastAsia"/>
              </w:rPr>
              <w:t>-</w:t>
            </w:r>
          </w:p>
        </w:tc>
      </w:tr>
      <w:tr w14:paraId="12FB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5D4288">
            <w:r>
              <w:rPr>
                <w:rFonts w:hint="eastAsia"/>
              </w:rPr>
              <w:t>Q</w:t>
            </w:r>
          </w:p>
        </w:tc>
        <w:tc>
          <w:tcPr>
            <w:tcW w:w="3510" w:type="dxa"/>
            <w:vAlign w:val="center"/>
          </w:tcPr>
          <w:p w14:paraId="3F262F64">
            <w:r>
              <w:rPr>
                <w:rFonts w:hint="eastAsia"/>
              </w:rPr>
              <w:t>卫生和社会工作</w:t>
            </w:r>
          </w:p>
        </w:tc>
        <w:tc>
          <w:tcPr>
            <w:tcW w:w="1727" w:type="dxa"/>
            <w:vAlign w:val="center"/>
          </w:tcPr>
          <w:p w14:paraId="452542A7">
            <w:pPr>
              <w:jc w:val="right"/>
            </w:pPr>
            <w:r>
              <w:rPr>
                <w:rFonts w:hint="eastAsia"/>
              </w:rPr>
              <w:t>-</w:t>
            </w:r>
          </w:p>
        </w:tc>
        <w:tc>
          <w:tcPr>
            <w:tcW w:w="2436" w:type="dxa"/>
            <w:vAlign w:val="center"/>
          </w:tcPr>
          <w:p w14:paraId="0983C84C">
            <w:pPr>
              <w:jc w:val="right"/>
            </w:pPr>
            <w:r>
              <w:rPr>
                <w:rFonts w:hint="eastAsia"/>
              </w:rPr>
              <w:t>-</w:t>
            </w:r>
          </w:p>
        </w:tc>
      </w:tr>
      <w:tr w14:paraId="29F6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3A8883">
            <w:r>
              <w:rPr>
                <w:rFonts w:hint="eastAsia"/>
              </w:rPr>
              <w:t>R</w:t>
            </w:r>
          </w:p>
        </w:tc>
        <w:tc>
          <w:tcPr>
            <w:tcW w:w="3510" w:type="dxa"/>
            <w:vAlign w:val="center"/>
          </w:tcPr>
          <w:p w14:paraId="023B7A7B">
            <w:r>
              <w:rPr>
                <w:rFonts w:hint="eastAsia"/>
              </w:rPr>
              <w:t>文化、体育和娱乐业</w:t>
            </w:r>
          </w:p>
        </w:tc>
        <w:tc>
          <w:tcPr>
            <w:tcW w:w="1727" w:type="dxa"/>
            <w:vAlign w:val="center"/>
          </w:tcPr>
          <w:p w14:paraId="0DBA2001">
            <w:pPr>
              <w:jc w:val="right"/>
            </w:pPr>
            <w:r>
              <w:rPr>
                <w:rFonts w:hint="eastAsia"/>
              </w:rPr>
              <w:t>-</w:t>
            </w:r>
          </w:p>
        </w:tc>
        <w:tc>
          <w:tcPr>
            <w:tcW w:w="2436" w:type="dxa"/>
            <w:vAlign w:val="center"/>
          </w:tcPr>
          <w:p w14:paraId="2D74B918">
            <w:pPr>
              <w:jc w:val="right"/>
            </w:pPr>
            <w:r>
              <w:rPr>
                <w:rFonts w:hint="eastAsia"/>
              </w:rPr>
              <w:t>-</w:t>
            </w:r>
          </w:p>
        </w:tc>
      </w:tr>
      <w:tr w14:paraId="3EE2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3464D1">
            <w:r>
              <w:rPr>
                <w:rFonts w:hint="eastAsia"/>
              </w:rPr>
              <w:t>S</w:t>
            </w:r>
          </w:p>
        </w:tc>
        <w:tc>
          <w:tcPr>
            <w:tcW w:w="3510" w:type="dxa"/>
            <w:vAlign w:val="center"/>
          </w:tcPr>
          <w:p w14:paraId="662000E5">
            <w:r>
              <w:rPr>
                <w:rFonts w:hint="eastAsia"/>
              </w:rPr>
              <w:t>综合</w:t>
            </w:r>
          </w:p>
        </w:tc>
        <w:tc>
          <w:tcPr>
            <w:tcW w:w="1727" w:type="dxa"/>
            <w:vAlign w:val="center"/>
          </w:tcPr>
          <w:p w14:paraId="6FC69F76">
            <w:pPr>
              <w:jc w:val="right"/>
            </w:pPr>
            <w:r>
              <w:rPr>
                <w:rFonts w:hint="eastAsia"/>
              </w:rPr>
              <w:t>-</w:t>
            </w:r>
          </w:p>
        </w:tc>
        <w:tc>
          <w:tcPr>
            <w:tcW w:w="2436" w:type="dxa"/>
            <w:vAlign w:val="center"/>
          </w:tcPr>
          <w:p w14:paraId="40E20828">
            <w:pPr>
              <w:jc w:val="right"/>
            </w:pPr>
            <w:r>
              <w:rPr>
                <w:rFonts w:hint="eastAsia"/>
              </w:rPr>
              <w:t>-</w:t>
            </w:r>
          </w:p>
        </w:tc>
      </w:tr>
      <w:tr w14:paraId="220C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4BB38A"/>
        </w:tc>
        <w:tc>
          <w:tcPr>
            <w:tcW w:w="3510" w:type="dxa"/>
            <w:vAlign w:val="center"/>
          </w:tcPr>
          <w:p w14:paraId="746ECED0">
            <w:r>
              <w:rPr>
                <w:rFonts w:hint="eastAsia"/>
              </w:rPr>
              <w:t>合计</w:t>
            </w:r>
          </w:p>
        </w:tc>
        <w:tc>
          <w:tcPr>
            <w:tcW w:w="1727" w:type="dxa"/>
            <w:vAlign w:val="center"/>
          </w:tcPr>
          <w:p w14:paraId="0E72FBBB">
            <w:pPr>
              <w:jc w:val="right"/>
            </w:pPr>
            <w:r>
              <w:rPr>
                <w:rFonts w:hint="eastAsia"/>
              </w:rPr>
              <w:t>491,388,936.92</w:t>
            </w:r>
          </w:p>
        </w:tc>
        <w:tc>
          <w:tcPr>
            <w:tcW w:w="2436" w:type="dxa"/>
            <w:vAlign w:val="center"/>
          </w:tcPr>
          <w:p w14:paraId="604222C0">
            <w:pPr>
              <w:jc w:val="right"/>
            </w:pPr>
            <w:r>
              <w:rPr>
                <w:rFonts w:hint="eastAsia"/>
              </w:rPr>
              <w:t>15.30</w:t>
            </w:r>
          </w:p>
        </w:tc>
      </w:tr>
    </w:tbl>
    <w:p w14:paraId="757B960B">
      <w:pPr>
        <w:pStyle w:val="28"/>
      </w:pPr>
      <w:bookmarkStart w:id="166" w:name="_Toc166"/>
      <w:r>
        <w:t>报告期末按行业分类的港股通投资股票投资组合</w:t>
      </w:r>
      <w:bookmarkEnd w:id="166"/>
    </w:p>
    <w:p w14:paraId="2B35F5E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5B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E81846">
            <w:pPr>
              <w:jc w:val="center"/>
            </w:pPr>
            <w:r>
              <w:rPr>
                <w:rFonts w:hint="eastAsia"/>
                <w:b/>
              </w:rPr>
              <w:t>行业类别</w:t>
            </w:r>
          </w:p>
        </w:tc>
        <w:tc>
          <w:tcPr>
            <w:tcW w:w="2768" w:type="dxa"/>
            <w:shd w:val="clear" w:color="auto" w:fill="BFBFBF"/>
            <w:vAlign w:val="center"/>
          </w:tcPr>
          <w:p w14:paraId="5C4FDD3A">
            <w:pPr>
              <w:jc w:val="center"/>
            </w:pPr>
            <w:r>
              <w:rPr>
                <w:rFonts w:hint="eastAsia"/>
                <w:b/>
              </w:rPr>
              <w:t>公允价值（人民币）</w:t>
            </w:r>
          </w:p>
        </w:tc>
        <w:tc>
          <w:tcPr>
            <w:tcW w:w="2768" w:type="dxa"/>
            <w:shd w:val="clear" w:color="auto" w:fill="BFBFBF"/>
            <w:vAlign w:val="center"/>
          </w:tcPr>
          <w:p w14:paraId="0028BCE9">
            <w:pPr>
              <w:jc w:val="center"/>
            </w:pPr>
            <w:r>
              <w:rPr>
                <w:rFonts w:hint="eastAsia"/>
                <w:b/>
              </w:rPr>
              <w:t>占基金资产净值比例（%）</w:t>
            </w:r>
          </w:p>
        </w:tc>
      </w:tr>
      <w:tr w14:paraId="4F60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C91A7">
            <w:r>
              <w:rPr>
                <w:rFonts w:hint="eastAsia"/>
              </w:rPr>
              <w:t>能源</w:t>
            </w:r>
          </w:p>
        </w:tc>
        <w:tc>
          <w:tcPr>
            <w:tcW w:w="2768" w:type="dxa"/>
            <w:vAlign w:val="center"/>
          </w:tcPr>
          <w:p w14:paraId="7A596C73">
            <w:pPr>
              <w:jc w:val="right"/>
            </w:pPr>
            <w:r>
              <w:rPr>
                <w:rFonts w:hint="eastAsia"/>
              </w:rPr>
              <w:t>-</w:t>
            </w:r>
          </w:p>
        </w:tc>
        <w:tc>
          <w:tcPr>
            <w:tcW w:w="2768" w:type="dxa"/>
            <w:vAlign w:val="center"/>
          </w:tcPr>
          <w:p w14:paraId="314EF7A2">
            <w:pPr>
              <w:jc w:val="right"/>
            </w:pPr>
            <w:r>
              <w:rPr>
                <w:rFonts w:hint="eastAsia"/>
              </w:rPr>
              <w:t>-</w:t>
            </w:r>
          </w:p>
        </w:tc>
      </w:tr>
      <w:tr w14:paraId="3A6E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DF0F1">
            <w:r>
              <w:rPr>
                <w:rFonts w:hint="eastAsia"/>
              </w:rPr>
              <w:t>材料</w:t>
            </w:r>
          </w:p>
        </w:tc>
        <w:tc>
          <w:tcPr>
            <w:tcW w:w="2768" w:type="dxa"/>
            <w:vAlign w:val="center"/>
          </w:tcPr>
          <w:p w14:paraId="381BE7EC">
            <w:pPr>
              <w:jc w:val="right"/>
            </w:pPr>
            <w:r>
              <w:rPr>
                <w:rFonts w:hint="eastAsia"/>
              </w:rPr>
              <w:t>-</w:t>
            </w:r>
          </w:p>
        </w:tc>
        <w:tc>
          <w:tcPr>
            <w:tcW w:w="2768" w:type="dxa"/>
            <w:vAlign w:val="center"/>
          </w:tcPr>
          <w:p w14:paraId="371019C4">
            <w:pPr>
              <w:jc w:val="right"/>
            </w:pPr>
            <w:r>
              <w:rPr>
                <w:rFonts w:hint="eastAsia"/>
              </w:rPr>
              <w:t>-</w:t>
            </w:r>
          </w:p>
        </w:tc>
      </w:tr>
      <w:tr w14:paraId="5F87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39C00A">
            <w:r>
              <w:rPr>
                <w:rFonts w:hint="eastAsia"/>
              </w:rPr>
              <w:t>工业</w:t>
            </w:r>
          </w:p>
        </w:tc>
        <w:tc>
          <w:tcPr>
            <w:tcW w:w="2768" w:type="dxa"/>
            <w:vAlign w:val="center"/>
          </w:tcPr>
          <w:p w14:paraId="2221A41E">
            <w:pPr>
              <w:jc w:val="right"/>
            </w:pPr>
            <w:r>
              <w:rPr>
                <w:rFonts w:hint="eastAsia"/>
              </w:rPr>
              <w:t>-</w:t>
            </w:r>
          </w:p>
        </w:tc>
        <w:tc>
          <w:tcPr>
            <w:tcW w:w="2768" w:type="dxa"/>
            <w:vAlign w:val="center"/>
          </w:tcPr>
          <w:p w14:paraId="690F6264">
            <w:pPr>
              <w:jc w:val="right"/>
            </w:pPr>
            <w:r>
              <w:rPr>
                <w:rFonts w:hint="eastAsia"/>
              </w:rPr>
              <w:t>-</w:t>
            </w:r>
          </w:p>
        </w:tc>
      </w:tr>
      <w:tr w14:paraId="6FAC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CDB7A">
            <w:r>
              <w:rPr>
                <w:rFonts w:hint="eastAsia"/>
              </w:rPr>
              <w:t>非必需消费品</w:t>
            </w:r>
          </w:p>
        </w:tc>
        <w:tc>
          <w:tcPr>
            <w:tcW w:w="2768" w:type="dxa"/>
            <w:vAlign w:val="center"/>
          </w:tcPr>
          <w:p w14:paraId="774B6C56">
            <w:pPr>
              <w:jc w:val="right"/>
            </w:pPr>
            <w:r>
              <w:rPr>
                <w:rFonts w:hint="eastAsia"/>
              </w:rPr>
              <w:t>14,677,903.06</w:t>
            </w:r>
          </w:p>
        </w:tc>
        <w:tc>
          <w:tcPr>
            <w:tcW w:w="2768" w:type="dxa"/>
            <w:vAlign w:val="center"/>
          </w:tcPr>
          <w:p w14:paraId="7B48190B">
            <w:pPr>
              <w:jc w:val="right"/>
            </w:pPr>
            <w:r>
              <w:rPr>
                <w:rFonts w:hint="eastAsia"/>
              </w:rPr>
              <w:t>0.46</w:t>
            </w:r>
          </w:p>
        </w:tc>
      </w:tr>
      <w:tr w14:paraId="744F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791606">
            <w:r>
              <w:rPr>
                <w:rFonts w:hint="eastAsia"/>
              </w:rPr>
              <w:t>必需消费品</w:t>
            </w:r>
          </w:p>
        </w:tc>
        <w:tc>
          <w:tcPr>
            <w:tcW w:w="2768" w:type="dxa"/>
            <w:vAlign w:val="center"/>
          </w:tcPr>
          <w:p w14:paraId="2FCA2012">
            <w:pPr>
              <w:jc w:val="right"/>
            </w:pPr>
            <w:r>
              <w:rPr>
                <w:rFonts w:hint="eastAsia"/>
              </w:rPr>
              <w:t>-</w:t>
            </w:r>
          </w:p>
        </w:tc>
        <w:tc>
          <w:tcPr>
            <w:tcW w:w="2768" w:type="dxa"/>
            <w:vAlign w:val="center"/>
          </w:tcPr>
          <w:p w14:paraId="3E432B04">
            <w:pPr>
              <w:jc w:val="right"/>
            </w:pPr>
            <w:r>
              <w:rPr>
                <w:rFonts w:hint="eastAsia"/>
              </w:rPr>
              <w:t>-</w:t>
            </w:r>
          </w:p>
        </w:tc>
      </w:tr>
      <w:tr w14:paraId="431B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D5D81">
            <w:r>
              <w:rPr>
                <w:rFonts w:hint="eastAsia"/>
              </w:rPr>
              <w:t>医疗保健</w:t>
            </w:r>
          </w:p>
        </w:tc>
        <w:tc>
          <w:tcPr>
            <w:tcW w:w="2768" w:type="dxa"/>
            <w:vAlign w:val="center"/>
          </w:tcPr>
          <w:p w14:paraId="612A0274">
            <w:pPr>
              <w:jc w:val="right"/>
            </w:pPr>
            <w:r>
              <w:rPr>
                <w:rFonts w:hint="eastAsia"/>
              </w:rPr>
              <w:t>31,768,812.55</w:t>
            </w:r>
          </w:p>
        </w:tc>
        <w:tc>
          <w:tcPr>
            <w:tcW w:w="2768" w:type="dxa"/>
            <w:vAlign w:val="center"/>
          </w:tcPr>
          <w:p w14:paraId="72AFEB6D">
            <w:pPr>
              <w:jc w:val="right"/>
            </w:pPr>
            <w:r>
              <w:rPr>
                <w:rFonts w:hint="eastAsia"/>
              </w:rPr>
              <w:t>0.99</w:t>
            </w:r>
          </w:p>
        </w:tc>
      </w:tr>
      <w:tr w14:paraId="5075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C0AF2">
            <w:r>
              <w:rPr>
                <w:rFonts w:hint="eastAsia"/>
              </w:rPr>
              <w:t>金融</w:t>
            </w:r>
          </w:p>
        </w:tc>
        <w:tc>
          <w:tcPr>
            <w:tcW w:w="2768" w:type="dxa"/>
            <w:vAlign w:val="center"/>
          </w:tcPr>
          <w:p w14:paraId="5CE00DD8">
            <w:pPr>
              <w:jc w:val="right"/>
            </w:pPr>
            <w:r>
              <w:rPr>
                <w:rFonts w:hint="eastAsia"/>
              </w:rPr>
              <w:t>-</w:t>
            </w:r>
          </w:p>
        </w:tc>
        <w:tc>
          <w:tcPr>
            <w:tcW w:w="2768" w:type="dxa"/>
            <w:vAlign w:val="center"/>
          </w:tcPr>
          <w:p w14:paraId="428176A7">
            <w:pPr>
              <w:jc w:val="right"/>
            </w:pPr>
            <w:r>
              <w:rPr>
                <w:rFonts w:hint="eastAsia"/>
              </w:rPr>
              <w:t>-</w:t>
            </w:r>
          </w:p>
        </w:tc>
      </w:tr>
      <w:tr w14:paraId="1CE6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62CB7">
            <w:r>
              <w:rPr>
                <w:rFonts w:hint="eastAsia"/>
              </w:rPr>
              <w:t>科技</w:t>
            </w:r>
          </w:p>
        </w:tc>
        <w:tc>
          <w:tcPr>
            <w:tcW w:w="2768" w:type="dxa"/>
            <w:vAlign w:val="center"/>
          </w:tcPr>
          <w:p w14:paraId="36A6823B">
            <w:pPr>
              <w:jc w:val="right"/>
            </w:pPr>
            <w:r>
              <w:rPr>
                <w:rFonts w:hint="eastAsia"/>
              </w:rPr>
              <w:t>69,120,837.07</w:t>
            </w:r>
          </w:p>
        </w:tc>
        <w:tc>
          <w:tcPr>
            <w:tcW w:w="2768" w:type="dxa"/>
            <w:vAlign w:val="center"/>
          </w:tcPr>
          <w:p w14:paraId="1965632B">
            <w:pPr>
              <w:jc w:val="right"/>
            </w:pPr>
            <w:r>
              <w:rPr>
                <w:rFonts w:hint="eastAsia"/>
              </w:rPr>
              <w:t>2.15</w:t>
            </w:r>
          </w:p>
        </w:tc>
      </w:tr>
      <w:tr w14:paraId="3B16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8AD2C">
            <w:r>
              <w:rPr>
                <w:rFonts w:hint="eastAsia"/>
              </w:rPr>
              <w:t>通讯</w:t>
            </w:r>
          </w:p>
        </w:tc>
        <w:tc>
          <w:tcPr>
            <w:tcW w:w="2768" w:type="dxa"/>
            <w:vAlign w:val="center"/>
          </w:tcPr>
          <w:p w14:paraId="66DC660D">
            <w:pPr>
              <w:jc w:val="right"/>
            </w:pPr>
            <w:r>
              <w:rPr>
                <w:rFonts w:hint="eastAsia"/>
              </w:rPr>
              <w:t>18,719,595.79</w:t>
            </w:r>
          </w:p>
        </w:tc>
        <w:tc>
          <w:tcPr>
            <w:tcW w:w="2768" w:type="dxa"/>
            <w:vAlign w:val="center"/>
          </w:tcPr>
          <w:p w14:paraId="16C6EB6B">
            <w:pPr>
              <w:jc w:val="right"/>
            </w:pPr>
            <w:r>
              <w:rPr>
                <w:rFonts w:hint="eastAsia"/>
              </w:rPr>
              <w:t>0.58</w:t>
            </w:r>
          </w:p>
        </w:tc>
      </w:tr>
      <w:tr w14:paraId="3E6C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35ED0">
            <w:r>
              <w:rPr>
                <w:rFonts w:hint="eastAsia"/>
              </w:rPr>
              <w:t>公用事业</w:t>
            </w:r>
          </w:p>
        </w:tc>
        <w:tc>
          <w:tcPr>
            <w:tcW w:w="2768" w:type="dxa"/>
            <w:vAlign w:val="center"/>
          </w:tcPr>
          <w:p w14:paraId="76B0B283">
            <w:pPr>
              <w:jc w:val="right"/>
            </w:pPr>
            <w:r>
              <w:rPr>
                <w:rFonts w:hint="eastAsia"/>
              </w:rPr>
              <w:t>-</w:t>
            </w:r>
          </w:p>
        </w:tc>
        <w:tc>
          <w:tcPr>
            <w:tcW w:w="2768" w:type="dxa"/>
            <w:vAlign w:val="center"/>
          </w:tcPr>
          <w:p w14:paraId="42800A69">
            <w:pPr>
              <w:jc w:val="right"/>
            </w:pPr>
            <w:r>
              <w:rPr>
                <w:rFonts w:hint="eastAsia"/>
              </w:rPr>
              <w:t>-</w:t>
            </w:r>
          </w:p>
        </w:tc>
      </w:tr>
      <w:tr w14:paraId="32A6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C04A8">
            <w:r>
              <w:rPr>
                <w:rFonts w:hint="eastAsia"/>
              </w:rPr>
              <w:t>房地产</w:t>
            </w:r>
          </w:p>
        </w:tc>
        <w:tc>
          <w:tcPr>
            <w:tcW w:w="2768" w:type="dxa"/>
            <w:vAlign w:val="center"/>
          </w:tcPr>
          <w:p w14:paraId="178CE8CB">
            <w:pPr>
              <w:jc w:val="right"/>
            </w:pPr>
            <w:r>
              <w:rPr>
                <w:rFonts w:hint="eastAsia"/>
              </w:rPr>
              <w:t>-</w:t>
            </w:r>
          </w:p>
        </w:tc>
        <w:tc>
          <w:tcPr>
            <w:tcW w:w="2768" w:type="dxa"/>
            <w:vAlign w:val="center"/>
          </w:tcPr>
          <w:p w14:paraId="4EA88DC2">
            <w:pPr>
              <w:jc w:val="right"/>
            </w:pPr>
            <w:r>
              <w:rPr>
                <w:rFonts w:hint="eastAsia"/>
              </w:rPr>
              <w:t>-</w:t>
            </w:r>
          </w:p>
        </w:tc>
      </w:tr>
      <w:tr w14:paraId="4D51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1C029C">
            <w:r>
              <w:rPr>
                <w:rFonts w:hint="eastAsia"/>
              </w:rPr>
              <w:t>政府</w:t>
            </w:r>
          </w:p>
        </w:tc>
        <w:tc>
          <w:tcPr>
            <w:tcW w:w="2768" w:type="dxa"/>
            <w:vAlign w:val="center"/>
          </w:tcPr>
          <w:p w14:paraId="33070287">
            <w:pPr>
              <w:jc w:val="right"/>
            </w:pPr>
            <w:r>
              <w:rPr>
                <w:rFonts w:hint="eastAsia"/>
              </w:rPr>
              <w:t>-</w:t>
            </w:r>
          </w:p>
        </w:tc>
        <w:tc>
          <w:tcPr>
            <w:tcW w:w="2768" w:type="dxa"/>
            <w:vAlign w:val="center"/>
          </w:tcPr>
          <w:p w14:paraId="27FC0AD0">
            <w:pPr>
              <w:jc w:val="right"/>
            </w:pPr>
            <w:r>
              <w:rPr>
                <w:rFonts w:hint="eastAsia"/>
              </w:rPr>
              <w:t>-</w:t>
            </w:r>
          </w:p>
        </w:tc>
      </w:tr>
      <w:tr w14:paraId="18D6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10CCFC">
            <w:r>
              <w:rPr>
                <w:rFonts w:hint="eastAsia"/>
              </w:rPr>
              <w:t>合计</w:t>
            </w:r>
          </w:p>
        </w:tc>
        <w:tc>
          <w:tcPr>
            <w:tcW w:w="2768" w:type="dxa"/>
            <w:vAlign w:val="center"/>
          </w:tcPr>
          <w:p w14:paraId="1237C9BC">
            <w:pPr>
              <w:jc w:val="right"/>
            </w:pPr>
            <w:r>
              <w:rPr>
                <w:rFonts w:hint="eastAsia"/>
              </w:rPr>
              <w:t>134,287,148.47</w:t>
            </w:r>
          </w:p>
        </w:tc>
        <w:tc>
          <w:tcPr>
            <w:tcW w:w="2768" w:type="dxa"/>
            <w:vAlign w:val="center"/>
          </w:tcPr>
          <w:p w14:paraId="10DB6822">
            <w:pPr>
              <w:jc w:val="right"/>
            </w:pPr>
            <w:r>
              <w:rPr>
                <w:rFonts w:hint="eastAsia"/>
              </w:rPr>
              <w:t>4.18</w:t>
            </w:r>
          </w:p>
        </w:tc>
      </w:tr>
    </w:tbl>
    <w:p w14:paraId="70DDBBBA">
      <w:pPr>
        <w:pStyle w:val="47"/>
        <w:rPr>
          <w:rFonts w:hint="eastAsia"/>
        </w:rPr>
      </w:pPr>
      <w:r>
        <w:rPr>
          <w:rFonts w:hint="eastAsia"/>
        </w:rPr>
        <w:t>注：以上分类采用彭博行业分类标准（BICS）。</w:t>
      </w:r>
    </w:p>
    <w:p w14:paraId="2E87FC52">
      <w:pPr>
        <w:pStyle w:val="23"/>
      </w:pPr>
      <w:bookmarkStart w:id="167" w:name="_Toc10296"/>
      <w:r>
        <w:t>期末按公允价值占基金资产净值比例大小排序的所有股票投资明细</w:t>
      </w:r>
      <w:bookmarkEnd w:id="167"/>
    </w:p>
    <w:p w14:paraId="5B72DA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1B1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C0DE37B">
            <w:pPr>
              <w:jc w:val="center"/>
            </w:pPr>
            <w:r>
              <w:rPr>
                <w:rFonts w:hint="eastAsia"/>
                <w:b/>
              </w:rPr>
              <w:t>序号</w:t>
            </w:r>
          </w:p>
        </w:tc>
        <w:tc>
          <w:tcPr>
            <w:tcW w:w="1384" w:type="dxa"/>
            <w:shd w:val="clear" w:color="auto" w:fill="BFBFBF"/>
            <w:vAlign w:val="center"/>
          </w:tcPr>
          <w:p w14:paraId="6F8CD7AA">
            <w:pPr>
              <w:jc w:val="center"/>
            </w:pPr>
            <w:r>
              <w:rPr>
                <w:rFonts w:hint="eastAsia"/>
                <w:b/>
              </w:rPr>
              <w:t>股票代码</w:t>
            </w:r>
          </w:p>
        </w:tc>
        <w:tc>
          <w:tcPr>
            <w:tcW w:w="1384" w:type="dxa"/>
            <w:shd w:val="clear" w:color="auto" w:fill="BFBFBF"/>
            <w:vAlign w:val="center"/>
          </w:tcPr>
          <w:p w14:paraId="6D2B4E76">
            <w:pPr>
              <w:jc w:val="center"/>
            </w:pPr>
            <w:r>
              <w:rPr>
                <w:rFonts w:hint="eastAsia"/>
                <w:b/>
              </w:rPr>
              <w:t>股票名称</w:t>
            </w:r>
          </w:p>
        </w:tc>
        <w:tc>
          <w:tcPr>
            <w:tcW w:w="1384" w:type="dxa"/>
            <w:shd w:val="clear" w:color="auto" w:fill="BFBFBF"/>
            <w:vAlign w:val="center"/>
          </w:tcPr>
          <w:p w14:paraId="2E5E2106">
            <w:pPr>
              <w:jc w:val="center"/>
            </w:pPr>
            <w:r>
              <w:rPr>
                <w:rFonts w:hint="eastAsia"/>
                <w:b/>
              </w:rPr>
              <w:t>数量（股）</w:t>
            </w:r>
          </w:p>
        </w:tc>
        <w:tc>
          <w:tcPr>
            <w:tcW w:w="1384" w:type="dxa"/>
            <w:shd w:val="clear" w:color="auto" w:fill="BFBFBF"/>
            <w:vAlign w:val="center"/>
          </w:tcPr>
          <w:p w14:paraId="43AF0A30">
            <w:pPr>
              <w:jc w:val="center"/>
            </w:pPr>
            <w:r>
              <w:rPr>
                <w:rFonts w:hint="eastAsia"/>
                <w:b/>
              </w:rPr>
              <w:t>公允价值（元）</w:t>
            </w:r>
          </w:p>
        </w:tc>
        <w:tc>
          <w:tcPr>
            <w:tcW w:w="1384" w:type="dxa"/>
            <w:shd w:val="clear" w:color="auto" w:fill="BFBFBF"/>
            <w:vAlign w:val="center"/>
          </w:tcPr>
          <w:p w14:paraId="7BA830E5">
            <w:pPr>
              <w:jc w:val="center"/>
            </w:pPr>
            <w:r>
              <w:rPr>
                <w:rFonts w:hint="eastAsia"/>
                <w:b/>
              </w:rPr>
              <w:t>占基金资产净值比例（％）</w:t>
            </w:r>
          </w:p>
        </w:tc>
      </w:tr>
      <w:tr w14:paraId="73CB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6A0A8">
            <w:pPr>
              <w:jc w:val="center"/>
            </w:pPr>
            <w:r>
              <w:rPr>
                <w:rFonts w:hint="eastAsia"/>
              </w:rPr>
              <w:t>1</w:t>
            </w:r>
          </w:p>
        </w:tc>
        <w:tc>
          <w:tcPr>
            <w:tcW w:w="1384" w:type="dxa"/>
            <w:vAlign w:val="center"/>
          </w:tcPr>
          <w:p w14:paraId="35F2F52B">
            <w:r>
              <w:rPr>
                <w:rFonts w:hint="eastAsia"/>
              </w:rPr>
              <w:t>00763</w:t>
            </w:r>
          </w:p>
        </w:tc>
        <w:tc>
          <w:tcPr>
            <w:tcW w:w="1384" w:type="dxa"/>
            <w:vAlign w:val="center"/>
          </w:tcPr>
          <w:p w14:paraId="1C35BC05">
            <w:r>
              <w:rPr>
                <w:rFonts w:hint="eastAsia"/>
              </w:rPr>
              <w:t>中兴通讯</w:t>
            </w:r>
          </w:p>
        </w:tc>
        <w:tc>
          <w:tcPr>
            <w:tcW w:w="1384" w:type="dxa"/>
            <w:vAlign w:val="center"/>
          </w:tcPr>
          <w:p w14:paraId="65547A81">
            <w:pPr>
              <w:jc w:val="right"/>
            </w:pPr>
            <w:r>
              <w:rPr>
                <w:rFonts w:hint="eastAsia"/>
              </w:rPr>
              <w:t>1,802,200</w:t>
            </w:r>
          </w:p>
        </w:tc>
        <w:tc>
          <w:tcPr>
            <w:tcW w:w="1384" w:type="dxa"/>
            <w:vAlign w:val="center"/>
          </w:tcPr>
          <w:p w14:paraId="09334F8B">
            <w:pPr>
              <w:jc w:val="right"/>
            </w:pPr>
            <w:r>
              <w:rPr>
                <w:rFonts w:hint="eastAsia"/>
              </w:rPr>
              <w:t>44,178,032.90</w:t>
            </w:r>
          </w:p>
        </w:tc>
        <w:tc>
          <w:tcPr>
            <w:tcW w:w="1384" w:type="dxa"/>
            <w:vAlign w:val="center"/>
          </w:tcPr>
          <w:p w14:paraId="65FB75EF">
            <w:pPr>
              <w:jc w:val="right"/>
            </w:pPr>
            <w:r>
              <w:rPr>
                <w:rFonts w:hint="eastAsia"/>
              </w:rPr>
              <w:t>1.38</w:t>
            </w:r>
          </w:p>
        </w:tc>
      </w:tr>
      <w:tr w14:paraId="3D59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FF6D7">
            <w:pPr>
              <w:jc w:val="center"/>
            </w:pPr>
            <w:r>
              <w:rPr>
                <w:rFonts w:hint="eastAsia"/>
              </w:rPr>
              <w:t>2</w:t>
            </w:r>
          </w:p>
        </w:tc>
        <w:tc>
          <w:tcPr>
            <w:tcW w:w="1384" w:type="dxa"/>
            <w:vAlign w:val="center"/>
          </w:tcPr>
          <w:p w14:paraId="61C4B7BD">
            <w:r>
              <w:rPr>
                <w:rFonts w:hint="eastAsia"/>
              </w:rPr>
              <w:t>000063</w:t>
            </w:r>
          </w:p>
        </w:tc>
        <w:tc>
          <w:tcPr>
            <w:tcW w:w="1384" w:type="dxa"/>
            <w:vAlign w:val="center"/>
          </w:tcPr>
          <w:p w14:paraId="2C0ACC28">
            <w:r>
              <w:rPr>
                <w:rFonts w:hint="eastAsia"/>
              </w:rPr>
              <w:t>中兴通讯</w:t>
            </w:r>
          </w:p>
        </w:tc>
        <w:tc>
          <w:tcPr>
            <w:tcW w:w="1384" w:type="dxa"/>
            <w:vAlign w:val="center"/>
          </w:tcPr>
          <w:p w14:paraId="0255F0AF">
            <w:pPr>
              <w:jc w:val="right"/>
            </w:pPr>
            <w:r>
              <w:rPr>
                <w:rFonts w:hint="eastAsia"/>
              </w:rPr>
              <w:t>969,200</w:t>
            </w:r>
          </w:p>
        </w:tc>
        <w:tc>
          <w:tcPr>
            <w:tcW w:w="1384" w:type="dxa"/>
            <w:vAlign w:val="center"/>
          </w:tcPr>
          <w:p w14:paraId="6531B90D">
            <w:pPr>
              <w:jc w:val="right"/>
            </w:pPr>
            <w:r>
              <w:rPr>
                <w:rFonts w:hint="eastAsia"/>
              </w:rPr>
              <w:t>36,674,528.00</w:t>
            </w:r>
          </w:p>
        </w:tc>
        <w:tc>
          <w:tcPr>
            <w:tcW w:w="1384" w:type="dxa"/>
            <w:vAlign w:val="center"/>
          </w:tcPr>
          <w:p w14:paraId="23F8462E">
            <w:pPr>
              <w:jc w:val="right"/>
            </w:pPr>
            <w:r>
              <w:rPr>
                <w:rFonts w:hint="eastAsia"/>
              </w:rPr>
              <w:t>1.14</w:t>
            </w:r>
          </w:p>
        </w:tc>
      </w:tr>
      <w:tr w14:paraId="1238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C8DAF">
            <w:pPr>
              <w:jc w:val="center"/>
            </w:pPr>
            <w:r>
              <w:rPr>
                <w:rFonts w:hint="eastAsia"/>
              </w:rPr>
              <w:t>3</w:t>
            </w:r>
          </w:p>
        </w:tc>
        <w:tc>
          <w:tcPr>
            <w:tcW w:w="1384" w:type="dxa"/>
            <w:vAlign w:val="center"/>
          </w:tcPr>
          <w:p w14:paraId="3066950F">
            <w:r>
              <w:rPr>
                <w:rFonts w:hint="eastAsia"/>
              </w:rPr>
              <w:t>300750</w:t>
            </w:r>
          </w:p>
        </w:tc>
        <w:tc>
          <w:tcPr>
            <w:tcW w:w="1384" w:type="dxa"/>
            <w:vAlign w:val="center"/>
          </w:tcPr>
          <w:p w14:paraId="7CBE0DEF">
            <w:r>
              <w:rPr>
                <w:rFonts w:hint="eastAsia"/>
              </w:rPr>
              <w:t>宁德时代</w:t>
            </w:r>
          </w:p>
        </w:tc>
        <w:tc>
          <w:tcPr>
            <w:tcW w:w="1384" w:type="dxa"/>
            <w:vAlign w:val="center"/>
          </w:tcPr>
          <w:p w14:paraId="2A311DCB">
            <w:pPr>
              <w:jc w:val="right"/>
            </w:pPr>
            <w:r>
              <w:rPr>
                <w:rFonts w:hint="eastAsia"/>
              </w:rPr>
              <w:t>112,360</w:t>
            </w:r>
          </w:p>
        </w:tc>
        <w:tc>
          <w:tcPr>
            <w:tcW w:w="1384" w:type="dxa"/>
            <w:vAlign w:val="center"/>
          </w:tcPr>
          <w:p w14:paraId="5F7AFA3F">
            <w:pPr>
              <w:jc w:val="right"/>
            </w:pPr>
            <w:r>
              <w:rPr>
                <w:rFonts w:hint="eastAsia"/>
              </w:rPr>
              <w:t>41,265,333.60</w:t>
            </w:r>
          </w:p>
        </w:tc>
        <w:tc>
          <w:tcPr>
            <w:tcW w:w="1384" w:type="dxa"/>
            <w:vAlign w:val="center"/>
          </w:tcPr>
          <w:p w14:paraId="1C8721A7">
            <w:pPr>
              <w:jc w:val="right"/>
            </w:pPr>
            <w:r>
              <w:rPr>
                <w:rFonts w:hint="eastAsia"/>
              </w:rPr>
              <w:t>1.28</w:t>
            </w:r>
          </w:p>
        </w:tc>
      </w:tr>
      <w:tr w14:paraId="78BE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0C596">
            <w:pPr>
              <w:jc w:val="center"/>
            </w:pPr>
            <w:r>
              <w:rPr>
                <w:rFonts w:hint="eastAsia"/>
              </w:rPr>
              <w:t>4</w:t>
            </w:r>
          </w:p>
        </w:tc>
        <w:tc>
          <w:tcPr>
            <w:tcW w:w="1384" w:type="dxa"/>
            <w:vAlign w:val="center"/>
          </w:tcPr>
          <w:p w14:paraId="335491F1">
            <w:r>
              <w:rPr>
                <w:rFonts w:hint="eastAsia"/>
              </w:rPr>
              <w:t>002028</w:t>
            </w:r>
          </w:p>
        </w:tc>
        <w:tc>
          <w:tcPr>
            <w:tcW w:w="1384" w:type="dxa"/>
            <w:vAlign w:val="center"/>
          </w:tcPr>
          <w:p w14:paraId="59242663">
            <w:r>
              <w:rPr>
                <w:rFonts w:hint="eastAsia"/>
              </w:rPr>
              <w:t>思源电气</w:t>
            </w:r>
          </w:p>
        </w:tc>
        <w:tc>
          <w:tcPr>
            <w:tcW w:w="1384" w:type="dxa"/>
            <w:vAlign w:val="center"/>
          </w:tcPr>
          <w:p w14:paraId="6F969C93">
            <w:pPr>
              <w:jc w:val="right"/>
            </w:pPr>
            <w:r>
              <w:rPr>
                <w:rFonts w:hint="eastAsia"/>
              </w:rPr>
              <w:t>218,787</w:t>
            </w:r>
          </w:p>
        </w:tc>
        <w:tc>
          <w:tcPr>
            <w:tcW w:w="1384" w:type="dxa"/>
            <w:vAlign w:val="center"/>
          </w:tcPr>
          <w:p w14:paraId="17210FE9">
            <w:pPr>
              <w:jc w:val="right"/>
            </w:pPr>
            <w:r>
              <w:rPr>
                <w:rFonts w:hint="eastAsia"/>
              </w:rPr>
              <w:t>33,822,282.33</w:t>
            </w:r>
          </w:p>
        </w:tc>
        <w:tc>
          <w:tcPr>
            <w:tcW w:w="1384" w:type="dxa"/>
            <w:vAlign w:val="center"/>
          </w:tcPr>
          <w:p w14:paraId="56740CD4">
            <w:pPr>
              <w:jc w:val="right"/>
            </w:pPr>
            <w:r>
              <w:rPr>
                <w:rFonts w:hint="eastAsia"/>
              </w:rPr>
              <w:t>1.05</w:t>
            </w:r>
          </w:p>
        </w:tc>
      </w:tr>
      <w:tr w14:paraId="0C83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215E0">
            <w:pPr>
              <w:jc w:val="center"/>
            </w:pPr>
            <w:r>
              <w:rPr>
                <w:rFonts w:hint="eastAsia"/>
              </w:rPr>
              <w:t>5</w:t>
            </w:r>
          </w:p>
        </w:tc>
        <w:tc>
          <w:tcPr>
            <w:tcW w:w="1384" w:type="dxa"/>
            <w:vAlign w:val="center"/>
          </w:tcPr>
          <w:p w14:paraId="2750F8D8">
            <w:r>
              <w:rPr>
                <w:rFonts w:hint="eastAsia"/>
              </w:rPr>
              <w:t>601318</w:t>
            </w:r>
          </w:p>
        </w:tc>
        <w:tc>
          <w:tcPr>
            <w:tcW w:w="1384" w:type="dxa"/>
            <w:vAlign w:val="center"/>
          </w:tcPr>
          <w:p w14:paraId="176EF495">
            <w:r>
              <w:rPr>
                <w:rFonts w:hint="eastAsia"/>
              </w:rPr>
              <w:t>中国平安</w:t>
            </w:r>
          </w:p>
        </w:tc>
        <w:tc>
          <w:tcPr>
            <w:tcW w:w="1384" w:type="dxa"/>
            <w:vAlign w:val="center"/>
          </w:tcPr>
          <w:p w14:paraId="1BF4FCC0">
            <w:pPr>
              <w:jc w:val="right"/>
            </w:pPr>
            <w:r>
              <w:rPr>
                <w:rFonts w:hint="eastAsia"/>
              </w:rPr>
              <w:t>460,819</w:t>
            </w:r>
          </w:p>
        </w:tc>
        <w:tc>
          <w:tcPr>
            <w:tcW w:w="1384" w:type="dxa"/>
            <w:vAlign w:val="center"/>
          </w:tcPr>
          <w:p w14:paraId="594B964C">
            <w:pPr>
              <w:jc w:val="right"/>
            </w:pPr>
            <w:r>
              <w:rPr>
                <w:rFonts w:hint="eastAsia"/>
              </w:rPr>
              <w:t>31,520,019.60</w:t>
            </w:r>
          </w:p>
        </w:tc>
        <w:tc>
          <w:tcPr>
            <w:tcW w:w="1384" w:type="dxa"/>
            <w:vAlign w:val="center"/>
          </w:tcPr>
          <w:p w14:paraId="669C8B5F">
            <w:pPr>
              <w:jc w:val="right"/>
            </w:pPr>
            <w:r>
              <w:rPr>
                <w:rFonts w:hint="eastAsia"/>
              </w:rPr>
              <w:t>0.98</w:t>
            </w:r>
          </w:p>
        </w:tc>
      </w:tr>
      <w:tr w14:paraId="4D99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79D25">
            <w:pPr>
              <w:jc w:val="center"/>
            </w:pPr>
            <w:r>
              <w:rPr>
                <w:rFonts w:hint="eastAsia"/>
              </w:rPr>
              <w:t>6</w:t>
            </w:r>
          </w:p>
        </w:tc>
        <w:tc>
          <w:tcPr>
            <w:tcW w:w="1384" w:type="dxa"/>
            <w:vAlign w:val="center"/>
          </w:tcPr>
          <w:p w14:paraId="0A42FEBD">
            <w:r>
              <w:rPr>
                <w:rFonts w:hint="eastAsia"/>
              </w:rPr>
              <w:t>600487</w:t>
            </w:r>
          </w:p>
        </w:tc>
        <w:tc>
          <w:tcPr>
            <w:tcW w:w="1384" w:type="dxa"/>
            <w:vAlign w:val="center"/>
          </w:tcPr>
          <w:p w14:paraId="45680842">
            <w:r>
              <w:rPr>
                <w:rFonts w:hint="eastAsia"/>
              </w:rPr>
              <w:t>亨通光电</w:t>
            </w:r>
          </w:p>
        </w:tc>
        <w:tc>
          <w:tcPr>
            <w:tcW w:w="1384" w:type="dxa"/>
            <w:vAlign w:val="center"/>
          </w:tcPr>
          <w:p w14:paraId="624B1064">
            <w:pPr>
              <w:jc w:val="right"/>
            </w:pPr>
            <w:r>
              <w:rPr>
                <w:rFonts w:hint="eastAsia"/>
              </w:rPr>
              <w:t>1,104,500</w:t>
            </w:r>
          </w:p>
        </w:tc>
        <w:tc>
          <w:tcPr>
            <w:tcW w:w="1384" w:type="dxa"/>
            <w:vAlign w:val="center"/>
          </w:tcPr>
          <w:p w14:paraId="12CF1ECA">
            <w:pPr>
              <w:jc w:val="right"/>
            </w:pPr>
            <w:r>
              <w:rPr>
                <w:rFonts w:hint="eastAsia"/>
              </w:rPr>
              <w:t>27,314,285.00</w:t>
            </w:r>
          </w:p>
        </w:tc>
        <w:tc>
          <w:tcPr>
            <w:tcW w:w="1384" w:type="dxa"/>
            <w:vAlign w:val="center"/>
          </w:tcPr>
          <w:p w14:paraId="55E529CF">
            <w:pPr>
              <w:jc w:val="right"/>
            </w:pPr>
            <w:r>
              <w:rPr>
                <w:rFonts w:hint="eastAsia"/>
              </w:rPr>
              <w:t>0.85</w:t>
            </w:r>
          </w:p>
        </w:tc>
      </w:tr>
      <w:tr w14:paraId="269F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7E85A">
            <w:pPr>
              <w:jc w:val="center"/>
            </w:pPr>
            <w:r>
              <w:rPr>
                <w:rFonts w:hint="eastAsia"/>
              </w:rPr>
              <w:t>7</w:t>
            </w:r>
          </w:p>
        </w:tc>
        <w:tc>
          <w:tcPr>
            <w:tcW w:w="1384" w:type="dxa"/>
            <w:vAlign w:val="center"/>
          </w:tcPr>
          <w:p w14:paraId="52EDC976">
            <w:r>
              <w:rPr>
                <w:rFonts w:hint="eastAsia"/>
              </w:rPr>
              <w:t>605090</w:t>
            </w:r>
          </w:p>
        </w:tc>
        <w:tc>
          <w:tcPr>
            <w:tcW w:w="1384" w:type="dxa"/>
            <w:vAlign w:val="center"/>
          </w:tcPr>
          <w:p w14:paraId="4846B4B2">
            <w:r>
              <w:rPr>
                <w:rFonts w:hint="eastAsia"/>
              </w:rPr>
              <w:t>九丰能源</w:t>
            </w:r>
          </w:p>
        </w:tc>
        <w:tc>
          <w:tcPr>
            <w:tcW w:w="1384" w:type="dxa"/>
            <w:vAlign w:val="center"/>
          </w:tcPr>
          <w:p w14:paraId="1CB4DB11">
            <w:pPr>
              <w:jc w:val="right"/>
            </w:pPr>
            <w:r>
              <w:rPr>
                <w:rFonts w:hint="eastAsia"/>
              </w:rPr>
              <w:t>624,160</w:t>
            </w:r>
          </w:p>
        </w:tc>
        <w:tc>
          <w:tcPr>
            <w:tcW w:w="1384" w:type="dxa"/>
            <w:vAlign w:val="center"/>
          </w:tcPr>
          <w:p w14:paraId="09DC552E">
            <w:pPr>
              <w:jc w:val="right"/>
            </w:pPr>
            <w:r>
              <w:rPr>
                <w:rFonts w:hint="eastAsia"/>
              </w:rPr>
              <w:t>26,901,296.00</w:t>
            </w:r>
          </w:p>
        </w:tc>
        <w:tc>
          <w:tcPr>
            <w:tcW w:w="1384" w:type="dxa"/>
            <w:vAlign w:val="center"/>
          </w:tcPr>
          <w:p w14:paraId="14BC3894">
            <w:pPr>
              <w:jc w:val="right"/>
            </w:pPr>
            <w:r>
              <w:rPr>
                <w:rFonts w:hint="eastAsia"/>
              </w:rPr>
              <w:t>0.84</w:t>
            </w:r>
          </w:p>
        </w:tc>
      </w:tr>
      <w:tr w14:paraId="658D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51320">
            <w:pPr>
              <w:jc w:val="center"/>
            </w:pPr>
            <w:r>
              <w:rPr>
                <w:rFonts w:hint="eastAsia"/>
              </w:rPr>
              <w:t>8</w:t>
            </w:r>
          </w:p>
        </w:tc>
        <w:tc>
          <w:tcPr>
            <w:tcW w:w="1384" w:type="dxa"/>
            <w:vAlign w:val="center"/>
          </w:tcPr>
          <w:p w14:paraId="665211FC">
            <w:r>
              <w:rPr>
                <w:rFonts w:hint="eastAsia"/>
              </w:rPr>
              <w:t>600309</w:t>
            </w:r>
          </w:p>
        </w:tc>
        <w:tc>
          <w:tcPr>
            <w:tcW w:w="1384" w:type="dxa"/>
            <w:vAlign w:val="center"/>
          </w:tcPr>
          <w:p w14:paraId="4D69A4A6">
            <w:r>
              <w:rPr>
                <w:rFonts w:hint="eastAsia"/>
              </w:rPr>
              <w:t>万华化学</w:t>
            </w:r>
          </w:p>
        </w:tc>
        <w:tc>
          <w:tcPr>
            <w:tcW w:w="1384" w:type="dxa"/>
            <w:vAlign w:val="center"/>
          </w:tcPr>
          <w:p w14:paraId="14431327">
            <w:pPr>
              <w:jc w:val="right"/>
            </w:pPr>
            <w:r>
              <w:rPr>
                <w:rFonts w:hint="eastAsia"/>
              </w:rPr>
              <w:t>331,000</w:t>
            </w:r>
          </w:p>
        </w:tc>
        <w:tc>
          <w:tcPr>
            <w:tcW w:w="1384" w:type="dxa"/>
            <w:vAlign w:val="center"/>
          </w:tcPr>
          <w:p w14:paraId="18389D2F">
            <w:pPr>
              <w:jc w:val="right"/>
            </w:pPr>
            <w:r>
              <w:rPr>
                <w:rFonts w:hint="eastAsia"/>
              </w:rPr>
              <w:t>25,381,080.00</w:t>
            </w:r>
          </w:p>
        </w:tc>
        <w:tc>
          <w:tcPr>
            <w:tcW w:w="1384" w:type="dxa"/>
            <w:vAlign w:val="center"/>
          </w:tcPr>
          <w:p w14:paraId="72A25221">
            <w:pPr>
              <w:jc w:val="right"/>
            </w:pPr>
            <w:r>
              <w:rPr>
                <w:rFonts w:hint="eastAsia"/>
              </w:rPr>
              <w:t>0.79</w:t>
            </w:r>
          </w:p>
        </w:tc>
      </w:tr>
      <w:tr w14:paraId="08DC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7AB17">
            <w:pPr>
              <w:jc w:val="center"/>
            </w:pPr>
            <w:r>
              <w:rPr>
                <w:rFonts w:hint="eastAsia"/>
              </w:rPr>
              <w:t>9</w:t>
            </w:r>
          </w:p>
        </w:tc>
        <w:tc>
          <w:tcPr>
            <w:tcW w:w="1384" w:type="dxa"/>
            <w:vAlign w:val="center"/>
          </w:tcPr>
          <w:p w14:paraId="402F68C0">
            <w:r>
              <w:rPr>
                <w:rFonts w:hint="eastAsia"/>
              </w:rPr>
              <w:t>00981</w:t>
            </w:r>
          </w:p>
        </w:tc>
        <w:tc>
          <w:tcPr>
            <w:tcW w:w="1384" w:type="dxa"/>
            <w:vAlign w:val="center"/>
          </w:tcPr>
          <w:p w14:paraId="79754F55">
            <w:r>
              <w:rPr>
                <w:rFonts w:hint="eastAsia"/>
              </w:rPr>
              <w:t>中芯国际</w:t>
            </w:r>
          </w:p>
        </w:tc>
        <w:tc>
          <w:tcPr>
            <w:tcW w:w="1384" w:type="dxa"/>
            <w:vAlign w:val="center"/>
          </w:tcPr>
          <w:p w14:paraId="370A6121">
            <w:pPr>
              <w:jc w:val="right"/>
            </w:pPr>
            <w:r>
              <w:rPr>
                <w:rFonts w:hint="eastAsia"/>
              </w:rPr>
              <w:t>386,500</w:t>
            </w:r>
          </w:p>
        </w:tc>
        <w:tc>
          <w:tcPr>
            <w:tcW w:w="1384" w:type="dxa"/>
            <w:vAlign w:val="center"/>
          </w:tcPr>
          <w:p w14:paraId="2B4AB6B8">
            <w:pPr>
              <w:jc w:val="right"/>
            </w:pPr>
            <w:r>
              <w:rPr>
                <w:rFonts w:hint="eastAsia"/>
              </w:rPr>
              <w:t>24,942,804.17</w:t>
            </w:r>
          </w:p>
        </w:tc>
        <w:tc>
          <w:tcPr>
            <w:tcW w:w="1384" w:type="dxa"/>
            <w:vAlign w:val="center"/>
          </w:tcPr>
          <w:p w14:paraId="26D7D6AA">
            <w:pPr>
              <w:jc w:val="right"/>
            </w:pPr>
            <w:r>
              <w:rPr>
                <w:rFonts w:hint="eastAsia"/>
              </w:rPr>
              <w:t>0.78</w:t>
            </w:r>
          </w:p>
        </w:tc>
      </w:tr>
      <w:tr w14:paraId="2C77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F2E5B">
            <w:pPr>
              <w:jc w:val="center"/>
            </w:pPr>
            <w:r>
              <w:rPr>
                <w:rFonts w:hint="eastAsia"/>
              </w:rPr>
              <w:t>10</w:t>
            </w:r>
          </w:p>
        </w:tc>
        <w:tc>
          <w:tcPr>
            <w:tcW w:w="1384" w:type="dxa"/>
            <w:vAlign w:val="center"/>
          </w:tcPr>
          <w:p w14:paraId="0ECCEEFC">
            <w:r>
              <w:rPr>
                <w:rFonts w:hint="eastAsia"/>
              </w:rPr>
              <w:t>603619</w:t>
            </w:r>
          </w:p>
        </w:tc>
        <w:tc>
          <w:tcPr>
            <w:tcW w:w="1384" w:type="dxa"/>
            <w:vAlign w:val="center"/>
          </w:tcPr>
          <w:p w14:paraId="0861293E">
            <w:r>
              <w:rPr>
                <w:rFonts w:hint="eastAsia"/>
              </w:rPr>
              <w:t>中曼石油</w:t>
            </w:r>
          </w:p>
        </w:tc>
        <w:tc>
          <w:tcPr>
            <w:tcW w:w="1384" w:type="dxa"/>
            <w:vAlign w:val="center"/>
          </w:tcPr>
          <w:p w14:paraId="3E18562E">
            <w:pPr>
              <w:jc w:val="right"/>
            </w:pPr>
            <w:r>
              <w:rPr>
                <w:rFonts w:hint="eastAsia"/>
              </w:rPr>
              <w:t>1,034,400</w:t>
            </w:r>
          </w:p>
        </w:tc>
        <w:tc>
          <w:tcPr>
            <w:tcW w:w="1384" w:type="dxa"/>
            <w:vAlign w:val="center"/>
          </w:tcPr>
          <w:p w14:paraId="266C30E0">
            <w:pPr>
              <w:jc w:val="right"/>
            </w:pPr>
            <w:r>
              <w:rPr>
                <w:rFonts w:hint="eastAsia"/>
              </w:rPr>
              <w:t>23,842,920.00</w:t>
            </w:r>
          </w:p>
        </w:tc>
        <w:tc>
          <w:tcPr>
            <w:tcW w:w="1384" w:type="dxa"/>
            <w:vAlign w:val="center"/>
          </w:tcPr>
          <w:p w14:paraId="2E5391C4">
            <w:pPr>
              <w:jc w:val="right"/>
            </w:pPr>
            <w:r>
              <w:rPr>
                <w:rFonts w:hint="eastAsia"/>
              </w:rPr>
              <w:t>0.74</w:t>
            </w:r>
          </w:p>
        </w:tc>
      </w:tr>
      <w:tr w14:paraId="72A8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6808C">
            <w:pPr>
              <w:jc w:val="center"/>
            </w:pPr>
            <w:r>
              <w:rPr>
                <w:rFonts w:hint="eastAsia"/>
              </w:rPr>
              <w:t>11</w:t>
            </w:r>
          </w:p>
        </w:tc>
        <w:tc>
          <w:tcPr>
            <w:tcW w:w="1384" w:type="dxa"/>
            <w:vAlign w:val="center"/>
          </w:tcPr>
          <w:p w14:paraId="7261C99A">
            <w:r>
              <w:rPr>
                <w:rFonts w:hint="eastAsia"/>
              </w:rPr>
              <w:t>000963</w:t>
            </w:r>
          </w:p>
        </w:tc>
        <w:tc>
          <w:tcPr>
            <w:tcW w:w="1384" w:type="dxa"/>
            <w:vAlign w:val="center"/>
          </w:tcPr>
          <w:p w14:paraId="32FC7DB2">
            <w:r>
              <w:rPr>
                <w:rFonts w:hint="eastAsia"/>
              </w:rPr>
              <w:t>华东医药</w:t>
            </w:r>
          </w:p>
        </w:tc>
        <w:tc>
          <w:tcPr>
            <w:tcW w:w="1384" w:type="dxa"/>
            <w:vAlign w:val="center"/>
          </w:tcPr>
          <w:p w14:paraId="212D66C6">
            <w:pPr>
              <w:jc w:val="right"/>
            </w:pPr>
            <w:r>
              <w:rPr>
                <w:rFonts w:hint="eastAsia"/>
              </w:rPr>
              <w:t>556,700</w:t>
            </w:r>
          </w:p>
        </w:tc>
        <w:tc>
          <w:tcPr>
            <w:tcW w:w="1384" w:type="dxa"/>
            <w:vAlign w:val="center"/>
          </w:tcPr>
          <w:p w14:paraId="1DD5B088">
            <w:pPr>
              <w:jc w:val="right"/>
            </w:pPr>
            <w:r>
              <w:rPr>
                <w:rFonts w:hint="eastAsia"/>
              </w:rPr>
              <w:t>21,961,815.00</w:t>
            </w:r>
          </w:p>
        </w:tc>
        <w:tc>
          <w:tcPr>
            <w:tcW w:w="1384" w:type="dxa"/>
            <w:vAlign w:val="center"/>
          </w:tcPr>
          <w:p w14:paraId="0835AD9A">
            <w:pPr>
              <w:jc w:val="right"/>
            </w:pPr>
            <w:r>
              <w:rPr>
                <w:rFonts w:hint="eastAsia"/>
              </w:rPr>
              <w:t>0.68</w:t>
            </w:r>
          </w:p>
        </w:tc>
      </w:tr>
      <w:tr w14:paraId="1F13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1354E">
            <w:pPr>
              <w:jc w:val="center"/>
            </w:pPr>
            <w:r>
              <w:rPr>
                <w:rFonts w:hint="eastAsia"/>
              </w:rPr>
              <w:t>12</w:t>
            </w:r>
          </w:p>
        </w:tc>
        <w:tc>
          <w:tcPr>
            <w:tcW w:w="1384" w:type="dxa"/>
            <w:vAlign w:val="center"/>
          </w:tcPr>
          <w:p w14:paraId="46415FFB">
            <w:r>
              <w:rPr>
                <w:rFonts w:hint="eastAsia"/>
              </w:rPr>
              <w:t>601899</w:t>
            </w:r>
          </w:p>
        </w:tc>
        <w:tc>
          <w:tcPr>
            <w:tcW w:w="1384" w:type="dxa"/>
            <w:vAlign w:val="center"/>
          </w:tcPr>
          <w:p w14:paraId="731B92A6">
            <w:r>
              <w:rPr>
                <w:rFonts w:hint="eastAsia"/>
              </w:rPr>
              <w:t>紫金矿业</w:t>
            </w:r>
          </w:p>
        </w:tc>
        <w:tc>
          <w:tcPr>
            <w:tcW w:w="1384" w:type="dxa"/>
            <w:vAlign w:val="center"/>
          </w:tcPr>
          <w:p w14:paraId="2CAEFAE1">
            <w:pPr>
              <w:jc w:val="right"/>
            </w:pPr>
            <w:r>
              <w:rPr>
                <w:rFonts w:hint="eastAsia"/>
              </w:rPr>
              <w:t>632,000</w:t>
            </w:r>
          </w:p>
        </w:tc>
        <w:tc>
          <w:tcPr>
            <w:tcW w:w="1384" w:type="dxa"/>
            <w:vAlign w:val="center"/>
          </w:tcPr>
          <w:p w14:paraId="0D66ED33">
            <w:pPr>
              <w:jc w:val="right"/>
            </w:pPr>
            <w:r>
              <w:rPr>
                <w:rFonts w:hint="eastAsia"/>
              </w:rPr>
              <w:t>21,785,040.00</w:t>
            </w:r>
          </w:p>
        </w:tc>
        <w:tc>
          <w:tcPr>
            <w:tcW w:w="1384" w:type="dxa"/>
            <w:vAlign w:val="center"/>
          </w:tcPr>
          <w:p w14:paraId="44A2026D">
            <w:pPr>
              <w:jc w:val="right"/>
            </w:pPr>
            <w:r>
              <w:rPr>
                <w:rFonts w:hint="eastAsia"/>
              </w:rPr>
              <w:t>0.68</w:t>
            </w:r>
          </w:p>
        </w:tc>
      </w:tr>
      <w:tr w14:paraId="492F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013CE">
            <w:pPr>
              <w:jc w:val="center"/>
            </w:pPr>
            <w:r>
              <w:rPr>
                <w:rFonts w:hint="eastAsia"/>
              </w:rPr>
              <w:t>13</w:t>
            </w:r>
          </w:p>
        </w:tc>
        <w:tc>
          <w:tcPr>
            <w:tcW w:w="1384" w:type="dxa"/>
            <w:vAlign w:val="center"/>
          </w:tcPr>
          <w:p w14:paraId="0541A1B3">
            <w:r>
              <w:rPr>
                <w:rFonts w:hint="eastAsia"/>
              </w:rPr>
              <w:t>300408</w:t>
            </w:r>
          </w:p>
        </w:tc>
        <w:tc>
          <w:tcPr>
            <w:tcW w:w="1384" w:type="dxa"/>
            <w:vAlign w:val="center"/>
          </w:tcPr>
          <w:p w14:paraId="1C932F62">
            <w:r>
              <w:rPr>
                <w:rFonts w:hint="eastAsia"/>
              </w:rPr>
              <w:t>三环集团</w:t>
            </w:r>
          </w:p>
        </w:tc>
        <w:tc>
          <w:tcPr>
            <w:tcW w:w="1384" w:type="dxa"/>
            <w:vAlign w:val="center"/>
          </w:tcPr>
          <w:p w14:paraId="7871FA0B">
            <w:pPr>
              <w:jc w:val="right"/>
            </w:pPr>
            <w:r>
              <w:rPr>
                <w:rFonts w:hint="eastAsia"/>
              </w:rPr>
              <w:t>442,400</w:t>
            </w:r>
          </w:p>
        </w:tc>
        <w:tc>
          <w:tcPr>
            <w:tcW w:w="1384" w:type="dxa"/>
            <w:vAlign w:val="center"/>
          </w:tcPr>
          <w:p w14:paraId="07580401">
            <w:pPr>
              <w:jc w:val="right"/>
            </w:pPr>
            <w:r>
              <w:rPr>
                <w:rFonts w:hint="eastAsia"/>
              </w:rPr>
              <w:t>20,239,800.00</w:t>
            </w:r>
          </w:p>
        </w:tc>
        <w:tc>
          <w:tcPr>
            <w:tcW w:w="1384" w:type="dxa"/>
            <w:vAlign w:val="center"/>
          </w:tcPr>
          <w:p w14:paraId="0B37976B">
            <w:pPr>
              <w:jc w:val="right"/>
            </w:pPr>
            <w:r>
              <w:rPr>
                <w:rFonts w:hint="eastAsia"/>
              </w:rPr>
              <w:t>0.63</w:t>
            </w:r>
          </w:p>
        </w:tc>
      </w:tr>
      <w:tr w14:paraId="11A5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2782F">
            <w:pPr>
              <w:jc w:val="center"/>
            </w:pPr>
            <w:r>
              <w:rPr>
                <w:rFonts w:hint="eastAsia"/>
              </w:rPr>
              <w:t>14</w:t>
            </w:r>
          </w:p>
        </w:tc>
        <w:tc>
          <w:tcPr>
            <w:tcW w:w="1384" w:type="dxa"/>
            <w:vAlign w:val="center"/>
          </w:tcPr>
          <w:p w14:paraId="4AC10F97">
            <w:r>
              <w:rPr>
                <w:rFonts w:hint="eastAsia"/>
              </w:rPr>
              <w:t>002142</w:t>
            </w:r>
          </w:p>
        </w:tc>
        <w:tc>
          <w:tcPr>
            <w:tcW w:w="1384" w:type="dxa"/>
            <w:vAlign w:val="center"/>
          </w:tcPr>
          <w:p w14:paraId="746FD381">
            <w:r>
              <w:rPr>
                <w:rFonts w:hint="eastAsia"/>
              </w:rPr>
              <w:t>宁波银行</w:t>
            </w:r>
          </w:p>
        </w:tc>
        <w:tc>
          <w:tcPr>
            <w:tcW w:w="1384" w:type="dxa"/>
            <w:vAlign w:val="center"/>
          </w:tcPr>
          <w:p w14:paraId="166BC6C9">
            <w:pPr>
              <w:jc w:val="right"/>
            </w:pPr>
            <w:r>
              <w:rPr>
                <w:rFonts w:hint="eastAsia"/>
              </w:rPr>
              <w:t>710,900</w:t>
            </w:r>
          </w:p>
        </w:tc>
        <w:tc>
          <w:tcPr>
            <w:tcW w:w="1384" w:type="dxa"/>
            <w:vAlign w:val="center"/>
          </w:tcPr>
          <w:p w14:paraId="6563A777">
            <w:pPr>
              <w:jc w:val="right"/>
            </w:pPr>
            <w:r>
              <w:rPr>
                <w:rFonts w:hint="eastAsia"/>
              </w:rPr>
              <w:t>19,969,181.00</w:t>
            </w:r>
          </w:p>
        </w:tc>
        <w:tc>
          <w:tcPr>
            <w:tcW w:w="1384" w:type="dxa"/>
            <w:vAlign w:val="center"/>
          </w:tcPr>
          <w:p w14:paraId="7590FEEA">
            <w:pPr>
              <w:jc w:val="right"/>
            </w:pPr>
            <w:r>
              <w:rPr>
                <w:rFonts w:hint="eastAsia"/>
              </w:rPr>
              <w:t>0.62</w:t>
            </w:r>
          </w:p>
        </w:tc>
      </w:tr>
      <w:tr w14:paraId="5FF5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E79F4">
            <w:pPr>
              <w:jc w:val="center"/>
            </w:pPr>
            <w:r>
              <w:rPr>
                <w:rFonts w:hint="eastAsia"/>
              </w:rPr>
              <w:t>15</w:t>
            </w:r>
          </w:p>
        </w:tc>
        <w:tc>
          <w:tcPr>
            <w:tcW w:w="1384" w:type="dxa"/>
            <w:vAlign w:val="center"/>
          </w:tcPr>
          <w:p w14:paraId="18A2E22F">
            <w:r>
              <w:rPr>
                <w:rFonts w:hint="eastAsia"/>
              </w:rPr>
              <w:t>002353</w:t>
            </w:r>
          </w:p>
        </w:tc>
        <w:tc>
          <w:tcPr>
            <w:tcW w:w="1384" w:type="dxa"/>
            <w:vAlign w:val="center"/>
          </w:tcPr>
          <w:p w14:paraId="3A37F438">
            <w:r>
              <w:rPr>
                <w:rFonts w:hint="eastAsia"/>
              </w:rPr>
              <w:t>杰瑞股份</w:t>
            </w:r>
          </w:p>
        </w:tc>
        <w:tc>
          <w:tcPr>
            <w:tcW w:w="1384" w:type="dxa"/>
            <w:vAlign w:val="center"/>
          </w:tcPr>
          <w:p w14:paraId="2B57BC55">
            <w:pPr>
              <w:jc w:val="right"/>
            </w:pPr>
            <w:r>
              <w:rPr>
                <w:rFonts w:hint="eastAsia"/>
              </w:rPr>
              <w:t>266,700</w:t>
            </w:r>
          </w:p>
        </w:tc>
        <w:tc>
          <w:tcPr>
            <w:tcW w:w="1384" w:type="dxa"/>
            <w:vAlign w:val="center"/>
          </w:tcPr>
          <w:p w14:paraId="05929E46">
            <w:pPr>
              <w:jc w:val="right"/>
            </w:pPr>
            <w:r>
              <w:rPr>
                <w:rFonts w:hint="eastAsia"/>
              </w:rPr>
              <w:t>18,890,361.00</w:t>
            </w:r>
          </w:p>
        </w:tc>
        <w:tc>
          <w:tcPr>
            <w:tcW w:w="1384" w:type="dxa"/>
            <w:vAlign w:val="center"/>
          </w:tcPr>
          <w:p w14:paraId="445DB724">
            <w:pPr>
              <w:jc w:val="right"/>
            </w:pPr>
            <w:r>
              <w:rPr>
                <w:rFonts w:hint="eastAsia"/>
              </w:rPr>
              <w:t>0.59</w:t>
            </w:r>
          </w:p>
        </w:tc>
      </w:tr>
      <w:tr w14:paraId="7D5C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BB5FF">
            <w:pPr>
              <w:jc w:val="center"/>
            </w:pPr>
            <w:r>
              <w:rPr>
                <w:rFonts w:hint="eastAsia"/>
              </w:rPr>
              <w:t>16</w:t>
            </w:r>
          </w:p>
        </w:tc>
        <w:tc>
          <w:tcPr>
            <w:tcW w:w="1384" w:type="dxa"/>
            <w:vAlign w:val="center"/>
          </w:tcPr>
          <w:p w14:paraId="401AA6F1">
            <w:r>
              <w:rPr>
                <w:rFonts w:hint="eastAsia"/>
              </w:rPr>
              <w:t>00700</w:t>
            </w:r>
          </w:p>
        </w:tc>
        <w:tc>
          <w:tcPr>
            <w:tcW w:w="1384" w:type="dxa"/>
            <w:vAlign w:val="center"/>
          </w:tcPr>
          <w:p w14:paraId="4B7F6D2F">
            <w:r>
              <w:rPr>
                <w:rFonts w:hint="eastAsia"/>
              </w:rPr>
              <w:t>腾讯控股</w:t>
            </w:r>
          </w:p>
        </w:tc>
        <w:tc>
          <w:tcPr>
            <w:tcW w:w="1384" w:type="dxa"/>
            <w:vAlign w:val="center"/>
          </w:tcPr>
          <w:p w14:paraId="4FE76C80">
            <w:pPr>
              <w:jc w:val="right"/>
            </w:pPr>
            <w:r>
              <w:rPr>
                <w:rFonts w:hint="eastAsia"/>
              </w:rPr>
              <w:t>34,600</w:t>
            </w:r>
          </w:p>
        </w:tc>
        <w:tc>
          <w:tcPr>
            <w:tcW w:w="1384" w:type="dxa"/>
            <w:vAlign w:val="center"/>
          </w:tcPr>
          <w:p w14:paraId="36CA0C85">
            <w:pPr>
              <w:jc w:val="right"/>
            </w:pPr>
            <w:r>
              <w:rPr>
                <w:rFonts w:hint="eastAsia"/>
              </w:rPr>
              <w:t>18,719,595.79</w:t>
            </w:r>
          </w:p>
        </w:tc>
        <w:tc>
          <w:tcPr>
            <w:tcW w:w="1384" w:type="dxa"/>
            <w:vAlign w:val="center"/>
          </w:tcPr>
          <w:p w14:paraId="68E59A33">
            <w:pPr>
              <w:jc w:val="right"/>
            </w:pPr>
            <w:r>
              <w:rPr>
                <w:rFonts w:hint="eastAsia"/>
              </w:rPr>
              <w:t>0.58</w:t>
            </w:r>
          </w:p>
        </w:tc>
      </w:tr>
      <w:tr w14:paraId="06E2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E324E">
            <w:pPr>
              <w:jc w:val="center"/>
            </w:pPr>
            <w:r>
              <w:rPr>
                <w:rFonts w:hint="eastAsia"/>
              </w:rPr>
              <w:t>17</w:t>
            </w:r>
          </w:p>
        </w:tc>
        <w:tc>
          <w:tcPr>
            <w:tcW w:w="1384" w:type="dxa"/>
            <w:vAlign w:val="center"/>
          </w:tcPr>
          <w:p w14:paraId="5E7E8C68">
            <w:r>
              <w:rPr>
                <w:rFonts w:hint="eastAsia"/>
              </w:rPr>
              <w:t>002352</w:t>
            </w:r>
          </w:p>
        </w:tc>
        <w:tc>
          <w:tcPr>
            <w:tcW w:w="1384" w:type="dxa"/>
            <w:vAlign w:val="center"/>
          </w:tcPr>
          <w:p w14:paraId="5FE7B3B5">
            <w:r>
              <w:rPr>
                <w:rFonts w:hint="eastAsia"/>
              </w:rPr>
              <w:t>顺丰控股</w:t>
            </w:r>
          </w:p>
        </w:tc>
        <w:tc>
          <w:tcPr>
            <w:tcW w:w="1384" w:type="dxa"/>
            <w:vAlign w:val="center"/>
          </w:tcPr>
          <w:p w14:paraId="6D1B41B6">
            <w:pPr>
              <w:jc w:val="right"/>
            </w:pPr>
            <w:r>
              <w:rPr>
                <w:rFonts w:hint="eastAsia"/>
              </w:rPr>
              <w:t>476,100</w:t>
            </w:r>
          </w:p>
        </w:tc>
        <w:tc>
          <w:tcPr>
            <w:tcW w:w="1384" w:type="dxa"/>
            <w:vAlign w:val="center"/>
          </w:tcPr>
          <w:p w14:paraId="6F09DB1F">
            <w:pPr>
              <w:jc w:val="right"/>
            </w:pPr>
            <w:r>
              <w:rPr>
                <w:rFonts w:hint="eastAsia"/>
              </w:rPr>
              <w:t>18,244,152.00</w:t>
            </w:r>
          </w:p>
        </w:tc>
        <w:tc>
          <w:tcPr>
            <w:tcW w:w="1384" w:type="dxa"/>
            <w:vAlign w:val="center"/>
          </w:tcPr>
          <w:p w14:paraId="40C20042">
            <w:pPr>
              <w:jc w:val="right"/>
            </w:pPr>
            <w:r>
              <w:rPr>
                <w:rFonts w:hint="eastAsia"/>
              </w:rPr>
              <w:t>0.57</w:t>
            </w:r>
          </w:p>
        </w:tc>
      </w:tr>
      <w:tr w14:paraId="4BA1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87E1E">
            <w:pPr>
              <w:jc w:val="center"/>
            </w:pPr>
            <w:r>
              <w:rPr>
                <w:rFonts w:hint="eastAsia"/>
              </w:rPr>
              <w:t>18</w:t>
            </w:r>
          </w:p>
        </w:tc>
        <w:tc>
          <w:tcPr>
            <w:tcW w:w="1384" w:type="dxa"/>
            <w:vAlign w:val="center"/>
          </w:tcPr>
          <w:p w14:paraId="38E5CF42">
            <w:r>
              <w:rPr>
                <w:rFonts w:hint="eastAsia"/>
              </w:rPr>
              <w:t>06160</w:t>
            </w:r>
          </w:p>
        </w:tc>
        <w:tc>
          <w:tcPr>
            <w:tcW w:w="1384" w:type="dxa"/>
            <w:vAlign w:val="center"/>
          </w:tcPr>
          <w:p w14:paraId="267D5313">
            <w:r>
              <w:rPr>
                <w:rFonts w:hint="eastAsia"/>
              </w:rPr>
              <w:t>百济神州</w:t>
            </w:r>
          </w:p>
        </w:tc>
        <w:tc>
          <w:tcPr>
            <w:tcW w:w="1384" w:type="dxa"/>
            <w:vAlign w:val="center"/>
          </w:tcPr>
          <w:p w14:paraId="000E00A2">
            <w:pPr>
              <w:jc w:val="right"/>
            </w:pPr>
            <w:r>
              <w:rPr>
                <w:rFonts w:hint="eastAsia"/>
              </w:rPr>
              <w:t>108,000</w:t>
            </w:r>
          </w:p>
        </w:tc>
        <w:tc>
          <w:tcPr>
            <w:tcW w:w="1384" w:type="dxa"/>
            <w:vAlign w:val="center"/>
          </w:tcPr>
          <w:p w14:paraId="08DD1D54">
            <w:pPr>
              <w:jc w:val="right"/>
            </w:pPr>
            <w:r>
              <w:rPr>
                <w:rFonts w:hint="eastAsia"/>
              </w:rPr>
              <w:t>17,490,313.37</w:t>
            </w:r>
          </w:p>
        </w:tc>
        <w:tc>
          <w:tcPr>
            <w:tcW w:w="1384" w:type="dxa"/>
            <w:vAlign w:val="center"/>
          </w:tcPr>
          <w:p w14:paraId="5C9DD999">
            <w:pPr>
              <w:jc w:val="right"/>
            </w:pPr>
            <w:r>
              <w:rPr>
                <w:rFonts w:hint="eastAsia"/>
              </w:rPr>
              <w:t>0.54</w:t>
            </w:r>
          </w:p>
        </w:tc>
      </w:tr>
      <w:tr w14:paraId="1EBF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C2D03">
            <w:pPr>
              <w:jc w:val="center"/>
            </w:pPr>
            <w:r>
              <w:rPr>
                <w:rFonts w:hint="eastAsia"/>
              </w:rPr>
              <w:t>19</w:t>
            </w:r>
          </w:p>
        </w:tc>
        <w:tc>
          <w:tcPr>
            <w:tcW w:w="1384" w:type="dxa"/>
            <w:vAlign w:val="center"/>
          </w:tcPr>
          <w:p w14:paraId="0619BDB0">
            <w:r>
              <w:rPr>
                <w:rFonts w:hint="eastAsia"/>
              </w:rPr>
              <w:t>600660</w:t>
            </w:r>
          </w:p>
        </w:tc>
        <w:tc>
          <w:tcPr>
            <w:tcW w:w="1384" w:type="dxa"/>
            <w:vAlign w:val="center"/>
          </w:tcPr>
          <w:p w14:paraId="35E58835">
            <w:r>
              <w:rPr>
                <w:rFonts w:hint="eastAsia"/>
              </w:rPr>
              <w:t>福耀玻璃</w:t>
            </w:r>
          </w:p>
        </w:tc>
        <w:tc>
          <w:tcPr>
            <w:tcW w:w="1384" w:type="dxa"/>
            <w:vAlign w:val="center"/>
          </w:tcPr>
          <w:p w14:paraId="5AB6134A">
            <w:pPr>
              <w:jc w:val="right"/>
            </w:pPr>
            <w:r>
              <w:rPr>
                <w:rFonts w:hint="eastAsia"/>
              </w:rPr>
              <w:t>261,749</w:t>
            </w:r>
          </w:p>
        </w:tc>
        <w:tc>
          <w:tcPr>
            <w:tcW w:w="1384" w:type="dxa"/>
            <w:vAlign w:val="center"/>
          </w:tcPr>
          <w:p w14:paraId="7A068A08">
            <w:pPr>
              <w:jc w:val="right"/>
            </w:pPr>
            <w:r>
              <w:rPr>
                <w:rFonts w:hint="eastAsia"/>
              </w:rPr>
              <w:t>16,953,482.73</w:t>
            </w:r>
          </w:p>
        </w:tc>
        <w:tc>
          <w:tcPr>
            <w:tcW w:w="1384" w:type="dxa"/>
            <w:vAlign w:val="center"/>
          </w:tcPr>
          <w:p w14:paraId="395AF451">
            <w:pPr>
              <w:jc w:val="right"/>
            </w:pPr>
            <w:r>
              <w:rPr>
                <w:rFonts w:hint="eastAsia"/>
              </w:rPr>
              <w:t>0.53</w:t>
            </w:r>
          </w:p>
        </w:tc>
      </w:tr>
      <w:tr w14:paraId="0BFF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9C54D">
            <w:pPr>
              <w:jc w:val="center"/>
            </w:pPr>
            <w:r>
              <w:rPr>
                <w:rFonts w:hint="eastAsia"/>
              </w:rPr>
              <w:t>20</w:t>
            </w:r>
          </w:p>
        </w:tc>
        <w:tc>
          <w:tcPr>
            <w:tcW w:w="1384" w:type="dxa"/>
            <w:vAlign w:val="center"/>
          </w:tcPr>
          <w:p w14:paraId="461F50DC">
            <w:r>
              <w:rPr>
                <w:rFonts w:hint="eastAsia"/>
              </w:rPr>
              <w:t>688083</w:t>
            </w:r>
          </w:p>
        </w:tc>
        <w:tc>
          <w:tcPr>
            <w:tcW w:w="1384" w:type="dxa"/>
            <w:vAlign w:val="center"/>
          </w:tcPr>
          <w:p w14:paraId="76FCD484">
            <w:r>
              <w:rPr>
                <w:rFonts w:hint="eastAsia"/>
              </w:rPr>
              <w:t>中望软件</w:t>
            </w:r>
          </w:p>
        </w:tc>
        <w:tc>
          <w:tcPr>
            <w:tcW w:w="1384" w:type="dxa"/>
            <w:vAlign w:val="center"/>
          </w:tcPr>
          <w:p w14:paraId="1FB43043">
            <w:pPr>
              <w:jc w:val="right"/>
            </w:pPr>
            <w:r>
              <w:rPr>
                <w:rFonts w:hint="eastAsia"/>
              </w:rPr>
              <w:t>247,171</w:t>
            </w:r>
          </w:p>
        </w:tc>
        <w:tc>
          <w:tcPr>
            <w:tcW w:w="1384" w:type="dxa"/>
            <w:vAlign w:val="center"/>
          </w:tcPr>
          <w:p w14:paraId="4707C179">
            <w:pPr>
              <w:jc w:val="right"/>
            </w:pPr>
            <w:r>
              <w:rPr>
                <w:rFonts w:hint="eastAsia"/>
              </w:rPr>
              <w:t>16,834,816.81</w:t>
            </w:r>
          </w:p>
        </w:tc>
        <w:tc>
          <w:tcPr>
            <w:tcW w:w="1384" w:type="dxa"/>
            <w:vAlign w:val="center"/>
          </w:tcPr>
          <w:p w14:paraId="38885097">
            <w:pPr>
              <w:jc w:val="right"/>
            </w:pPr>
            <w:r>
              <w:rPr>
                <w:rFonts w:hint="eastAsia"/>
              </w:rPr>
              <w:t>0.52</w:t>
            </w:r>
          </w:p>
        </w:tc>
      </w:tr>
      <w:tr w14:paraId="6B75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7F00D">
            <w:pPr>
              <w:jc w:val="center"/>
            </w:pPr>
            <w:r>
              <w:rPr>
                <w:rFonts w:hint="eastAsia"/>
              </w:rPr>
              <w:t>21</w:t>
            </w:r>
          </w:p>
        </w:tc>
        <w:tc>
          <w:tcPr>
            <w:tcW w:w="1384" w:type="dxa"/>
            <w:vAlign w:val="center"/>
          </w:tcPr>
          <w:p w14:paraId="45B0D92D">
            <w:r>
              <w:rPr>
                <w:rFonts w:hint="eastAsia"/>
              </w:rPr>
              <w:t>000893</w:t>
            </w:r>
          </w:p>
        </w:tc>
        <w:tc>
          <w:tcPr>
            <w:tcW w:w="1384" w:type="dxa"/>
            <w:vAlign w:val="center"/>
          </w:tcPr>
          <w:p w14:paraId="17A33585">
            <w:r>
              <w:rPr>
                <w:rFonts w:hint="eastAsia"/>
              </w:rPr>
              <w:t>亚钾国际</w:t>
            </w:r>
          </w:p>
        </w:tc>
        <w:tc>
          <w:tcPr>
            <w:tcW w:w="1384" w:type="dxa"/>
            <w:vAlign w:val="center"/>
          </w:tcPr>
          <w:p w14:paraId="3C3338F8">
            <w:pPr>
              <w:jc w:val="right"/>
            </w:pPr>
            <w:r>
              <w:rPr>
                <w:rFonts w:hint="eastAsia"/>
              </w:rPr>
              <w:t>348,980</w:t>
            </w:r>
          </w:p>
        </w:tc>
        <w:tc>
          <w:tcPr>
            <w:tcW w:w="1384" w:type="dxa"/>
            <w:vAlign w:val="center"/>
          </w:tcPr>
          <w:p w14:paraId="27A049FE">
            <w:pPr>
              <w:jc w:val="right"/>
            </w:pPr>
            <w:r>
              <w:rPr>
                <w:rFonts w:hint="eastAsia"/>
              </w:rPr>
              <w:t>16,740,570.60</w:t>
            </w:r>
          </w:p>
        </w:tc>
        <w:tc>
          <w:tcPr>
            <w:tcW w:w="1384" w:type="dxa"/>
            <w:vAlign w:val="center"/>
          </w:tcPr>
          <w:p w14:paraId="6D096C0F">
            <w:pPr>
              <w:jc w:val="right"/>
            </w:pPr>
            <w:r>
              <w:rPr>
                <w:rFonts w:hint="eastAsia"/>
              </w:rPr>
              <w:t>0.52</w:t>
            </w:r>
          </w:p>
        </w:tc>
      </w:tr>
      <w:tr w14:paraId="6162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4F82E">
            <w:pPr>
              <w:jc w:val="center"/>
            </w:pPr>
            <w:r>
              <w:rPr>
                <w:rFonts w:hint="eastAsia"/>
              </w:rPr>
              <w:t>22</w:t>
            </w:r>
          </w:p>
        </w:tc>
        <w:tc>
          <w:tcPr>
            <w:tcW w:w="1384" w:type="dxa"/>
            <w:vAlign w:val="center"/>
          </w:tcPr>
          <w:p w14:paraId="452655C7">
            <w:r>
              <w:rPr>
                <w:rFonts w:hint="eastAsia"/>
              </w:rPr>
              <w:t>002262</w:t>
            </w:r>
          </w:p>
        </w:tc>
        <w:tc>
          <w:tcPr>
            <w:tcW w:w="1384" w:type="dxa"/>
            <w:vAlign w:val="center"/>
          </w:tcPr>
          <w:p w14:paraId="2B15E8C9">
            <w:r>
              <w:rPr>
                <w:rFonts w:hint="eastAsia"/>
              </w:rPr>
              <w:t>恩华药业</w:t>
            </w:r>
          </w:p>
        </w:tc>
        <w:tc>
          <w:tcPr>
            <w:tcW w:w="1384" w:type="dxa"/>
            <w:vAlign w:val="center"/>
          </w:tcPr>
          <w:p w14:paraId="7045EB86">
            <w:pPr>
              <w:jc w:val="right"/>
            </w:pPr>
            <w:r>
              <w:rPr>
                <w:rFonts w:hint="eastAsia"/>
              </w:rPr>
              <w:t>639,100</w:t>
            </w:r>
          </w:p>
        </w:tc>
        <w:tc>
          <w:tcPr>
            <w:tcW w:w="1384" w:type="dxa"/>
            <w:vAlign w:val="center"/>
          </w:tcPr>
          <w:p w14:paraId="6E48D040">
            <w:pPr>
              <w:jc w:val="right"/>
            </w:pPr>
            <w:r>
              <w:rPr>
                <w:rFonts w:hint="eastAsia"/>
              </w:rPr>
              <w:t>15,421,483.00</w:t>
            </w:r>
          </w:p>
        </w:tc>
        <w:tc>
          <w:tcPr>
            <w:tcW w:w="1384" w:type="dxa"/>
            <w:vAlign w:val="center"/>
          </w:tcPr>
          <w:p w14:paraId="53DBC10A">
            <w:pPr>
              <w:jc w:val="right"/>
            </w:pPr>
            <w:r>
              <w:rPr>
                <w:rFonts w:hint="eastAsia"/>
              </w:rPr>
              <w:t>0.48</w:t>
            </w:r>
          </w:p>
        </w:tc>
      </w:tr>
      <w:tr w14:paraId="7E45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65BC7">
            <w:pPr>
              <w:jc w:val="center"/>
            </w:pPr>
            <w:r>
              <w:rPr>
                <w:rFonts w:hint="eastAsia"/>
              </w:rPr>
              <w:t>23</w:t>
            </w:r>
          </w:p>
        </w:tc>
        <w:tc>
          <w:tcPr>
            <w:tcW w:w="1384" w:type="dxa"/>
            <w:vAlign w:val="center"/>
          </w:tcPr>
          <w:p w14:paraId="6ED3532B">
            <w:r>
              <w:rPr>
                <w:rFonts w:hint="eastAsia"/>
              </w:rPr>
              <w:t>09988</w:t>
            </w:r>
          </w:p>
        </w:tc>
        <w:tc>
          <w:tcPr>
            <w:tcW w:w="1384" w:type="dxa"/>
            <w:vAlign w:val="center"/>
          </w:tcPr>
          <w:p w14:paraId="51E1F3A5">
            <w:r>
              <w:rPr>
                <w:rFonts w:hint="eastAsia"/>
              </w:rPr>
              <w:t>阿里巴巴-W</w:t>
            </w:r>
          </w:p>
        </w:tc>
        <w:tc>
          <w:tcPr>
            <w:tcW w:w="1384" w:type="dxa"/>
            <w:vAlign w:val="center"/>
          </w:tcPr>
          <w:p w14:paraId="2B6B748B">
            <w:pPr>
              <w:jc w:val="right"/>
            </w:pPr>
            <w:r>
              <w:rPr>
                <w:rFonts w:hint="eastAsia"/>
              </w:rPr>
              <w:t>113,800</w:t>
            </w:r>
          </w:p>
        </w:tc>
        <w:tc>
          <w:tcPr>
            <w:tcW w:w="1384" w:type="dxa"/>
            <w:vAlign w:val="center"/>
          </w:tcPr>
          <w:p w14:paraId="3D0F75D7">
            <w:pPr>
              <w:jc w:val="right"/>
            </w:pPr>
            <w:r>
              <w:rPr>
                <w:rFonts w:hint="eastAsia"/>
              </w:rPr>
              <w:t>14,677,903.06</w:t>
            </w:r>
          </w:p>
        </w:tc>
        <w:tc>
          <w:tcPr>
            <w:tcW w:w="1384" w:type="dxa"/>
            <w:vAlign w:val="center"/>
          </w:tcPr>
          <w:p w14:paraId="14624D79">
            <w:pPr>
              <w:jc w:val="right"/>
            </w:pPr>
            <w:r>
              <w:rPr>
                <w:rFonts w:hint="eastAsia"/>
              </w:rPr>
              <w:t>0.46</w:t>
            </w:r>
          </w:p>
        </w:tc>
      </w:tr>
      <w:tr w14:paraId="44B6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5A7FF">
            <w:pPr>
              <w:jc w:val="center"/>
            </w:pPr>
            <w:r>
              <w:rPr>
                <w:rFonts w:hint="eastAsia"/>
              </w:rPr>
              <w:t>24</w:t>
            </w:r>
          </w:p>
        </w:tc>
        <w:tc>
          <w:tcPr>
            <w:tcW w:w="1384" w:type="dxa"/>
            <w:vAlign w:val="center"/>
          </w:tcPr>
          <w:p w14:paraId="54760E15">
            <w:r>
              <w:rPr>
                <w:rFonts w:hint="eastAsia"/>
              </w:rPr>
              <w:t>01177</w:t>
            </w:r>
          </w:p>
        </w:tc>
        <w:tc>
          <w:tcPr>
            <w:tcW w:w="1384" w:type="dxa"/>
            <w:vAlign w:val="center"/>
          </w:tcPr>
          <w:p w14:paraId="6E285F7F">
            <w:r>
              <w:rPr>
                <w:rFonts w:hint="eastAsia"/>
              </w:rPr>
              <w:t>中国生物制药</w:t>
            </w:r>
          </w:p>
        </w:tc>
        <w:tc>
          <w:tcPr>
            <w:tcW w:w="1384" w:type="dxa"/>
            <w:vAlign w:val="center"/>
          </w:tcPr>
          <w:p w14:paraId="1103A2AD">
            <w:pPr>
              <w:jc w:val="right"/>
            </w:pPr>
            <w:r>
              <w:rPr>
                <w:rFonts w:hint="eastAsia"/>
              </w:rPr>
              <w:t>2,558,000</w:t>
            </w:r>
          </w:p>
        </w:tc>
        <w:tc>
          <w:tcPr>
            <w:tcW w:w="1384" w:type="dxa"/>
            <w:vAlign w:val="center"/>
          </w:tcPr>
          <w:p w14:paraId="65B36370">
            <w:pPr>
              <w:jc w:val="right"/>
            </w:pPr>
            <w:r>
              <w:rPr>
                <w:rFonts w:hint="eastAsia"/>
              </w:rPr>
              <w:t>14,278,499.18</w:t>
            </w:r>
          </w:p>
        </w:tc>
        <w:tc>
          <w:tcPr>
            <w:tcW w:w="1384" w:type="dxa"/>
            <w:vAlign w:val="center"/>
          </w:tcPr>
          <w:p w14:paraId="40B4CD5A">
            <w:pPr>
              <w:jc w:val="right"/>
            </w:pPr>
            <w:r>
              <w:rPr>
                <w:rFonts w:hint="eastAsia"/>
              </w:rPr>
              <w:t>0.44</w:t>
            </w:r>
          </w:p>
        </w:tc>
      </w:tr>
      <w:tr w14:paraId="4899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25C8F">
            <w:pPr>
              <w:jc w:val="center"/>
            </w:pPr>
            <w:r>
              <w:rPr>
                <w:rFonts w:hint="eastAsia"/>
              </w:rPr>
              <w:t>25</w:t>
            </w:r>
          </w:p>
        </w:tc>
        <w:tc>
          <w:tcPr>
            <w:tcW w:w="1384" w:type="dxa"/>
            <w:vAlign w:val="center"/>
          </w:tcPr>
          <w:p w14:paraId="5A493874">
            <w:r>
              <w:rPr>
                <w:rFonts w:hint="eastAsia"/>
              </w:rPr>
              <w:t>600153</w:t>
            </w:r>
          </w:p>
        </w:tc>
        <w:tc>
          <w:tcPr>
            <w:tcW w:w="1384" w:type="dxa"/>
            <w:vAlign w:val="center"/>
          </w:tcPr>
          <w:p w14:paraId="21D0320D">
            <w:r>
              <w:rPr>
                <w:rFonts w:hint="eastAsia"/>
              </w:rPr>
              <w:t>建发股份</w:t>
            </w:r>
          </w:p>
        </w:tc>
        <w:tc>
          <w:tcPr>
            <w:tcW w:w="1384" w:type="dxa"/>
            <w:vAlign w:val="center"/>
          </w:tcPr>
          <w:p w14:paraId="7537A2AA">
            <w:pPr>
              <w:jc w:val="right"/>
            </w:pPr>
            <w:r>
              <w:rPr>
                <w:rFonts w:hint="eastAsia"/>
              </w:rPr>
              <w:t>1,540,577</w:t>
            </w:r>
          </w:p>
        </w:tc>
        <w:tc>
          <w:tcPr>
            <w:tcW w:w="1384" w:type="dxa"/>
            <w:vAlign w:val="center"/>
          </w:tcPr>
          <w:p w14:paraId="7795D391">
            <w:pPr>
              <w:jc w:val="right"/>
            </w:pPr>
            <w:r>
              <w:rPr>
                <w:rFonts w:hint="eastAsia"/>
              </w:rPr>
              <w:t>14,250,337.25</w:t>
            </w:r>
          </w:p>
        </w:tc>
        <w:tc>
          <w:tcPr>
            <w:tcW w:w="1384" w:type="dxa"/>
            <w:vAlign w:val="center"/>
          </w:tcPr>
          <w:p w14:paraId="405E94D0">
            <w:pPr>
              <w:jc w:val="right"/>
            </w:pPr>
            <w:r>
              <w:rPr>
                <w:rFonts w:hint="eastAsia"/>
              </w:rPr>
              <w:t>0.44</w:t>
            </w:r>
          </w:p>
        </w:tc>
      </w:tr>
      <w:tr w14:paraId="7BD5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FA9AAB">
            <w:pPr>
              <w:jc w:val="center"/>
            </w:pPr>
            <w:r>
              <w:rPr>
                <w:rFonts w:hint="eastAsia"/>
              </w:rPr>
              <w:t>26</w:t>
            </w:r>
          </w:p>
        </w:tc>
        <w:tc>
          <w:tcPr>
            <w:tcW w:w="1384" w:type="dxa"/>
            <w:vAlign w:val="center"/>
          </w:tcPr>
          <w:p w14:paraId="4DC6E952">
            <w:r>
              <w:rPr>
                <w:rFonts w:hint="eastAsia"/>
              </w:rPr>
              <w:t>000513</w:t>
            </w:r>
          </w:p>
        </w:tc>
        <w:tc>
          <w:tcPr>
            <w:tcW w:w="1384" w:type="dxa"/>
            <w:vAlign w:val="center"/>
          </w:tcPr>
          <w:p w14:paraId="3B6D0849">
            <w:r>
              <w:rPr>
                <w:rFonts w:hint="eastAsia"/>
              </w:rPr>
              <w:t>丽珠集团</w:t>
            </w:r>
          </w:p>
        </w:tc>
        <w:tc>
          <w:tcPr>
            <w:tcW w:w="1384" w:type="dxa"/>
            <w:vAlign w:val="center"/>
          </w:tcPr>
          <w:p w14:paraId="40E6BC5D">
            <w:pPr>
              <w:jc w:val="right"/>
            </w:pPr>
            <w:r>
              <w:rPr>
                <w:rFonts w:hint="eastAsia"/>
              </w:rPr>
              <w:t>360,500</w:t>
            </w:r>
          </w:p>
        </w:tc>
        <w:tc>
          <w:tcPr>
            <w:tcW w:w="1384" w:type="dxa"/>
            <w:vAlign w:val="center"/>
          </w:tcPr>
          <w:p w14:paraId="6687AD34">
            <w:pPr>
              <w:jc w:val="right"/>
            </w:pPr>
            <w:r>
              <w:rPr>
                <w:rFonts w:hint="eastAsia"/>
              </w:rPr>
              <w:t>12,422,830.00</w:t>
            </w:r>
          </w:p>
        </w:tc>
        <w:tc>
          <w:tcPr>
            <w:tcW w:w="1384" w:type="dxa"/>
            <w:vAlign w:val="center"/>
          </w:tcPr>
          <w:p w14:paraId="2910974A">
            <w:pPr>
              <w:jc w:val="right"/>
            </w:pPr>
            <w:r>
              <w:rPr>
                <w:rFonts w:hint="eastAsia"/>
              </w:rPr>
              <w:t>0.39</w:t>
            </w:r>
          </w:p>
        </w:tc>
      </w:tr>
      <w:tr w14:paraId="3F72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A2A9B">
            <w:pPr>
              <w:jc w:val="center"/>
            </w:pPr>
            <w:r>
              <w:rPr>
                <w:rFonts w:hint="eastAsia"/>
              </w:rPr>
              <w:t>27</w:t>
            </w:r>
          </w:p>
        </w:tc>
        <w:tc>
          <w:tcPr>
            <w:tcW w:w="1384" w:type="dxa"/>
            <w:vAlign w:val="center"/>
          </w:tcPr>
          <w:p w14:paraId="1B3C3F0B">
            <w:r>
              <w:rPr>
                <w:rFonts w:hint="eastAsia"/>
              </w:rPr>
              <w:t>600690</w:t>
            </w:r>
          </w:p>
        </w:tc>
        <w:tc>
          <w:tcPr>
            <w:tcW w:w="1384" w:type="dxa"/>
            <w:vAlign w:val="center"/>
          </w:tcPr>
          <w:p w14:paraId="1B07BFF6">
            <w:r>
              <w:rPr>
                <w:rFonts w:hint="eastAsia"/>
              </w:rPr>
              <w:t>海尔智家</w:t>
            </w:r>
          </w:p>
        </w:tc>
        <w:tc>
          <w:tcPr>
            <w:tcW w:w="1384" w:type="dxa"/>
            <w:vAlign w:val="center"/>
          </w:tcPr>
          <w:p w14:paraId="1731BCCC">
            <w:pPr>
              <w:jc w:val="right"/>
            </w:pPr>
            <w:r>
              <w:rPr>
                <w:rFonts w:hint="eastAsia"/>
              </w:rPr>
              <w:t>438,300</w:t>
            </w:r>
          </w:p>
        </w:tc>
        <w:tc>
          <w:tcPr>
            <w:tcW w:w="1384" w:type="dxa"/>
            <w:vAlign w:val="center"/>
          </w:tcPr>
          <w:p w14:paraId="01A7D390">
            <w:pPr>
              <w:jc w:val="right"/>
            </w:pPr>
            <w:r>
              <w:rPr>
                <w:rFonts w:hint="eastAsia"/>
              </w:rPr>
              <w:t>11,435,247.00</w:t>
            </w:r>
          </w:p>
        </w:tc>
        <w:tc>
          <w:tcPr>
            <w:tcW w:w="1384" w:type="dxa"/>
            <w:vAlign w:val="center"/>
          </w:tcPr>
          <w:p w14:paraId="5A6013E5">
            <w:pPr>
              <w:jc w:val="right"/>
            </w:pPr>
            <w:r>
              <w:rPr>
                <w:rFonts w:hint="eastAsia"/>
              </w:rPr>
              <w:t>0.36</w:t>
            </w:r>
          </w:p>
        </w:tc>
      </w:tr>
      <w:tr w14:paraId="0923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F4DE5">
            <w:pPr>
              <w:jc w:val="center"/>
            </w:pPr>
            <w:r>
              <w:rPr>
                <w:rFonts w:hint="eastAsia"/>
              </w:rPr>
              <w:t>28</w:t>
            </w:r>
          </w:p>
        </w:tc>
        <w:tc>
          <w:tcPr>
            <w:tcW w:w="1384" w:type="dxa"/>
            <w:vAlign w:val="center"/>
          </w:tcPr>
          <w:p w14:paraId="70910DAC">
            <w:r>
              <w:rPr>
                <w:rFonts w:hint="eastAsia"/>
              </w:rPr>
              <w:t>300558</w:t>
            </w:r>
          </w:p>
        </w:tc>
        <w:tc>
          <w:tcPr>
            <w:tcW w:w="1384" w:type="dxa"/>
            <w:vAlign w:val="center"/>
          </w:tcPr>
          <w:p w14:paraId="492E03FA">
            <w:r>
              <w:rPr>
                <w:rFonts w:hint="eastAsia"/>
              </w:rPr>
              <w:t>贝达药业</w:t>
            </w:r>
          </w:p>
        </w:tc>
        <w:tc>
          <w:tcPr>
            <w:tcW w:w="1384" w:type="dxa"/>
            <w:vAlign w:val="center"/>
          </w:tcPr>
          <w:p w14:paraId="6114E056">
            <w:pPr>
              <w:jc w:val="right"/>
            </w:pPr>
            <w:r>
              <w:rPr>
                <w:rFonts w:hint="eastAsia"/>
              </w:rPr>
              <w:t>230,400</w:t>
            </w:r>
          </w:p>
        </w:tc>
        <w:tc>
          <w:tcPr>
            <w:tcW w:w="1384" w:type="dxa"/>
            <w:vAlign w:val="center"/>
          </w:tcPr>
          <w:p w14:paraId="183EBB73">
            <w:pPr>
              <w:jc w:val="right"/>
            </w:pPr>
            <w:r>
              <w:rPr>
                <w:rFonts w:hint="eastAsia"/>
              </w:rPr>
              <w:t>10,757,376.00</w:t>
            </w:r>
          </w:p>
        </w:tc>
        <w:tc>
          <w:tcPr>
            <w:tcW w:w="1384" w:type="dxa"/>
            <w:vAlign w:val="center"/>
          </w:tcPr>
          <w:p w14:paraId="1EFCB6C7">
            <w:pPr>
              <w:jc w:val="right"/>
            </w:pPr>
            <w:r>
              <w:rPr>
                <w:rFonts w:hint="eastAsia"/>
              </w:rPr>
              <w:t>0.33</w:t>
            </w:r>
          </w:p>
        </w:tc>
      </w:tr>
      <w:tr w14:paraId="6786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70F17">
            <w:pPr>
              <w:jc w:val="center"/>
            </w:pPr>
            <w:r>
              <w:rPr>
                <w:rFonts w:hint="eastAsia"/>
              </w:rPr>
              <w:t>29</w:t>
            </w:r>
          </w:p>
        </w:tc>
        <w:tc>
          <w:tcPr>
            <w:tcW w:w="1384" w:type="dxa"/>
            <w:vAlign w:val="center"/>
          </w:tcPr>
          <w:p w14:paraId="0111482C">
            <w:r>
              <w:rPr>
                <w:rFonts w:hint="eastAsia"/>
              </w:rPr>
              <w:t>300760</w:t>
            </w:r>
          </w:p>
        </w:tc>
        <w:tc>
          <w:tcPr>
            <w:tcW w:w="1384" w:type="dxa"/>
            <w:vAlign w:val="center"/>
          </w:tcPr>
          <w:p w14:paraId="09AC89B9">
            <w:r>
              <w:rPr>
                <w:rFonts w:hint="eastAsia"/>
              </w:rPr>
              <w:t>迈瑞医疗</w:t>
            </w:r>
          </w:p>
        </w:tc>
        <w:tc>
          <w:tcPr>
            <w:tcW w:w="1384" w:type="dxa"/>
            <w:vAlign w:val="center"/>
          </w:tcPr>
          <w:p w14:paraId="0AD29EA9">
            <w:pPr>
              <w:jc w:val="right"/>
            </w:pPr>
            <w:r>
              <w:rPr>
                <w:rFonts w:hint="eastAsia"/>
              </w:rPr>
              <w:t>46,000</w:t>
            </w:r>
          </w:p>
        </w:tc>
        <w:tc>
          <w:tcPr>
            <w:tcW w:w="1384" w:type="dxa"/>
            <w:vAlign w:val="center"/>
          </w:tcPr>
          <w:p w14:paraId="070DE7E0">
            <w:pPr>
              <w:jc w:val="right"/>
            </w:pPr>
            <w:r>
              <w:rPr>
                <w:rFonts w:hint="eastAsia"/>
              </w:rPr>
              <w:t>8,760,700.00</w:t>
            </w:r>
          </w:p>
        </w:tc>
        <w:tc>
          <w:tcPr>
            <w:tcW w:w="1384" w:type="dxa"/>
            <w:vAlign w:val="center"/>
          </w:tcPr>
          <w:p w14:paraId="2EEC534B">
            <w:pPr>
              <w:jc w:val="right"/>
            </w:pPr>
            <w:r>
              <w:rPr>
                <w:rFonts w:hint="eastAsia"/>
              </w:rPr>
              <w:t>0.27</w:t>
            </w:r>
          </w:p>
        </w:tc>
      </w:tr>
    </w:tbl>
    <w:p w14:paraId="15AC526A">
      <w:pPr>
        <w:pStyle w:val="47"/>
        <w:rPr>
          <w:rFonts w:hint="eastAsia"/>
        </w:rPr>
      </w:pPr>
      <w:r>
        <w:rPr>
          <w:rFonts w:hint="eastAsia"/>
        </w:rPr>
        <w:t>注：对于同时在A+H股上市的股票，合并计算公允价值参与排序，并按照不同股票分别披露。</w:t>
      </w:r>
    </w:p>
    <w:p w14:paraId="12DCCD6E">
      <w:pPr>
        <w:pStyle w:val="23"/>
      </w:pPr>
      <w:bookmarkStart w:id="168" w:name="_Toc31487"/>
      <w:r>
        <w:t>报告期内股票投资组合的重大变动</w:t>
      </w:r>
      <w:bookmarkEnd w:id="168"/>
    </w:p>
    <w:p w14:paraId="658EB4E0">
      <w:pPr>
        <w:pStyle w:val="28"/>
      </w:pPr>
      <w:bookmarkStart w:id="169" w:name="_Toc169"/>
      <w:r>
        <w:t>累计买入金额超出期末基金资产净值2%或前20名的股票明细</w:t>
      </w:r>
      <w:bookmarkEnd w:id="169"/>
    </w:p>
    <w:p w14:paraId="57BE97F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3BBB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5AD2DC6">
            <w:pPr>
              <w:jc w:val="center"/>
            </w:pPr>
            <w:r>
              <w:rPr>
                <w:rFonts w:hint="eastAsia"/>
                <w:b/>
              </w:rPr>
              <w:t>序号</w:t>
            </w:r>
          </w:p>
        </w:tc>
        <w:tc>
          <w:tcPr>
            <w:tcW w:w="1113" w:type="dxa"/>
            <w:shd w:val="clear" w:color="auto" w:fill="BFBFBF"/>
            <w:vAlign w:val="center"/>
          </w:tcPr>
          <w:p w14:paraId="5472C19B">
            <w:pPr>
              <w:jc w:val="center"/>
            </w:pPr>
            <w:r>
              <w:rPr>
                <w:rFonts w:hint="eastAsia"/>
                <w:b/>
              </w:rPr>
              <w:t>股票代码</w:t>
            </w:r>
          </w:p>
        </w:tc>
        <w:tc>
          <w:tcPr>
            <w:tcW w:w="1738" w:type="dxa"/>
            <w:shd w:val="clear" w:color="auto" w:fill="BFBFBF"/>
            <w:vAlign w:val="center"/>
          </w:tcPr>
          <w:p w14:paraId="68086E09">
            <w:pPr>
              <w:jc w:val="center"/>
            </w:pPr>
            <w:r>
              <w:rPr>
                <w:rFonts w:hint="eastAsia"/>
                <w:b/>
              </w:rPr>
              <w:t>股票名称</w:t>
            </w:r>
          </w:p>
        </w:tc>
        <w:tc>
          <w:tcPr>
            <w:tcW w:w="2995" w:type="dxa"/>
            <w:shd w:val="clear" w:color="auto" w:fill="BFBFBF"/>
            <w:vAlign w:val="center"/>
          </w:tcPr>
          <w:p w14:paraId="3832D9F1">
            <w:pPr>
              <w:jc w:val="center"/>
            </w:pPr>
            <w:r>
              <w:rPr>
                <w:rFonts w:hint="eastAsia"/>
                <w:b/>
              </w:rPr>
              <w:t>本期累计买入金额</w:t>
            </w:r>
          </w:p>
        </w:tc>
        <w:tc>
          <w:tcPr>
            <w:tcW w:w="1716" w:type="dxa"/>
            <w:shd w:val="clear" w:color="auto" w:fill="BFBFBF"/>
            <w:vAlign w:val="center"/>
          </w:tcPr>
          <w:p w14:paraId="60FB7996">
            <w:pPr>
              <w:jc w:val="center"/>
            </w:pPr>
            <w:r>
              <w:rPr>
                <w:rFonts w:hint="eastAsia"/>
                <w:b/>
              </w:rPr>
              <w:t>占期末基金资产净值比例（％）</w:t>
            </w:r>
          </w:p>
        </w:tc>
      </w:tr>
      <w:tr w14:paraId="209E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C9D203">
            <w:pPr>
              <w:jc w:val="center"/>
            </w:pPr>
            <w:r>
              <w:rPr>
                <w:rFonts w:hint="eastAsia"/>
              </w:rPr>
              <w:t>1</w:t>
            </w:r>
          </w:p>
        </w:tc>
        <w:tc>
          <w:tcPr>
            <w:tcW w:w="1113" w:type="dxa"/>
            <w:vAlign w:val="center"/>
          </w:tcPr>
          <w:p w14:paraId="6AB4BF61">
            <w:r>
              <w:rPr>
                <w:rFonts w:hint="eastAsia"/>
              </w:rPr>
              <w:t>00763</w:t>
            </w:r>
          </w:p>
        </w:tc>
        <w:tc>
          <w:tcPr>
            <w:tcW w:w="1738" w:type="dxa"/>
            <w:vAlign w:val="center"/>
          </w:tcPr>
          <w:p w14:paraId="4E590AEF">
            <w:r>
              <w:rPr>
                <w:rFonts w:hint="eastAsia"/>
              </w:rPr>
              <w:t>中兴通讯</w:t>
            </w:r>
          </w:p>
        </w:tc>
        <w:tc>
          <w:tcPr>
            <w:tcW w:w="2995" w:type="dxa"/>
            <w:vAlign w:val="center"/>
          </w:tcPr>
          <w:p w14:paraId="4E835689">
            <w:pPr>
              <w:jc w:val="right"/>
            </w:pPr>
            <w:r>
              <w:rPr>
                <w:rFonts w:hint="eastAsia"/>
              </w:rPr>
              <w:t>61,665,770.97</w:t>
            </w:r>
          </w:p>
        </w:tc>
        <w:tc>
          <w:tcPr>
            <w:tcW w:w="1716" w:type="dxa"/>
            <w:vAlign w:val="center"/>
          </w:tcPr>
          <w:p w14:paraId="732C7E62">
            <w:pPr>
              <w:jc w:val="right"/>
            </w:pPr>
            <w:r>
              <w:rPr>
                <w:rFonts w:hint="eastAsia"/>
              </w:rPr>
              <w:t>1.92</w:t>
            </w:r>
          </w:p>
        </w:tc>
      </w:tr>
      <w:tr w14:paraId="6418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8F298B">
            <w:pPr>
              <w:jc w:val="center"/>
            </w:pPr>
            <w:r>
              <w:rPr>
                <w:rFonts w:hint="eastAsia"/>
              </w:rPr>
              <w:t>2</w:t>
            </w:r>
          </w:p>
        </w:tc>
        <w:tc>
          <w:tcPr>
            <w:tcW w:w="1113" w:type="dxa"/>
            <w:vAlign w:val="center"/>
          </w:tcPr>
          <w:p w14:paraId="55B8F63E">
            <w:r>
              <w:rPr>
                <w:rFonts w:hint="eastAsia"/>
              </w:rPr>
              <w:t>300750</w:t>
            </w:r>
          </w:p>
        </w:tc>
        <w:tc>
          <w:tcPr>
            <w:tcW w:w="1738" w:type="dxa"/>
            <w:vAlign w:val="center"/>
          </w:tcPr>
          <w:p w14:paraId="4D2686CA">
            <w:r>
              <w:rPr>
                <w:rFonts w:hint="eastAsia"/>
              </w:rPr>
              <w:t>宁德时代</w:t>
            </w:r>
          </w:p>
        </w:tc>
        <w:tc>
          <w:tcPr>
            <w:tcW w:w="2995" w:type="dxa"/>
            <w:vAlign w:val="center"/>
          </w:tcPr>
          <w:p w14:paraId="6C8917EF">
            <w:pPr>
              <w:jc w:val="right"/>
            </w:pPr>
            <w:r>
              <w:rPr>
                <w:rFonts w:hint="eastAsia"/>
              </w:rPr>
              <w:t>49,442,533.60</w:t>
            </w:r>
          </w:p>
        </w:tc>
        <w:tc>
          <w:tcPr>
            <w:tcW w:w="1716" w:type="dxa"/>
            <w:vAlign w:val="center"/>
          </w:tcPr>
          <w:p w14:paraId="6525D0E2">
            <w:pPr>
              <w:jc w:val="right"/>
            </w:pPr>
            <w:r>
              <w:rPr>
                <w:rFonts w:hint="eastAsia"/>
              </w:rPr>
              <w:t>1.54</w:t>
            </w:r>
          </w:p>
        </w:tc>
      </w:tr>
      <w:tr w14:paraId="3572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19EBFB">
            <w:pPr>
              <w:jc w:val="center"/>
            </w:pPr>
            <w:r>
              <w:rPr>
                <w:rFonts w:hint="eastAsia"/>
              </w:rPr>
              <w:t>3</w:t>
            </w:r>
          </w:p>
        </w:tc>
        <w:tc>
          <w:tcPr>
            <w:tcW w:w="1113" w:type="dxa"/>
            <w:vAlign w:val="center"/>
          </w:tcPr>
          <w:p w14:paraId="477B047C">
            <w:r>
              <w:rPr>
                <w:rFonts w:hint="eastAsia"/>
              </w:rPr>
              <w:t>000063</w:t>
            </w:r>
          </w:p>
        </w:tc>
        <w:tc>
          <w:tcPr>
            <w:tcW w:w="1738" w:type="dxa"/>
            <w:vAlign w:val="center"/>
          </w:tcPr>
          <w:p w14:paraId="5675F8F9">
            <w:r>
              <w:rPr>
                <w:rFonts w:hint="eastAsia"/>
              </w:rPr>
              <w:t>中兴通讯</w:t>
            </w:r>
          </w:p>
        </w:tc>
        <w:tc>
          <w:tcPr>
            <w:tcW w:w="2995" w:type="dxa"/>
            <w:vAlign w:val="center"/>
          </w:tcPr>
          <w:p w14:paraId="55DC01B3">
            <w:pPr>
              <w:jc w:val="right"/>
            </w:pPr>
            <w:r>
              <w:rPr>
                <w:rFonts w:hint="eastAsia"/>
              </w:rPr>
              <w:t>45,002,009.00</w:t>
            </w:r>
          </w:p>
        </w:tc>
        <w:tc>
          <w:tcPr>
            <w:tcW w:w="1716" w:type="dxa"/>
            <w:vAlign w:val="center"/>
          </w:tcPr>
          <w:p w14:paraId="4DCDAC34">
            <w:pPr>
              <w:jc w:val="right"/>
            </w:pPr>
            <w:r>
              <w:rPr>
                <w:rFonts w:hint="eastAsia"/>
              </w:rPr>
              <w:t>1.40</w:t>
            </w:r>
          </w:p>
        </w:tc>
      </w:tr>
      <w:tr w14:paraId="60BB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5AF02F">
            <w:pPr>
              <w:jc w:val="center"/>
            </w:pPr>
            <w:r>
              <w:rPr>
                <w:rFonts w:hint="eastAsia"/>
              </w:rPr>
              <w:t>4</w:t>
            </w:r>
          </w:p>
        </w:tc>
        <w:tc>
          <w:tcPr>
            <w:tcW w:w="1113" w:type="dxa"/>
            <w:vAlign w:val="center"/>
          </w:tcPr>
          <w:p w14:paraId="3BAEC4CA">
            <w:r>
              <w:rPr>
                <w:rFonts w:hint="eastAsia"/>
              </w:rPr>
              <w:t>601318</w:t>
            </w:r>
          </w:p>
        </w:tc>
        <w:tc>
          <w:tcPr>
            <w:tcW w:w="1738" w:type="dxa"/>
            <w:vAlign w:val="center"/>
          </w:tcPr>
          <w:p w14:paraId="3338EDDF">
            <w:r>
              <w:rPr>
                <w:rFonts w:hint="eastAsia"/>
              </w:rPr>
              <w:t>中国平安</w:t>
            </w:r>
          </w:p>
        </w:tc>
        <w:tc>
          <w:tcPr>
            <w:tcW w:w="2995" w:type="dxa"/>
            <w:vAlign w:val="center"/>
          </w:tcPr>
          <w:p w14:paraId="7F1DD0D1">
            <w:pPr>
              <w:jc w:val="right"/>
            </w:pPr>
            <w:r>
              <w:rPr>
                <w:rFonts w:hint="eastAsia"/>
              </w:rPr>
              <w:t>42,071,564.99</w:t>
            </w:r>
          </w:p>
        </w:tc>
        <w:tc>
          <w:tcPr>
            <w:tcW w:w="1716" w:type="dxa"/>
            <w:vAlign w:val="center"/>
          </w:tcPr>
          <w:p w14:paraId="320F8A88">
            <w:pPr>
              <w:jc w:val="right"/>
            </w:pPr>
            <w:r>
              <w:rPr>
                <w:rFonts w:hint="eastAsia"/>
              </w:rPr>
              <w:t>1.31</w:t>
            </w:r>
          </w:p>
        </w:tc>
      </w:tr>
      <w:tr w14:paraId="6A84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6D3BCD">
            <w:pPr>
              <w:jc w:val="center"/>
            </w:pPr>
            <w:r>
              <w:rPr>
                <w:rFonts w:hint="eastAsia"/>
              </w:rPr>
              <w:t>5</w:t>
            </w:r>
          </w:p>
        </w:tc>
        <w:tc>
          <w:tcPr>
            <w:tcW w:w="1113" w:type="dxa"/>
            <w:vAlign w:val="center"/>
          </w:tcPr>
          <w:p w14:paraId="579C1012">
            <w:r>
              <w:rPr>
                <w:rFonts w:hint="eastAsia"/>
              </w:rPr>
              <w:t>000963</w:t>
            </w:r>
          </w:p>
        </w:tc>
        <w:tc>
          <w:tcPr>
            <w:tcW w:w="1738" w:type="dxa"/>
            <w:vAlign w:val="center"/>
          </w:tcPr>
          <w:p w14:paraId="4A8AFA92">
            <w:r>
              <w:rPr>
                <w:rFonts w:hint="eastAsia"/>
              </w:rPr>
              <w:t>华东医药</w:t>
            </w:r>
          </w:p>
        </w:tc>
        <w:tc>
          <w:tcPr>
            <w:tcW w:w="2995" w:type="dxa"/>
            <w:vAlign w:val="center"/>
          </w:tcPr>
          <w:p w14:paraId="28BBD875">
            <w:pPr>
              <w:jc w:val="right"/>
            </w:pPr>
            <w:r>
              <w:rPr>
                <w:rFonts w:hint="eastAsia"/>
              </w:rPr>
              <w:t>32,129,698.00</w:t>
            </w:r>
          </w:p>
        </w:tc>
        <w:tc>
          <w:tcPr>
            <w:tcW w:w="1716" w:type="dxa"/>
            <w:vAlign w:val="center"/>
          </w:tcPr>
          <w:p w14:paraId="03A095A3">
            <w:pPr>
              <w:jc w:val="right"/>
            </w:pPr>
            <w:r>
              <w:rPr>
                <w:rFonts w:hint="eastAsia"/>
              </w:rPr>
              <w:t>1.00</w:t>
            </w:r>
          </w:p>
        </w:tc>
      </w:tr>
      <w:tr w14:paraId="4AA0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2FC183">
            <w:pPr>
              <w:jc w:val="center"/>
            </w:pPr>
            <w:r>
              <w:rPr>
                <w:rFonts w:hint="eastAsia"/>
              </w:rPr>
              <w:t>6</w:t>
            </w:r>
          </w:p>
        </w:tc>
        <w:tc>
          <w:tcPr>
            <w:tcW w:w="1113" w:type="dxa"/>
            <w:vAlign w:val="center"/>
          </w:tcPr>
          <w:p w14:paraId="3D001B4D">
            <w:r>
              <w:rPr>
                <w:rFonts w:hint="eastAsia"/>
              </w:rPr>
              <w:t>603619</w:t>
            </w:r>
          </w:p>
        </w:tc>
        <w:tc>
          <w:tcPr>
            <w:tcW w:w="1738" w:type="dxa"/>
            <w:vAlign w:val="center"/>
          </w:tcPr>
          <w:p w14:paraId="7FBFC5E6">
            <w:r>
              <w:rPr>
                <w:rFonts w:hint="eastAsia"/>
              </w:rPr>
              <w:t>中曼石油</w:t>
            </w:r>
          </w:p>
        </w:tc>
        <w:tc>
          <w:tcPr>
            <w:tcW w:w="2995" w:type="dxa"/>
            <w:vAlign w:val="center"/>
          </w:tcPr>
          <w:p w14:paraId="320464FB">
            <w:pPr>
              <w:jc w:val="right"/>
            </w:pPr>
            <w:r>
              <w:rPr>
                <w:rFonts w:hint="eastAsia"/>
              </w:rPr>
              <w:t>26,829,427.65</w:t>
            </w:r>
          </w:p>
        </w:tc>
        <w:tc>
          <w:tcPr>
            <w:tcW w:w="1716" w:type="dxa"/>
            <w:vAlign w:val="center"/>
          </w:tcPr>
          <w:p w14:paraId="032BD60F">
            <w:pPr>
              <w:jc w:val="right"/>
            </w:pPr>
            <w:r>
              <w:rPr>
                <w:rFonts w:hint="eastAsia"/>
              </w:rPr>
              <w:t>0.84</w:t>
            </w:r>
          </w:p>
        </w:tc>
      </w:tr>
      <w:tr w14:paraId="727B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7BB164">
            <w:pPr>
              <w:jc w:val="center"/>
            </w:pPr>
            <w:r>
              <w:rPr>
                <w:rFonts w:hint="eastAsia"/>
              </w:rPr>
              <w:t>7</w:t>
            </w:r>
          </w:p>
        </w:tc>
        <w:tc>
          <w:tcPr>
            <w:tcW w:w="1113" w:type="dxa"/>
            <w:vAlign w:val="center"/>
          </w:tcPr>
          <w:p w14:paraId="3593E7B3">
            <w:r>
              <w:rPr>
                <w:rFonts w:hint="eastAsia"/>
              </w:rPr>
              <w:t>002352</w:t>
            </w:r>
          </w:p>
        </w:tc>
        <w:tc>
          <w:tcPr>
            <w:tcW w:w="1738" w:type="dxa"/>
            <w:vAlign w:val="center"/>
          </w:tcPr>
          <w:p w14:paraId="006EFF5C">
            <w:r>
              <w:rPr>
                <w:rFonts w:hint="eastAsia"/>
              </w:rPr>
              <w:t>顺丰控股</w:t>
            </w:r>
          </w:p>
        </w:tc>
        <w:tc>
          <w:tcPr>
            <w:tcW w:w="2995" w:type="dxa"/>
            <w:vAlign w:val="center"/>
          </w:tcPr>
          <w:p w14:paraId="3C1628E4">
            <w:pPr>
              <w:jc w:val="right"/>
            </w:pPr>
            <w:r>
              <w:rPr>
                <w:rFonts w:hint="eastAsia"/>
              </w:rPr>
              <w:t>25,576,835.50</w:t>
            </w:r>
          </w:p>
        </w:tc>
        <w:tc>
          <w:tcPr>
            <w:tcW w:w="1716" w:type="dxa"/>
            <w:vAlign w:val="center"/>
          </w:tcPr>
          <w:p w14:paraId="15A64171">
            <w:pPr>
              <w:jc w:val="right"/>
            </w:pPr>
            <w:r>
              <w:rPr>
                <w:rFonts w:hint="eastAsia"/>
              </w:rPr>
              <w:t>0.80</w:t>
            </w:r>
          </w:p>
        </w:tc>
      </w:tr>
      <w:tr w14:paraId="75C9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6C48B2">
            <w:pPr>
              <w:jc w:val="center"/>
            </w:pPr>
            <w:r>
              <w:rPr>
                <w:rFonts w:hint="eastAsia"/>
              </w:rPr>
              <w:t>8</w:t>
            </w:r>
          </w:p>
        </w:tc>
        <w:tc>
          <w:tcPr>
            <w:tcW w:w="1113" w:type="dxa"/>
            <w:vAlign w:val="center"/>
          </w:tcPr>
          <w:p w14:paraId="668D1C28">
            <w:r>
              <w:rPr>
                <w:rFonts w:hint="eastAsia"/>
              </w:rPr>
              <w:t>002142</w:t>
            </w:r>
          </w:p>
        </w:tc>
        <w:tc>
          <w:tcPr>
            <w:tcW w:w="1738" w:type="dxa"/>
            <w:vAlign w:val="center"/>
          </w:tcPr>
          <w:p w14:paraId="7185530A">
            <w:r>
              <w:rPr>
                <w:rFonts w:hint="eastAsia"/>
              </w:rPr>
              <w:t>宁波银行</w:t>
            </w:r>
          </w:p>
        </w:tc>
        <w:tc>
          <w:tcPr>
            <w:tcW w:w="2995" w:type="dxa"/>
            <w:vAlign w:val="center"/>
          </w:tcPr>
          <w:p w14:paraId="50EFFA1B">
            <w:pPr>
              <w:jc w:val="right"/>
            </w:pPr>
            <w:r>
              <w:rPr>
                <w:rFonts w:hint="eastAsia"/>
              </w:rPr>
              <w:t>25,380,875.90</w:t>
            </w:r>
          </w:p>
        </w:tc>
        <w:tc>
          <w:tcPr>
            <w:tcW w:w="1716" w:type="dxa"/>
            <w:vAlign w:val="center"/>
          </w:tcPr>
          <w:p w14:paraId="73DAAB16">
            <w:pPr>
              <w:jc w:val="right"/>
            </w:pPr>
            <w:r>
              <w:rPr>
                <w:rFonts w:hint="eastAsia"/>
              </w:rPr>
              <w:t>0.79</w:t>
            </w:r>
          </w:p>
        </w:tc>
      </w:tr>
      <w:tr w14:paraId="4D8D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7D4066">
            <w:pPr>
              <w:jc w:val="center"/>
            </w:pPr>
            <w:r>
              <w:rPr>
                <w:rFonts w:hint="eastAsia"/>
              </w:rPr>
              <w:t>9</w:t>
            </w:r>
          </w:p>
        </w:tc>
        <w:tc>
          <w:tcPr>
            <w:tcW w:w="1113" w:type="dxa"/>
            <w:vAlign w:val="center"/>
          </w:tcPr>
          <w:p w14:paraId="6C5C2BE9">
            <w:r>
              <w:rPr>
                <w:rFonts w:hint="eastAsia"/>
              </w:rPr>
              <w:t>600309</w:t>
            </w:r>
          </w:p>
        </w:tc>
        <w:tc>
          <w:tcPr>
            <w:tcW w:w="1738" w:type="dxa"/>
            <w:vAlign w:val="center"/>
          </w:tcPr>
          <w:p w14:paraId="6406B70D">
            <w:r>
              <w:rPr>
                <w:rFonts w:hint="eastAsia"/>
              </w:rPr>
              <w:t>万华化学</w:t>
            </w:r>
          </w:p>
        </w:tc>
        <w:tc>
          <w:tcPr>
            <w:tcW w:w="2995" w:type="dxa"/>
            <w:vAlign w:val="center"/>
          </w:tcPr>
          <w:p w14:paraId="02F191FF">
            <w:pPr>
              <w:jc w:val="right"/>
            </w:pPr>
            <w:r>
              <w:rPr>
                <w:rFonts w:hint="eastAsia"/>
              </w:rPr>
              <w:t>25,297,022.00</w:t>
            </w:r>
          </w:p>
        </w:tc>
        <w:tc>
          <w:tcPr>
            <w:tcW w:w="1716" w:type="dxa"/>
            <w:vAlign w:val="center"/>
          </w:tcPr>
          <w:p w14:paraId="4C23CEB2">
            <w:pPr>
              <w:jc w:val="right"/>
            </w:pPr>
            <w:r>
              <w:rPr>
                <w:rFonts w:hint="eastAsia"/>
              </w:rPr>
              <w:t>0.79</w:t>
            </w:r>
          </w:p>
        </w:tc>
      </w:tr>
      <w:tr w14:paraId="1451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55A6DB">
            <w:pPr>
              <w:jc w:val="center"/>
            </w:pPr>
            <w:r>
              <w:rPr>
                <w:rFonts w:hint="eastAsia"/>
              </w:rPr>
              <w:t>10</w:t>
            </w:r>
          </w:p>
        </w:tc>
        <w:tc>
          <w:tcPr>
            <w:tcW w:w="1113" w:type="dxa"/>
            <w:vAlign w:val="center"/>
          </w:tcPr>
          <w:p w14:paraId="1018A024">
            <w:r>
              <w:rPr>
                <w:rFonts w:hint="eastAsia"/>
              </w:rPr>
              <w:t>002179</w:t>
            </w:r>
          </w:p>
        </w:tc>
        <w:tc>
          <w:tcPr>
            <w:tcW w:w="1738" w:type="dxa"/>
            <w:vAlign w:val="center"/>
          </w:tcPr>
          <w:p w14:paraId="1D5EABE1">
            <w:r>
              <w:rPr>
                <w:rFonts w:hint="eastAsia"/>
              </w:rPr>
              <w:t>中航光电</w:t>
            </w:r>
          </w:p>
        </w:tc>
        <w:tc>
          <w:tcPr>
            <w:tcW w:w="2995" w:type="dxa"/>
            <w:vAlign w:val="center"/>
          </w:tcPr>
          <w:p w14:paraId="2C7F57D2">
            <w:pPr>
              <w:jc w:val="right"/>
            </w:pPr>
            <w:r>
              <w:rPr>
                <w:rFonts w:hint="eastAsia"/>
              </w:rPr>
              <w:t>25,267,425.14</w:t>
            </w:r>
          </w:p>
        </w:tc>
        <w:tc>
          <w:tcPr>
            <w:tcW w:w="1716" w:type="dxa"/>
            <w:vAlign w:val="center"/>
          </w:tcPr>
          <w:p w14:paraId="070CE74B">
            <w:pPr>
              <w:jc w:val="right"/>
            </w:pPr>
            <w:r>
              <w:rPr>
                <w:rFonts w:hint="eastAsia"/>
              </w:rPr>
              <w:t>0.79</w:t>
            </w:r>
          </w:p>
        </w:tc>
      </w:tr>
      <w:tr w14:paraId="573B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4E75B8">
            <w:pPr>
              <w:jc w:val="center"/>
            </w:pPr>
            <w:r>
              <w:rPr>
                <w:rFonts w:hint="eastAsia"/>
              </w:rPr>
              <w:t>11</w:t>
            </w:r>
          </w:p>
        </w:tc>
        <w:tc>
          <w:tcPr>
            <w:tcW w:w="1113" w:type="dxa"/>
            <w:vAlign w:val="center"/>
          </w:tcPr>
          <w:p w14:paraId="18B72357">
            <w:r>
              <w:rPr>
                <w:rFonts w:hint="eastAsia"/>
              </w:rPr>
              <w:t>605090</w:t>
            </w:r>
          </w:p>
        </w:tc>
        <w:tc>
          <w:tcPr>
            <w:tcW w:w="1738" w:type="dxa"/>
            <w:vAlign w:val="center"/>
          </w:tcPr>
          <w:p w14:paraId="158A1A47">
            <w:r>
              <w:rPr>
                <w:rFonts w:hint="eastAsia"/>
              </w:rPr>
              <w:t>九丰能源</w:t>
            </w:r>
          </w:p>
        </w:tc>
        <w:tc>
          <w:tcPr>
            <w:tcW w:w="2995" w:type="dxa"/>
            <w:vAlign w:val="center"/>
          </w:tcPr>
          <w:p w14:paraId="08495289">
            <w:pPr>
              <w:jc w:val="right"/>
            </w:pPr>
            <w:r>
              <w:rPr>
                <w:rFonts w:hint="eastAsia"/>
              </w:rPr>
              <w:t>24,896,399.60</w:t>
            </w:r>
          </w:p>
        </w:tc>
        <w:tc>
          <w:tcPr>
            <w:tcW w:w="1716" w:type="dxa"/>
            <w:vAlign w:val="center"/>
          </w:tcPr>
          <w:p w14:paraId="53472646">
            <w:pPr>
              <w:jc w:val="right"/>
            </w:pPr>
            <w:r>
              <w:rPr>
                <w:rFonts w:hint="eastAsia"/>
              </w:rPr>
              <w:t>0.78</w:t>
            </w:r>
          </w:p>
        </w:tc>
      </w:tr>
      <w:tr w14:paraId="7AF9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ACED62">
            <w:pPr>
              <w:jc w:val="center"/>
            </w:pPr>
            <w:r>
              <w:rPr>
                <w:rFonts w:hint="eastAsia"/>
              </w:rPr>
              <w:t>12</w:t>
            </w:r>
          </w:p>
        </w:tc>
        <w:tc>
          <w:tcPr>
            <w:tcW w:w="1113" w:type="dxa"/>
            <w:vAlign w:val="center"/>
          </w:tcPr>
          <w:p w14:paraId="109491ED">
            <w:r>
              <w:rPr>
                <w:rFonts w:hint="eastAsia"/>
              </w:rPr>
              <w:t>002028</w:t>
            </w:r>
          </w:p>
        </w:tc>
        <w:tc>
          <w:tcPr>
            <w:tcW w:w="1738" w:type="dxa"/>
            <w:vAlign w:val="center"/>
          </w:tcPr>
          <w:p w14:paraId="07497D83">
            <w:r>
              <w:rPr>
                <w:rFonts w:hint="eastAsia"/>
              </w:rPr>
              <w:t>思源电气</w:t>
            </w:r>
          </w:p>
        </w:tc>
        <w:tc>
          <w:tcPr>
            <w:tcW w:w="2995" w:type="dxa"/>
            <w:vAlign w:val="center"/>
          </w:tcPr>
          <w:p w14:paraId="15D59CD7">
            <w:pPr>
              <w:jc w:val="right"/>
            </w:pPr>
            <w:r>
              <w:rPr>
                <w:rFonts w:hint="eastAsia"/>
              </w:rPr>
              <w:t>24,147,893.94</w:t>
            </w:r>
          </w:p>
        </w:tc>
        <w:tc>
          <w:tcPr>
            <w:tcW w:w="1716" w:type="dxa"/>
            <w:vAlign w:val="center"/>
          </w:tcPr>
          <w:p w14:paraId="709874CD">
            <w:pPr>
              <w:jc w:val="right"/>
            </w:pPr>
            <w:r>
              <w:rPr>
                <w:rFonts w:hint="eastAsia"/>
              </w:rPr>
              <w:t>0.75</w:t>
            </w:r>
          </w:p>
        </w:tc>
      </w:tr>
      <w:tr w14:paraId="4A66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D5B8E9">
            <w:pPr>
              <w:jc w:val="center"/>
            </w:pPr>
            <w:r>
              <w:rPr>
                <w:rFonts w:hint="eastAsia"/>
              </w:rPr>
              <w:t>13</w:t>
            </w:r>
          </w:p>
        </w:tc>
        <w:tc>
          <w:tcPr>
            <w:tcW w:w="1113" w:type="dxa"/>
            <w:vAlign w:val="center"/>
          </w:tcPr>
          <w:p w14:paraId="5AB2F345">
            <w:r>
              <w:rPr>
                <w:rFonts w:hint="eastAsia"/>
              </w:rPr>
              <w:t>00700</w:t>
            </w:r>
          </w:p>
        </w:tc>
        <w:tc>
          <w:tcPr>
            <w:tcW w:w="1738" w:type="dxa"/>
            <w:vAlign w:val="center"/>
          </w:tcPr>
          <w:p w14:paraId="6D88C8E8">
            <w:r>
              <w:rPr>
                <w:rFonts w:hint="eastAsia"/>
              </w:rPr>
              <w:t>腾讯控股</w:t>
            </w:r>
          </w:p>
        </w:tc>
        <w:tc>
          <w:tcPr>
            <w:tcW w:w="2995" w:type="dxa"/>
            <w:vAlign w:val="center"/>
          </w:tcPr>
          <w:p w14:paraId="6BD85D74">
            <w:pPr>
              <w:jc w:val="right"/>
            </w:pPr>
            <w:r>
              <w:rPr>
                <w:rFonts w:hint="eastAsia"/>
              </w:rPr>
              <w:t>24,040,266.38</w:t>
            </w:r>
          </w:p>
        </w:tc>
        <w:tc>
          <w:tcPr>
            <w:tcW w:w="1716" w:type="dxa"/>
            <w:vAlign w:val="center"/>
          </w:tcPr>
          <w:p w14:paraId="39F9146D">
            <w:pPr>
              <w:jc w:val="right"/>
            </w:pPr>
            <w:r>
              <w:rPr>
                <w:rFonts w:hint="eastAsia"/>
              </w:rPr>
              <w:t>0.75</w:t>
            </w:r>
          </w:p>
        </w:tc>
      </w:tr>
      <w:tr w14:paraId="2473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4460A5">
            <w:pPr>
              <w:jc w:val="center"/>
            </w:pPr>
            <w:r>
              <w:rPr>
                <w:rFonts w:hint="eastAsia"/>
              </w:rPr>
              <w:t>14</w:t>
            </w:r>
          </w:p>
        </w:tc>
        <w:tc>
          <w:tcPr>
            <w:tcW w:w="1113" w:type="dxa"/>
            <w:vAlign w:val="center"/>
          </w:tcPr>
          <w:p w14:paraId="3B14AEE1">
            <w:r>
              <w:rPr>
                <w:rFonts w:hint="eastAsia"/>
              </w:rPr>
              <w:t>00981</w:t>
            </w:r>
          </w:p>
        </w:tc>
        <w:tc>
          <w:tcPr>
            <w:tcW w:w="1738" w:type="dxa"/>
            <w:vAlign w:val="center"/>
          </w:tcPr>
          <w:p w14:paraId="4FC6ED7E">
            <w:r>
              <w:rPr>
                <w:rFonts w:hint="eastAsia"/>
              </w:rPr>
              <w:t>中芯国际</w:t>
            </w:r>
          </w:p>
        </w:tc>
        <w:tc>
          <w:tcPr>
            <w:tcW w:w="2995" w:type="dxa"/>
            <w:vAlign w:val="center"/>
          </w:tcPr>
          <w:p w14:paraId="1F6D2B78">
            <w:pPr>
              <w:jc w:val="right"/>
            </w:pPr>
            <w:r>
              <w:rPr>
                <w:rFonts w:hint="eastAsia"/>
              </w:rPr>
              <w:t>23,959,084.62</w:t>
            </w:r>
          </w:p>
        </w:tc>
        <w:tc>
          <w:tcPr>
            <w:tcW w:w="1716" w:type="dxa"/>
            <w:vAlign w:val="center"/>
          </w:tcPr>
          <w:p w14:paraId="5B70D9DE">
            <w:pPr>
              <w:jc w:val="right"/>
            </w:pPr>
            <w:r>
              <w:rPr>
                <w:rFonts w:hint="eastAsia"/>
              </w:rPr>
              <w:t>0.75</w:t>
            </w:r>
          </w:p>
        </w:tc>
      </w:tr>
      <w:tr w14:paraId="600A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F81A4D">
            <w:pPr>
              <w:jc w:val="center"/>
            </w:pPr>
            <w:r>
              <w:rPr>
                <w:rFonts w:hint="eastAsia"/>
              </w:rPr>
              <w:t>15</w:t>
            </w:r>
          </w:p>
        </w:tc>
        <w:tc>
          <w:tcPr>
            <w:tcW w:w="1113" w:type="dxa"/>
            <w:vAlign w:val="center"/>
          </w:tcPr>
          <w:p w14:paraId="72205F4C">
            <w:r>
              <w:rPr>
                <w:rFonts w:hint="eastAsia"/>
              </w:rPr>
              <w:t>06160</w:t>
            </w:r>
          </w:p>
        </w:tc>
        <w:tc>
          <w:tcPr>
            <w:tcW w:w="1738" w:type="dxa"/>
            <w:vAlign w:val="center"/>
          </w:tcPr>
          <w:p w14:paraId="608DC604">
            <w:r>
              <w:rPr>
                <w:rFonts w:hint="eastAsia"/>
              </w:rPr>
              <w:t>百济神州</w:t>
            </w:r>
          </w:p>
        </w:tc>
        <w:tc>
          <w:tcPr>
            <w:tcW w:w="2995" w:type="dxa"/>
            <w:vAlign w:val="center"/>
          </w:tcPr>
          <w:p w14:paraId="613B8612">
            <w:pPr>
              <w:jc w:val="right"/>
            </w:pPr>
            <w:r>
              <w:rPr>
                <w:rFonts w:hint="eastAsia"/>
              </w:rPr>
              <w:t>23,552,644.65</w:t>
            </w:r>
          </w:p>
        </w:tc>
        <w:tc>
          <w:tcPr>
            <w:tcW w:w="1716" w:type="dxa"/>
            <w:vAlign w:val="center"/>
          </w:tcPr>
          <w:p w14:paraId="383AEF9F">
            <w:pPr>
              <w:jc w:val="right"/>
            </w:pPr>
            <w:r>
              <w:rPr>
                <w:rFonts w:hint="eastAsia"/>
              </w:rPr>
              <w:t>0.73</w:t>
            </w:r>
          </w:p>
        </w:tc>
      </w:tr>
      <w:tr w14:paraId="4D5A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749E8C">
            <w:pPr>
              <w:jc w:val="center"/>
            </w:pPr>
            <w:r>
              <w:rPr>
                <w:rFonts w:hint="eastAsia"/>
              </w:rPr>
              <w:t>16</w:t>
            </w:r>
          </w:p>
        </w:tc>
        <w:tc>
          <w:tcPr>
            <w:tcW w:w="1113" w:type="dxa"/>
            <w:vAlign w:val="center"/>
          </w:tcPr>
          <w:p w14:paraId="63D22D3C">
            <w:r>
              <w:rPr>
                <w:rFonts w:hint="eastAsia"/>
              </w:rPr>
              <w:t>600153</w:t>
            </w:r>
          </w:p>
        </w:tc>
        <w:tc>
          <w:tcPr>
            <w:tcW w:w="1738" w:type="dxa"/>
            <w:vAlign w:val="center"/>
          </w:tcPr>
          <w:p w14:paraId="42BE194D">
            <w:r>
              <w:rPr>
                <w:rFonts w:hint="eastAsia"/>
              </w:rPr>
              <w:t>建发股份</w:t>
            </w:r>
          </w:p>
        </w:tc>
        <w:tc>
          <w:tcPr>
            <w:tcW w:w="2995" w:type="dxa"/>
            <w:vAlign w:val="center"/>
          </w:tcPr>
          <w:p w14:paraId="089609A0">
            <w:pPr>
              <w:jc w:val="right"/>
            </w:pPr>
            <w:r>
              <w:rPr>
                <w:rFonts w:hint="eastAsia"/>
              </w:rPr>
              <w:t>22,077,182.50</w:t>
            </w:r>
          </w:p>
        </w:tc>
        <w:tc>
          <w:tcPr>
            <w:tcW w:w="1716" w:type="dxa"/>
            <w:vAlign w:val="center"/>
          </w:tcPr>
          <w:p w14:paraId="1276F80E">
            <w:pPr>
              <w:jc w:val="right"/>
            </w:pPr>
            <w:r>
              <w:rPr>
                <w:rFonts w:hint="eastAsia"/>
              </w:rPr>
              <w:t>0.69</w:t>
            </w:r>
          </w:p>
        </w:tc>
      </w:tr>
      <w:tr w14:paraId="2CD3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DE91A7">
            <w:pPr>
              <w:jc w:val="center"/>
            </w:pPr>
            <w:r>
              <w:rPr>
                <w:rFonts w:hint="eastAsia"/>
              </w:rPr>
              <w:t>17</w:t>
            </w:r>
          </w:p>
        </w:tc>
        <w:tc>
          <w:tcPr>
            <w:tcW w:w="1113" w:type="dxa"/>
            <w:vAlign w:val="center"/>
          </w:tcPr>
          <w:p w14:paraId="5BBBBFB5">
            <w:r>
              <w:rPr>
                <w:rFonts w:hint="eastAsia"/>
              </w:rPr>
              <w:t>002353</w:t>
            </w:r>
          </w:p>
        </w:tc>
        <w:tc>
          <w:tcPr>
            <w:tcW w:w="1738" w:type="dxa"/>
            <w:vAlign w:val="center"/>
          </w:tcPr>
          <w:p w14:paraId="4C380F72">
            <w:r>
              <w:rPr>
                <w:rFonts w:hint="eastAsia"/>
              </w:rPr>
              <w:t>杰瑞股份</w:t>
            </w:r>
          </w:p>
        </w:tc>
        <w:tc>
          <w:tcPr>
            <w:tcW w:w="2995" w:type="dxa"/>
            <w:vAlign w:val="center"/>
          </w:tcPr>
          <w:p w14:paraId="35709E04">
            <w:pPr>
              <w:jc w:val="right"/>
            </w:pPr>
            <w:r>
              <w:rPr>
                <w:rFonts w:hint="eastAsia"/>
              </w:rPr>
              <w:t>21,922,649.00</w:t>
            </w:r>
          </w:p>
        </w:tc>
        <w:tc>
          <w:tcPr>
            <w:tcW w:w="1716" w:type="dxa"/>
            <w:vAlign w:val="center"/>
          </w:tcPr>
          <w:p w14:paraId="4BDC6AA5">
            <w:pPr>
              <w:jc w:val="right"/>
            </w:pPr>
            <w:r>
              <w:rPr>
                <w:rFonts w:hint="eastAsia"/>
              </w:rPr>
              <w:t>0.68</w:t>
            </w:r>
          </w:p>
        </w:tc>
      </w:tr>
      <w:tr w14:paraId="2009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BDCBFF">
            <w:pPr>
              <w:jc w:val="center"/>
            </w:pPr>
            <w:r>
              <w:rPr>
                <w:rFonts w:hint="eastAsia"/>
              </w:rPr>
              <w:t>18</w:t>
            </w:r>
          </w:p>
        </w:tc>
        <w:tc>
          <w:tcPr>
            <w:tcW w:w="1113" w:type="dxa"/>
            <w:vAlign w:val="center"/>
          </w:tcPr>
          <w:p w14:paraId="064D0696">
            <w:r>
              <w:rPr>
                <w:rFonts w:hint="eastAsia"/>
              </w:rPr>
              <w:t>300558</w:t>
            </w:r>
          </w:p>
        </w:tc>
        <w:tc>
          <w:tcPr>
            <w:tcW w:w="1738" w:type="dxa"/>
            <w:vAlign w:val="center"/>
          </w:tcPr>
          <w:p w14:paraId="492BD99A">
            <w:r>
              <w:rPr>
                <w:rFonts w:hint="eastAsia"/>
              </w:rPr>
              <w:t>贝达药业</w:t>
            </w:r>
          </w:p>
        </w:tc>
        <w:tc>
          <w:tcPr>
            <w:tcW w:w="2995" w:type="dxa"/>
            <w:vAlign w:val="center"/>
          </w:tcPr>
          <w:p w14:paraId="068C196C">
            <w:pPr>
              <w:jc w:val="right"/>
            </w:pPr>
            <w:r>
              <w:rPr>
                <w:rFonts w:hint="eastAsia"/>
              </w:rPr>
              <w:t>21,079,900.84</w:t>
            </w:r>
          </w:p>
        </w:tc>
        <w:tc>
          <w:tcPr>
            <w:tcW w:w="1716" w:type="dxa"/>
            <w:vAlign w:val="center"/>
          </w:tcPr>
          <w:p w14:paraId="0A76F27C">
            <w:pPr>
              <w:jc w:val="right"/>
            </w:pPr>
            <w:r>
              <w:rPr>
                <w:rFonts w:hint="eastAsia"/>
              </w:rPr>
              <w:t>0.66</w:t>
            </w:r>
          </w:p>
        </w:tc>
      </w:tr>
      <w:tr w14:paraId="60AB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3D7D6F">
            <w:pPr>
              <w:jc w:val="center"/>
            </w:pPr>
            <w:r>
              <w:rPr>
                <w:rFonts w:hint="eastAsia"/>
              </w:rPr>
              <w:t>19</w:t>
            </w:r>
          </w:p>
        </w:tc>
        <w:tc>
          <w:tcPr>
            <w:tcW w:w="1113" w:type="dxa"/>
            <w:vAlign w:val="center"/>
          </w:tcPr>
          <w:p w14:paraId="769F95BA">
            <w:r>
              <w:rPr>
                <w:rFonts w:hint="eastAsia"/>
              </w:rPr>
              <w:t>002262</w:t>
            </w:r>
          </w:p>
        </w:tc>
        <w:tc>
          <w:tcPr>
            <w:tcW w:w="1738" w:type="dxa"/>
            <w:vAlign w:val="center"/>
          </w:tcPr>
          <w:p w14:paraId="02054375">
            <w:r>
              <w:rPr>
                <w:rFonts w:hint="eastAsia"/>
              </w:rPr>
              <w:t>恩华药业</w:t>
            </w:r>
          </w:p>
        </w:tc>
        <w:tc>
          <w:tcPr>
            <w:tcW w:w="2995" w:type="dxa"/>
            <w:vAlign w:val="center"/>
          </w:tcPr>
          <w:p w14:paraId="10EB8951">
            <w:pPr>
              <w:jc w:val="right"/>
            </w:pPr>
            <w:r>
              <w:rPr>
                <w:rFonts w:hint="eastAsia"/>
              </w:rPr>
              <w:t>20,513,637.00</w:t>
            </w:r>
          </w:p>
        </w:tc>
        <w:tc>
          <w:tcPr>
            <w:tcW w:w="1716" w:type="dxa"/>
            <w:vAlign w:val="center"/>
          </w:tcPr>
          <w:p w14:paraId="38B8CBCD">
            <w:pPr>
              <w:jc w:val="right"/>
            </w:pPr>
            <w:r>
              <w:rPr>
                <w:rFonts w:hint="eastAsia"/>
              </w:rPr>
              <w:t>0.64</w:t>
            </w:r>
          </w:p>
        </w:tc>
      </w:tr>
      <w:tr w14:paraId="03FE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EE1220">
            <w:pPr>
              <w:jc w:val="center"/>
            </w:pPr>
            <w:r>
              <w:rPr>
                <w:rFonts w:hint="eastAsia"/>
              </w:rPr>
              <w:t>20</w:t>
            </w:r>
          </w:p>
        </w:tc>
        <w:tc>
          <w:tcPr>
            <w:tcW w:w="1113" w:type="dxa"/>
            <w:vAlign w:val="center"/>
          </w:tcPr>
          <w:p w14:paraId="6F18D061">
            <w:r>
              <w:rPr>
                <w:rFonts w:hint="eastAsia"/>
              </w:rPr>
              <w:t>600660</w:t>
            </w:r>
          </w:p>
        </w:tc>
        <w:tc>
          <w:tcPr>
            <w:tcW w:w="1738" w:type="dxa"/>
            <w:vAlign w:val="center"/>
          </w:tcPr>
          <w:p w14:paraId="53AFA09B">
            <w:r>
              <w:rPr>
                <w:rFonts w:hint="eastAsia"/>
              </w:rPr>
              <w:t>福耀玻璃</w:t>
            </w:r>
          </w:p>
        </w:tc>
        <w:tc>
          <w:tcPr>
            <w:tcW w:w="2995" w:type="dxa"/>
            <w:vAlign w:val="center"/>
          </w:tcPr>
          <w:p w14:paraId="6B2176F9">
            <w:pPr>
              <w:jc w:val="right"/>
            </w:pPr>
            <w:r>
              <w:rPr>
                <w:rFonts w:hint="eastAsia"/>
              </w:rPr>
              <w:t>20,047,754.88</w:t>
            </w:r>
          </w:p>
        </w:tc>
        <w:tc>
          <w:tcPr>
            <w:tcW w:w="1716" w:type="dxa"/>
            <w:vAlign w:val="center"/>
          </w:tcPr>
          <w:p w14:paraId="0D90925E">
            <w:pPr>
              <w:jc w:val="right"/>
            </w:pPr>
            <w:r>
              <w:rPr>
                <w:rFonts w:hint="eastAsia"/>
              </w:rPr>
              <w:t>0.62</w:t>
            </w:r>
          </w:p>
        </w:tc>
      </w:tr>
    </w:tbl>
    <w:p w14:paraId="546849A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2ED7CFB">
      <w:pPr>
        <w:pStyle w:val="28"/>
      </w:pPr>
      <w:bookmarkStart w:id="170" w:name="_Toc170"/>
      <w:r>
        <w:t>累计卖出金额超出期末基金资产净值2%或前20名的股票明细</w:t>
      </w:r>
      <w:bookmarkEnd w:id="170"/>
    </w:p>
    <w:p w14:paraId="0BA132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523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C69AFB9">
            <w:pPr>
              <w:jc w:val="center"/>
            </w:pPr>
            <w:r>
              <w:rPr>
                <w:rFonts w:hint="eastAsia"/>
                <w:b/>
              </w:rPr>
              <w:t>序号</w:t>
            </w:r>
          </w:p>
        </w:tc>
        <w:tc>
          <w:tcPr>
            <w:tcW w:w="1113" w:type="dxa"/>
            <w:shd w:val="clear" w:color="auto" w:fill="BFBFBF"/>
            <w:vAlign w:val="center"/>
          </w:tcPr>
          <w:p w14:paraId="1B63DA58">
            <w:pPr>
              <w:jc w:val="center"/>
            </w:pPr>
            <w:r>
              <w:rPr>
                <w:rFonts w:hint="eastAsia"/>
                <w:b/>
              </w:rPr>
              <w:t>股票代码</w:t>
            </w:r>
          </w:p>
        </w:tc>
        <w:tc>
          <w:tcPr>
            <w:tcW w:w="1738" w:type="dxa"/>
            <w:shd w:val="clear" w:color="auto" w:fill="BFBFBF"/>
            <w:vAlign w:val="center"/>
          </w:tcPr>
          <w:p w14:paraId="77363EF9">
            <w:pPr>
              <w:jc w:val="center"/>
            </w:pPr>
            <w:r>
              <w:rPr>
                <w:rFonts w:hint="eastAsia"/>
                <w:b/>
              </w:rPr>
              <w:t>股票名称</w:t>
            </w:r>
          </w:p>
        </w:tc>
        <w:tc>
          <w:tcPr>
            <w:tcW w:w="2995" w:type="dxa"/>
            <w:shd w:val="clear" w:color="auto" w:fill="BFBFBF"/>
            <w:vAlign w:val="center"/>
          </w:tcPr>
          <w:p w14:paraId="385ADA69">
            <w:pPr>
              <w:jc w:val="center"/>
            </w:pPr>
            <w:r>
              <w:rPr>
                <w:rFonts w:hint="eastAsia"/>
                <w:b/>
              </w:rPr>
              <w:t>本期累计卖出金额</w:t>
            </w:r>
          </w:p>
        </w:tc>
        <w:tc>
          <w:tcPr>
            <w:tcW w:w="1716" w:type="dxa"/>
            <w:shd w:val="clear" w:color="auto" w:fill="BFBFBF"/>
            <w:vAlign w:val="center"/>
          </w:tcPr>
          <w:p w14:paraId="5EB0E9EE">
            <w:pPr>
              <w:jc w:val="center"/>
            </w:pPr>
            <w:r>
              <w:rPr>
                <w:rFonts w:hint="eastAsia"/>
                <w:b/>
              </w:rPr>
              <w:t>占期末基金资产净值比例（％）</w:t>
            </w:r>
          </w:p>
        </w:tc>
      </w:tr>
      <w:tr w14:paraId="3C88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E0E0D5">
            <w:pPr>
              <w:jc w:val="center"/>
            </w:pPr>
            <w:r>
              <w:rPr>
                <w:rFonts w:hint="eastAsia"/>
              </w:rPr>
              <w:t>1</w:t>
            </w:r>
          </w:p>
        </w:tc>
        <w:tc>
          <w:tcPr>
            <w:tcW w:w="1113" w:type="dxa"/>
            <w:vAlign w:val="center"/>
          </w:tcPr>
          <w:p w14:paraId="4BEE4B8B">
            <w:r>
              <w:rPr>
                <w:rFonts w:hint="eastAsia"/>
              </w:rPr>
              <w:t>300750</w:t>
            </w:r>
          </w:p>
        </w:tc>
        <w:tc>
          <w:tcPr>
            <w:tcW w:w="1738" w:type="dxa"/>
            <w:vAlign w:val="center"/>
          </w:tcPr>
          <w:p w14:paraId="5A70A45D">
            <w:r>
              <w:rPr>
                <w:rFonts w:hint="eastAsia"/>
              </w:rPr>
              <w:t>宁德时代</w:t>
            </w:r>
          </w:p>
        </w:tc>
        <w:tc>
          <w:tcPr>
            <w:tcW w:w="2995" w:type="dxa"/>
            <w:vAlign w:val="center"/>
          </w:tcPr>
          <w:p w14:paraId="58D5E782">
            <w:pPr>
              <w:jc w:val="right"/>
            </w:pPr>
            <w:r>
              <w:rPr>
                <w:rFonts w:hint="eastAsia"/>
              </w:rPr>
              <w:t>22,992,575.00</w:t>
            </w:r>
          </w:p>
        </w:tc>
        <w:tc>
          <w:tcPr>
            <w:tcW w:w="1716" w:type="dxa"/>
            <w:vAlign w:val="center"/>
          </w:tcPr>
          <w:p w14:paraId="49E9C784">
            <w:pPr>
              <w:jc w:val="right"/>
            </w:pPr>
            <w:r>
              <w:rPr>
                <w:rFonts w:hint="eastAsia"/>
              </w:rPr>
              <w:t>0.72</w:t>
            </w:r>
          </w:p>
        </w:tc>
      </w:tr>
      <w:tr w14:paraId="2810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B3D6EA">
            <w:pPr>
              <w:jc w:val="center"/>
            </w:pPr>
            <w:r>
              <w:rPr>
                <w:rFonts w:hint="eastAsia"/>
              </w:rPr>
              <w:t>2</w:t>
            </w:r>
          </w:p>
        </w:tc>
        <w:tc>
          <w:tcPr>
            <w:tcW w:w="1113" w:type="dxa"/>
            <w:vAlign w:val="center"/>
          </w:tcPr>
          <w:p w14:paraId="494A0E17">
            <w:r>
              <w:rPr>
                <w:rFonts w:hint="eastAsia"/>
              </w:rPr>
              <w:t>002179</w:t>
            </w:r>
          </w:p>
        </w:tc>
        <w:tc>
          <w:tcPr>
            <w:tcW w:w="1738" w:type="dxa"/>
            <w:vAlign w:val="center"/>
          </w:tcPr>
          <w:p w14:paraId="40C67536">
            <w:r>
              <w:rPr>
                <w:rFonts w:hint="eastAsia"/>
              </w:rPr>
              <w:t>中航光电</w:t>
            </w:r>
          </w:p>
        </w:tc>
        <w:tc>
          <w:tcPr>
            <w:tcW w:w="2995" w:type="dxa"/>
            <w:vAlign w:val="center"/>
          </w:tcPr>
          <w:p w14:paraId="07CBCB39">
            <w:pPr>
              <w:jc w:val="right"/>
            </w:pPr>
            <w:r>
              <w:rPr>
                <w:rFonts w:hint="eastAsia"/>
              </w:rPr>
              <w:t>22,100,908.96</w:t>
            </w:r>
          </w:p>
        </w:tc>
        <w:tc>
          <w:tcPr>
            <w:tcW w:w="1716" w:type="dxa"/>
            <w:vAlign w:val="center"/>
          </w:tcPr>
          <w:p w14:paraId="0F9E510F">
            <w:pPr>
              <w:jc w:val="right"/>
            </w:pPr>
            <w:r>
              <w:rPr>
                <w:rFonts w:hint="eastAsia"/>
              </w:rPr>
              <w:t>0.69</w:t>
            </w:r>
          </w:p>
        </w:tc>
      </w:tr>
      <w:tr w14:paraId="1456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62184C">
            <w:pPr>
              <w:jc w:val="center"/>
            </w:pPr>
            <w:r>
              <w:rPr>
                <w:rFonts w:hint="eastAsia"/>
              </w:rPr>
              <w:t>3</w:t>
            </w:r>
          </w:p>
        </w:tc>
        <w:tc>
          <w:tcPr>
            <w:tcW w:w="1113" w:type="dxa"/>
            <w:vAlign w:val="center"/>
          </w:tcPr>
          <w:p w14:paraId="0B619B39">
            <w:r>
              <w:rPr>
                <w:rFonts w:hint="eastAsia"/>
              </w:rPr>
              <w:t>002532</w:t>
            </w:r>
          </w:p>
        </w:tc>
        <w:tc>
          <w:tcPr>
            <w:tcW w:w="1738" w:type="dxa"/>
            <w:vAlign w:val="center"/>
          </w:tcPr>
          <w:p w14:paraId="63B53C8B">
            <w:r>
              <w:rPr>
                <w:rFonts w:hint="eastAsia"/>
              </w:rPr>
              <w:t>天山铝业</w:t>
            </w:r>
          </w:p>
        </w:tc>
        <w:tc>
          <w:tcPr>
            <w:tcW w:w="2995" w:type="dxa"/>
            <w:vAlign w:val="center"/>
          </w:tcPr>
          <w:p w14:paraId="45D5A642">
            <w:pPr>
              <w:jc w:val="right"/>
            </w:pPr>
            <w:r>
              <w:rPr>
                <w:rFonts w:hint="eastAsia"/>
              </w:rPr>
              <w:t>21,263,661.68</w:t>
            </w:r>
          </w:p>
        </w:tc>
        <w:tc>
          <w:tcPr>
            <w:tcW w:w="1716" w:type="dxa"/>
            <w:vAlign w:val="center"/>
          </w:tcPr>
          <w:p w14:paraId="2BF6D182">
            <w:pPr>
              <w:jc w:val="right"/>
            </w:pPr>
            <w:r>
              <w:rPr>
                <w:rFonts w:hint="eastAsia"/>
              </w:rPr>
              <w:t>0.66</w:t>
            </w:r>
          </w:p>
        </w:tc>
      </w:tr>
      <w:tr w14:paraId="06F5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D547E1">
            <w:pPr>
              <w:jc w:val="center"/>
            </w:pPr>
            <w:r>
              <w:rPr>
                <w:rFonts w:hint="eastAsia"/>
              </w:rPr>
              <w:t>4</w:t>
            </w:r>
          </w:p>
        </w:tc>
        <w:tc>
          <w:tcPr>
            <w:tcW w:w="1113" w:type="dxa"/>
            <w:vAlign w:val="center"/>
          </w:tcPr>
          <w:p w14:paraId="645073BE">
            <w:r>
              <w:rPr>
                <w:rFonts w:hint="eastAsia"/>
              </w:rPr>
              <w:t>000001</w:t>
            </w:r>
          </w:p>
        </w:tc>
        <w:tc>
          <w:tcPr>
            <w:tcW w:w="1738" w:type="dxa"/>
            <w:vAlign w:val="center"/>
          </w:tcPr>
          <w:p w14:paraId="252E25D7">
            <w:r>
              <w:rPr>
                <w:rFonts w:hint="eastAsia"/>
              </w:rPr>
              <w:t>平安银行</w:t>
            </w:r>
          </w:p>
        </w:tc>
        <w:tc>
          <w:tcPr>
            <w:tcW w:w="2995" w:type="dxa"/>
            <w:vAlign w:val="center"/>
          </w:tcPr>
          <w:p w14:paraId="29C614E1">
            <w:pPr>
              <w:jc w:val="right"/>
            </w:pPr>
            <w:r>
              <w:rPr>
                <w:rFonts w:hint="eastAsia"/>
              </w:rPr>
              <w:t>16,658,349.00</w:t>
            </w:r>
          </w:p>
        </w:tc>
        <w:tc>
          <w:tcPr>
            <w:tcW w:w="1716" w:type="dxa"/>
            <w:vAlign w:val="center"/>
          </w:tcPr>
          <w:p w14:paraId="18D02956">
            <w:pPr>
              <w:jc w:val="right"/>
            </w:pPr>
            <w:r>
              <w:rPr>
                <w:rFonts w:hint="eastAsia"/>
              </w:rPr>
              <w:t>0.52</w:t>
            </w:r>
          </w:p>
        </w:tc>
      </w:tr>
      <w:tr w14:paraId="26A6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1870AC">
            <w:pPr>
              <w:jc w:val="center"/>
            </w:pPr>
            <w:r>
              <w:rPr>
                <w:rFonts w:hint="eastAsia"/>
              </w:rPr>
              <w:t>5</w:t>
            </w:r>
          </w:p>
        </w:tc>
        <w:tc>
          <w:tcPr>
            <w:tcW w:w="1113" w:type="dxa"/>
            <w:vAlign w:val="center"/>
          </w:tcPr>
          <w:p w14:paraId="223885F9">
            <w:r>
              <w:rPr>
                <w:rFonts w:hint="eastAsia"/>
              </w:rPr>
              <w:t>601318</w:t>
            </w:r>
          </w:p>
        </w:tc>
        <w:tc>
          <w:tcPr>
            <w:tcW w:w="1738" w:type="dxa"/>
            <w:vAlign w:val="center"/>
          </w:tcPr>
          <w:p w14:paraId="79001103">
            <w:r>
              <w:rPr>
                <w:rFonts w:hint="eastAsia"/>
              </w:rPr>
              <w:t>中国平安</w:t>
            </w:r>
          </w:p>
        </w:tc>
        <w:tc>
          <w:tcPr>
            <w:tcW w:w="2995" w:type="dxa"/>
            <w:vAlign w:val="center"/>
          </w:tcPr>
          <w:p w14:paraId="427A1FAE">
            <w:pPr>
              <w:jc w:val="right"/>
            </w:pPr>
            <w:r>
              <w:rPr>
                <w:rFonts w:hint="eastAsia"/>
              </w:rPr>
              <w:t>16,113,877.00</w:t>
            </w:r>
          </w:p>
        </w:tc>
        <w:tc>
          <w:tcPr>
            <w:tcW w:w="1716" w:type="dxa"/>
            <w:vAlign w:val="center"/>
          </w:tcPr>
          <w:p w14:paraId="27FB0101">
            <w:pPr>
              <w:jc w:val="right"/>
            </w:pPr>
            <w:r>
              <w:rPr>
                <w:rFonts w:hint="eastAsia"/>
              </w:rPr>
              <w:t>0.50</w:t>
            </w:r>
          </w:p>
        </w:tc>
      </w:tr>
      <w:tr w14:paraId="2A56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F74B35">
            <w:pPr>
              <w:jc w:val="center"/>
            </w:pPr>
            <w:r>
              <w:rPr>
                <w:rFonts w:hint="eastAsia"/>
              </w:rPr>
              <w:t>6</w:t>
            </w:r>
          </w:p>
        </w:tc>
        <w:tc>
          <w:tcPr>
            <w:tcW w:w="1113" w:type="dxa"/>
            <w:vAlign w:val="center"/>
          </w:tcPr>
          <w:p w14:paraId="19400035">
            <w:r>
              <w:rPr>
                <w:rFonts w:hint="eastAsia"/>
              </w:rPr>
              <w:t>600196</w:t>
            </w:r>
          </w:p>
        </w:tc>
        <w:tc>
          <w:tcPr>
            <w:tcW w:w="1738" w:type="dxa"/>
            <w:vAlign w:val="center"/>
          </w:tcPr>
          <w:p w14:paraId="7F6523E3">
            <w:r>
              <w:rPr>
                <w:rFonts w:hint="eastAsia"/>
              </w:rPr>
              <w:t>复星医药</w:t>
            </w:r>
          </w:p>
        </w:tc>
        <w:tc>
          <w:tcPr>
            <w:tcW w:w="2995" w:type="dxa"/>
            <w:vAlign w:val="center"/>
          </w:tcPr>
          <w:p w14:paraId="1A95CA63">
            <w:pPr>
              <w:jc w:val="right"/>
            </w:pPr>
            <w:r>
              <w:rPr>
                <w:rFonts w:hint="eastAsia"/>
              </w:rPr>
              <w:t>15,651,651.00</w:t>
            </w:r>
          </w:p>
        </w:tc>
        <w:tc>
          <w:tcPr>
            <w:tcW w:w="1716" w:type="dxa"/>
            <w:vAlign w:val="center"/>
          </w:tcPr>
          <w:p w14:paraId="5A12505E">
            <w:pPr>
              <w:jc w:val="right"/>
            </w:pPr>
            <w:r>
              <w:rPr>
                <w:rFonts w:hint="eastAsia"/>
              </w:rPr>
              <w:t>0.49</w:t>
            </w:r>
          </w:p>
        </w:tc>
      </w:tr>
      <w:tr w14:paraId="1232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B6BDBC">
            <w:pPr>
              <w:jc w:val="center"/>
            </w:pPr>
            <w:r>
              <w:rPr>
                <w:rFonts w:hint="eastAsia"/>
              </w:rPr>
              <w:t>7</w:t>
            </w:r>
          </w:p>
        </w:tc>
        <w:tc>
          <w:tcPr>
            <w:tcW w:w="1113" w:type="dxa"/>
            <w:vAlign w:val="center"/>
          </w:tcPr>
          <w:p w14:paraId="05CFA162">
            <w:r>
              <w:rPr>
                <w:rFonts w:hint="eastAsia"/>
              </w:rPr>
              <w:t>603816</w:t>
            </w:r>
          </w:p>
        </w:tc>
        <w:tc>
          <w:tcPr>
            <w:tcW w:w="1738" w:type="dxa"/>
            <w:vAlign w:val="center"/>
          </w:tcPr>
          <w:p w14:paraId="6F0E6176">
            <w:r>
              <w:rPr>
                <w:rFonts w:hint="eastAsia"/>
              </w:rPr>
              <w:t>顾家家居</w:t>
            </w:r>
          </w:p>
        </w:tc>
        <w:tc>
          <w:tcPr>
            <w:tcW w:w="2995" w:type="dxa"/>
            <w:vAlign w:val="center"/>
          </w:tcPr>
          <w:p w14:paraId="033D212F">
            <w:pPr>
              <w:jc w:val="right"/>
            </w:pPr>
            <w:r>
              <w:rPr>
                <w:rFonts w:hint="eastAsia"/>
              </w:rPr>
              <w:t>15,557,114.00</w:t>
            </w:r>
          </w:p>
        </w:tc>
        <w:tc>
          <w:tcPr>
            <w:tcW w:w="1716" w:type="dxa"/>
            <w:vAlign w:val="center"/>
          </w:tcPr>
          <w:p w14:paraId="50FC045C">
            <w:pPr>
              <w:jc w:val="right"/>
            </w:pPr>
            <w:r>
              <w:rPr>
                <w:rFonts w:hint="eastAsia"/>
              </w:rPr>
              <w:t>0.48</w:t>
            </w:r>
          </w:p>
        </w:tc>
      </w:tr>
      <w:tr w14:paraId="6D7C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F4E64D">
            <w:pPr>
              <w:jc w:val="center"/>
            </w:pPr>
            <w:r>
              <w:rPr>
                <w:rFonts w:hint="eastAsia"/>
              </w:rPr>
              <w:t>8</w:t>
            </w:r>
          </w:p>
        </w:tc>
        <w:tc>
          <w:tcPr>
            <w:tcW w:w="1113" w:type="dxa"/>
            <w:vAlign w:val="center"/>
          </w:tcPr>
          <w:p w14:paraId="21061D04">
            <w:r>
              <w:rPr>
                <w:rFonts w:hint="eastAsia"/>
              </w:rPr>
              <w:t>002353</w:t>
            </w:r>
          </w:p>
        </w:tc>
        <w:tc>
          <w:tcPr>
            <w:tcW w:w="1738" w:type="dxa"/>
            <w:vAlign w:val="center"/>
          </w:tcPr>
          <w:p w14:paraId="294AB4E5">
            <w:r>
              <w:rPr>
                <w:rFonts w:hint="eastAsia"/>
              </w:rPr>
              <w:t>杰瑞股份</w:t>
            </w:r>
          </w:p>
        </w:tc>
        <w:tc>
          <w:tcPr>
            <w:tcW w:w="2995" w:type="dxa"/>
            <w:vAlign w:val="center"/>
          </w:tcPr>
          <w:p w14:paraId="44306D0C">
            <w:pPr>
              <w:jc w:val="right"/>
            </w:pPr>
            <w:r>
              <w:rPr>
                <w:rFonts w:hint="eastAsia"/>
              </w:rPr>
              <w:t>11,221,551.00</w:t>
            </w:r>
          </w:p>
        </w:tc>
        <w:tc>
          <w:tcPr>
            <w:tcW w:w="1716" w:type="dxa"/>
            <w:vAlign w:val="center"/>
          </w:tcPr>
          <w:p w14:paraId="0A230324">
            <w:pPr>
              <w:jc w:val="right"/>
            </w:pPr>
            <w:r>
              <w:rPr>
                <w:rFonts w:hint="eastAsia"/>
              </w:rPr>
              <w:t>0.35</w:t>
            </w:r>
          </w:p>
        </w:tc>
      </w:tr>
      <w:tr w14:paraId="1C20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1056B9">
            <w:pPr>
              <w:jc w:val="center"/>
            </w:pPr>
            <w:r>
              <w:rPr>
                <w:rFonts w:hint="eastAsia"/>
              </w:rPr>
              <w:t>9</w:t>
            </w:r>
          </w:p>
        </w:tc>
        <w:tc>
          <w:tcPr>
            <w:tcW w:w="1113" w:type="dxa"/>
            <w:vAlign w:val="center"/>
          </w:tcPr>
          <w:p w14:paraId="797A5F80">
            <w:r>
              <w:rPr>
                <w:rFonts w:hint="eastAsia"/>
              </w:rPr>
              <w:t>002028</w:t>
            </w:r>
          </w:p>
        </w:tc>
        <w:tc>
          <w:tcPr>
            <w:tcW w:w="1738" w:type="dxa"/>
            <w:vAlign w:val="center"/>
          </w:tcPr>
          <w:p w14:paraId="01B4C361">
            <w:r>
              <w:rPr>
                <w:rFonts w:hint="eastAsia"/>
              </w:rPr>
              <w:t>思源电气</w:t>
            </w:r>
          </w:p>
        </w:tc>
        <w:tc>
          <w:tcPr>
            <w:tcW w:w="2995" w:type="dxa"/>
            <w:vAlign w:val="center"/>
          </w:tcPr>
          <w:p w14:paraId="5EF7B1D6">
            <w:pPr>
              <w:jc w:val="right"/>
            </w:pPr>
            <w:r>
              <w:rPr>
                <w:rFonts w:hint="eastAsia"/>
              </w:rPr>
              <w:t>11,024,286.00</w:t>
            </w:r>
          </w:p>
        </w:tc>
        <w:tc>
          <w:tcPr>
            <w:tcW w:w="1716" w:type="dxa"/>
            <w:vAlign w:val="center"/>
          </w:tcPr>
          <w:p w14:paraId="63F769C6">
            <w:pPr>
              <w:jc w:val="right"/>
            </w:pPr>
            <w:r>
              <w:rPr>
                <w:rFonts w:hint="eastAsia"/>
              </w:rPr>
              <w:t>0.34</w:t>
            </w:r>
          </w:p>
        </w:tc>
      </w:tr>
      <w:tr w14:paraId="0097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8DEB8F">
            <w:pPr>
              <w:jc w:val="center"/>
            </w:pPr>
            <w:r>
              <w:rPr>
                <w:rFonts w:hint="eastAsia"/>
              </w:rPr>
              <w:t>10</w:t>
            </w:r>
          </w:p>
        </w:tc>
        <w:tc>
          <w:tcPr>
            <w:tcW w:w="1113" w:type="dxa"/>
            <w:vAlign w:val="center"/>
          </w:tcPr>
          <w:p w14:paraId="39339001">
            <w:r>
              <w:rPr>
                <w:rFonts w:hint="eastAsia"/>
              </w:rPr>
              <w:t>00763</w:t>
            </w:r>
          </w:p>
        </w:tc>
        <w:tc>
          <w:tcPr>
            <w:tcW w:w="1738" w:type="dxa"/>
            <w:vAlign w:val="center"/>
          </w:tcPr>
          <w:p w14:paraId="3BD09203">
            <w:r>
              <w:rPr>
                <w:rFonts w:hint="eastAsia"/>
              </w:rPr>
              <w:t>中兴通讯</w:t>
            </w:r>
          </w:p>
        </w:tc>
        <w:tc>
          <w:tcPr>
            <w:tcW w:w="2995" w:type="dxa"/>
            <w:vAlign w:val="center"/>
          </w:tcPr>
          <w:p w14:paraId="2461409C">
            <w:pPr>
              <w:jc w:val="right"/>
            </w:pPr>
            <w:r>
              <w:rPr>
                <w:rFonts w:hint="eastAsia"/>
              </w:rPr>
              <w:t>10,656,703.18</w:t>
            </w:r>
          </w:p>
        </w:tc>
        <w:tc>
          <w:tcPr>
            <w:tcW w:w="1716" w:type="dxa"/>
            <w:vAlign w:val="center"/>
          </w:tcPr>
          <w:p w14:paraId="6A402A49">
            <w:pPr>
              <w:jc w:val="right"/>
            </w:pPr>
            <w:r>
              <w:rPr>
                <w:rFonts w:hint="eastAsia"/>
              </w:rPr>
              <w:t>0.33</w:t>
            </w:r>
          </w:p>
        </w:tc>
      </w:tr>
      <w:tr w14:paraId="0E90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7F3A1D">
            <w:pPr>
              <w:jc w:val="center"/>
            </w:pPr>
            <w:r>
              <w:rPr>
                <w:rFonts w:hint="eastAsia"/>
              </w:rPr>
              <w:t>11</w:t>
            </w:r>
          </w:p>
        </w:tc>
        <w:tc>
          <w:tcPr>
            <w:tcW w:w="1113" w:type="dxa"/>
            <w:vAlign w:val="center"/>
          </w:tcPr>
          <w:p w14:paraId="40D173FA">
            <w:r>
              <w:rPr>
                <w:rFonts w:hint="eastAsia"/>
              </w:rPr>
              <w:t>00981</w:t>
            </w:r>
          </w:p>
        </w:tc>
        <w:tc>
          <w:tcPr>
            <w:tcW w:w="1738" w:type="dxa"/>
            <w:vAlign w:val="center"/>
          </w:tcPr>
          <w:p w14:paraId="1F901057">
            <w:r>
              <w:rPr>
                <w:rFonts w:hint="eastAsia"/>
              </w:rPr>
              <w:t>中芯国际</w:t>
            </w:r>
          </w:p>
        </w:tc>
        <w:tc>
          <w:tcPr>
            <w:tcW w:w="2995" w:type="dxa"/>
            <w:vAlign w:val="center"/>
          </w:tcPr>
          <w:p w14:paraId="678CCDE9">
            <w:pPr>
              <w:jc w:val="right"/>
            </w:pPr>
            <w:r>
              <w:rPr>
                <w:rFonts w:hint="eastAsia"/>
              </w:rPr>
              <w:t>7,968,301.73</w:t>
            </w:r>
          </w:p>
        </w:tc>
        <w:tc>
          <w:tcPr>
            <w:tcW w:w="1716" w:type="dxa"/>
            <w:vAlign w:val="center"/>
          </w:tcPr>
          <w:p w14:paraId="16A78BA0">
            <w:pPr>
              <w:jc w:val="right"/>
            </w:pPr>
            <w:r>
              <w:rPr>
                <w:rFonts w:hint="eastAsia"/>
              </w:rPr>
              <w:t>0.25</w:t>
            </w:r>
          </w:p>
        </w:tc>
      </w:tr>
      <w:tr w14:paraId="73B2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4E90B1">
            <w:pPr>
              <w:jc w:val="center"/>
            </w:pPr>
            <w:r>
              <w:rPr>
                <w:rFonts w:hint="eastAsia"/>
              </w:rPr>
              <w:t>12</w:t>
            </w:r>
          </w:p>
        </w:tc>
        <w:tc>
          <w:tcPr>
            <w:tcW w:w="1113" w:type="dxa"/>
            <w:vAlign w:val="center"/>
          </w:tcPr>
          <w:p w14:paraId="7CC618EE">
            <w:r>
              <w:rPr>
                <w:rFonts w:hint="eastAsia"/>
              </w:rPr>
              <w:t>603619</w:t>
            </w:r>
          </w:p>
        </w:tc>
        <w:tc>
          <w:tcPr>
            <w:tcW w:w="1738" w:type="dxa"/>
            <w:vAlign w:val="center"/>
          </w:tcPr>
          <w:p w14:paraId="79CAFF23">
            <w:r>
              <w:rPr>
                <w:rFonts w:hint="eastAsia"/>
              </w:rPr>
              <w:t>中曼石油</w:t>
            </w:r>
          </w:p>
        </w:tc>
        <w:tc>
          <w:tcPr>
            <w:tcW w:w="2995" w:type="dxa"/>
            <w:vAlign w:val="center"/>
          </w:tcPr>
          <w:p w14:paraId="06C5BA6D">
            <w:pPr>
              <w:jc w:val="right"/>
            </w:pPr>
            <w:r>
              <w:rPr>
                <w:rFonts w:hint="eastAsia"/>
              </w:rPr>
              <w:t>7,570,830.00</w:t>
            </w:r>
          </w:p>
        </w:tc>
        <w:tc>
          <w:tcPr>
            <w:tcW w:w="1716" w:type="dxa"/>
            <w:vAlign w:val="center"/>
          </w:tcPr>
          <w:p w14:paraId="06D309B8">
            <w:pPr>
              <w:jc w:val="right"/>
            </w:pPr>
            <w:r>
              <w:rPr>
                <w:rFonts w:hint="eastAsia"/>
              </w:rPr>
              <w:t>0.24</w:t>
            </w:r>
          </w:p>
        </w:tc>
      </w:tr>
      <w:tr w14:paraId="75D7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1CDDF7">
            <w:pPr>
              <w:jc w:val="center"/>
            </w:pPr>
            <w:r>
              <w:rPr>
                <w:rFonts w:hint="eastAsia"/>
              </w:rPr>
              <w:t>13</w:t>
            </w:r>
          </w:p>
        </w:tc>
        <w:tc>
          <w:tcPr>
            <w:tcW w:w="1113" w:type="dxa"/>
            <w:vAlign w:val="center"/>
          </w:tcPr>
          <w:p w14:paraId="71D901B7">
            <w:r>
              <w:rPr>
                <w:rFonts w:hint="eastAsia"/>
              </w:rPr>
              <w:t>000963</w:t>
            </w:r>
          </w:p>
        </w:tc>
        <w:tc>
          <w:tcPr>
            <w:tcW w:w="1738" w:type="dxa"/>
            <w:vAlign w:val="center"/>
          </w:tcPr>
          <w:p w14:paraId="4DFF2CF0">
            <w:r>
              <w:rPr>
                <w:rFonts w:hint="eastAsia"/>
              </w:rPr>
              <w:t>华东医药</w:t>
            </w:r>
          </w:p>
        </w:tc>
        <w:tc>
          <w:tcPr>
            <w:tcW w:w="2995" w:type="dxa"/>
            <w:vAlign w:val="center"/>
          </w:tcPr>
          <w:p w14:paraId="6BB404C4">
            <w:pPr>
              <w:jc w:val="right"/>
            </w:pPr>
            <w:r>
              <w:rPr>
                <w:rFonts w:hint="eastAsia"/>
              </w:rPr>
              <w:t>7,474,627.00</w:t>
            </w:r>
          </w:p>
        </w:tc>
        <w:tc>
          <w:tcPr>
            <w:tcW w:w="1716" w:type="dxa"/>
            <w:vAlign w:val="center"/>
          </w:tcPr>
          <w:p w14:paraId="532ABED4">
            <w:pPr>
              <w:jc w:val="right"/>
            </w:pPr>
            <w:r>
              <w:rPr>
                <w:rFonts w:hint="eastAsia"/>
              </w:rPr>
              <w:t>0.23</w:t>
            </w:r>
          </w:p>
        </w:tc>
      </w:tr>
      <w:tr w14:paraId="5533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C41029">
            <w:pPr>
              <w:jc w:val="center"/>
            </w:pPr>
            <w:r>
              <w:rPr>
                <w:rFonts w:hint="eastAsia"/>
              </w:rPr>
              <w:t>14</w:t>
            </w:r>
          </w:p>
        </w:tc>
        <w:tc>
          <w:tcPr>
            <w:tcW w:w="1113" w:type="dxa"/>
            <w:vAlign w:val="center"/>
          </w:tcPr>
          <w:p w14:paraId="5164AB44">
            <w:r>
              <w:rPr>
                <w:rFonts w:hint="eastAsia"/>
              </w:rPr>
              <w:t>605090</w:t>
            </w:r>
          </w:p>
        </w:tc>
        <w:tc>
          <w:tcPr>
            <w:tcW w:w="1738" w:type="dxa"/>
            <w:vAlign w:val="center"/>
          </w:tcPr>
          <w:p w14:paraId="472D984D">
            <w:r>
              <w:rPr>
                <w:rFonts w:hint="eastAsia"/>
              </w:rPr>
              <w:t>九丰能源</w:t>
            </w:r>
          </w:p>
        </w:tc>
        <w:tc>
          <w:tcPr>
            <w:tcW w:w="2995" w:type="dxa"/>
            <w:vAlign w:val="center"/>
          </w:tcPr>
          <w:p w14:paraId="5DF3B686">
            <w:pPr>
              <w:jc w:val="right"/>
            </w:pPr>
            <w:r>
              <w:rPr>
                <w:rFonts w:hint="eastAsia"/>
              </w:rPr>
              <w:t>7,147,864.00</w:t>
            </w:r>
          </w:p>
        </w:tc>
        <w:tc>
          <w:tcPr>
            <w:tcW w:w="1716" w:type="dxa"/>
            <w:vAlign w:val="center"/>
          </w:tcPr>
          <w:p w14:paraId="501CA5D0">
            <w:pPr>
              <w:jc w:val="right"/>
            </w:pPr>
            <w:r>
              <w:rPr>
                <w:rFonts w:hint="eastAsia"/>
              </w:rPr>
              <w:t>0.22</w:t>
            </w:r>
          </w:p>
        </w:tc>
      </w:tr>
      <w:tr w14:paraId="50A5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94DCF0">
            <w:pPr>
              <w:jc w:val="center"/>
            </w:pPr>
            <w:r>
              <w:rPr>
                <w:rFonts w:hint="eastAsia"/>
              </w:rPr>
              <w:t>15</w:t>
            </w:r>
          </w:p>
        </w:tc>
        <w:tc>
          <w:tcPr>
            <w:tcW w:w="1113" w:type="dxa"/>
            <w:vAlign w:val="center"/>
          </w:tcPr>
          <w:p w14:paraId="2ABF9D73">
            <w:r>
              <w:rPr>
                <w:rFonts w:hint="eastAsia"/>
              </w:rPr>
              <w:t>002142</w:t>
            </w:r>
          </w:p>
        </w:tc>
        <w:tc>
          <w:tcPr>
            <w:tcW w:w="1738" w:type="dxa"/>
            <w:vAlign w:val="center"/>
          </w:tcPr>
          <w:p w14:paraId="2D744B6E">
            <w:r>
              <w:rPr>
                <w:rFonts w:hint="eastAsia"/>
              </w:rPr>
              <w:t>宁波银行</w:t>
            </w:r>
          </w:p>
        </w:tc>
        <w:tc>
          <w:tcPr>
            <w:tcW w:w="2995" w:type="dxa"/>
            <w:vAlign w:val="center"/>
          </w:tcPr>
          <w:p w14:paraId="16A3788F">
            <w:pPr>
              <w:jc w:val="right"/>
            </w:pPr>
            <w:r>
              <w:rPr>
                <w:rFonts w:hint="eastAsia"/>
              </w:rPr>
              <w:t>6,984,793.76</w:t>
            </w:r>
          </w:p>
        </w:tc>
        <w:tc>
          <w:tcPr>
            <w:tcW w:w="1716" w:type="dxa"/>
            <w:vAlign w:val="center"/>
          </w:tcPr>
          <w:p w14:paraId="59E9E0DB">
            <w:pPr>
              <w:jc w:val="right"/>
            </w:pPr>
            <w:r>
              <w:rPr>
                <w:rFonts w:hint="eastAsia"/>
              </w:rPr>
              <w:t>0.22</w:t>
            </w:r>
          </w:p>
        </w:tc>
      </w:tr>
      <w:tr w14:paraId="4C0F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53FE18">
            <w:pPr>
              <w:jc w:val="center"/>
            </w:pPr>
            <w:r>
              <w:rPr>
                <w:rFonts w:hint="eastAsia"/>
              </w:rPr>
              <w:t>16</w:t>
            </w:r>
          </w:p>
        </w:tc>
        <w:tc>
          <w:tcPr>
            <w:tcW w:w="1113" w:type="dxa"/>
            <w:vAlign w:val="center"/>
          </w:tcPr>
          <w:p w14:paraId="40A932BF">
            <w:r>
              <w:rPr>
                <w:rFonts w:hint="eastAsia"/>
              </w:rPr>
              <w:t>002352</w:t>
            </w:r>
          </w:p>
        </w:tc>
        <w:tc>
          <w:tcPr>
            <w:tcW w:w="1738" w:type="dxa"/>
            <w:vAlign w:val="center"/>
          </w:tcPr>
          <w:p w14:paraId="3B861BB0">
            <w:r>
              <w:rPr>
                <w:rFonts w:hint="eastAsia"/>
              </w:rPr>
              <w:t>顺丰控股</w:t>
            </w:r>
          </w:p>
        </w:tc>
        <w:tc>
          <w:tcPr>
            <w:tcW w:w="2995" w:type="dxa"/>
            <w:vAlign w:val="center"/>
          </w:tcPr>
          <w:p w14:paraId="063A680C">
            <w:pPr>
              <w:jc w:val="right"/>
            </w:pPr>
            <w:r>
              <w:rPr>
                <w:rFonts w:hint="eastAsia"/>
              </w:rPr>
              <w:t>6,348,375.00</w:t>
            </w:r>
          </w:p>
        </w:tc>
        <w:tc>
          <w:tcPr>
            <w:tcW w:w="1716" w:type="dxa"/>
            <w:vAlign w:val="center"/>
          </w:tcPr>
          <w:p w14:paraId="446B4EE7">
            <w:pPr>
              <w:jc w:val="right"/>
            </w:pPr>
            <w:r>
              <w:rPr>
                <w:rFonts w:hint="eastAsia"/>
              </w:rPr>
              <w:t>0.20</w:t>
            </w:r>
          </w:p>
        </w:tc>
      </w:tr>
      <w:tr w14:paraId="0D4B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FDEEE3">
            <w:pPr>
              <w:jc w:val="center"/>
            </w:pPr>
            <w:r>
              <w:rPr>
                <w:rFonts w:hint="eastAsia"/>
              </w:rPr>
              <w:t>17</w:t>
            </w:r>
          </w:p>
        </w:tc>
        <w:tc>
          <w:tcPr>
            <w:tcW w:w="1113" w:type="dxa"/>
            <w:vAlign w:val="center"/>
          </w:tcPr>
          <w:p w14:paraId="5AACA10C">
            <w:r>
              <w:rPr>
                <w:rFonts w:hint="eastAsia"/>
              </w:rPr>
              <w:t>00700</w:t>
            </w:r>
          </w:p>
        </w:tc>
        <w:tc>
          <w:tcPr>
            <w:tcW w:w="1738" w:type="dxa"/>
            <w:vAlign w:val="center"/>
          </w:tcPr>
          <w:p w14:paraId="2C5640FF">
            <w:r>
              <w:rPr>
                <w:rFonts w:hint="eastAsia"/>
              </w:rPr>
              <w:t>腾讯控股</w:t>
            </w:r>
          </w:p>
        </w:tc>
        <w:tc>
          <w:tcPr>
            <w:tcW w:w="2995" w:type="dxa"/>
            <w:vAlign w:val="center"/>
          </w:tcPr>
          <w:p w14:paraId="23AE3759">
            <w:pPr>
              <w:jc w:val="right"/>
            </w:pPr>
            <w:r>
              <w:rPr>
                <w:rFonts w:hint="eastAsia"/>
              </w:rPr>
              <w:t>5,995,022.30</w:t>
            </w:r>
          </w:p>
        </w:tc>
        <w:tc>
          <w:tcPr>
            <w:tcW w:w="1716" w:type="dxa"/>
            <w:vAlign w:val="center"/>
          </w:tcPr>
          <w:p w14:paraId="33D1002E">
            <w:pPr>
              <w:jc w:val="right"/>
            </w:pPr>
            <w:r>
              <w:rPr>
                <w:rFonts w:hint="eastAsia"/>
              </w:rPr>
              <w:t>0.19</w:t>
            </w:r>
          </w:p>
        </w:tc>
      </w:tr>
      <w:tr w14:paraId="5B47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F165B8">
            <w:pPr>
              <w:jc w:val="center"/>
            </w:pPr>
            <w:r>
              <w:rPr>
                <w:rFonts w:hint="eastAsia"/>
              </w:rPr>
              <w:t>18</w:t>
            </w:r>
          </w:p>
        </w:tc>
        <w:tc>
          <w:tcPr>
            <w:tcW w:w="1113" w:type="dxa"/>
            <w:vAlign w:val="center"/>
          </w:tcPr>
          <w:p w14:paraId="1C4F7AAF">
            <w:r>
              <w:rPr>
                <w:rFonts w:hint="eastAsia"/>
              </w:rPr>
              <w:t>600660</w:t>
            </w:r>
          </w:p>
        </w:tc>
        <w:tc>
          <w:tcPr>
            <w:tcW w:w="1738" w:type="dxa"/>
            <w:vAlign w:val="center"/>
          </w:tcPr>
          <w:p w14:paraId="65FBB998">
            <w:r>
              <w:rPr>
                <w:rFonts w:hint="eastAsia"/>
              </w:rPr>
              <w:t>福耀玻璃</w:t>
            </w:r>
          </w:p>
        </w:tc>
        <w:tc>
          <w:tcPr>
            <w:tcW w:w="2995" w:type="dxa"/>
            <w:vAlign w:val="center"/>
          </w:tcPr>
          <w:p w14:paraId="78B27586">
            <w:pPr>
              <w:jc w:val="right"/>
            </w:pPr>
            <w:r>
              <w:rPr>
                <w:rFonts w:hint="eastAsia"/>
              </w:rPr>
              <w:t>5,916,794.00</w:t>
            </w:r>
          </w:p>
        </w:tc>
        <w:tc>
          <w:tcPr>
            <w:tcW w:w="1716" w:type="dxa"/>
            <w:vAlign w:val="center"/>
          </w:tcPr>
          <w:p w14:paraId="76FD6B9D">
            <w:pPr>
              <w:jc w:val="right"/>
            </w:pPr>
            <w:r>
              <w:rPr>
                <w:rFonts w:hint="eastAsia"/>
              </w:rPr>
              <w:t>0.18</w:t>
            </w:r>
          </w:p>
        </w:tc>
      </w:tr>
      <w:tr w14:paraId="73FF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36161A">
            <w:pPr>
              <w:jc w:val="center"/>
            </w:pPr>
            <w:r>
              <w:rPr>
                <w:rFonts w:hint="eastAsia"/>
              </w:rPr>
              <w:t>19</w:t>
            </w:r>
          </w:p>
        </w:tc>
        <w:tc>
          <w:tcPr>
            <w:tcW w:w="1113" w:type="dxa"/>
            <w:vAlign w:val="center"/>
          </w:tcPr>
          <w:p w14:paraId="7367E83A">
            <w:r>
              <w:rPr>
                <w:rFonts w:hint="eastAsia"/>
              </w:rPr>
              <w:t>06160</w:t>
            </w:r>
          </w:p>
        </w:tc>
        <w:tc>
          <w:tcPr>
            <w:tcW w:w="1738" w:type="dxa"/>
            <w:vAlign w:val="center"/>
          </w:tcPr>
          <w:p w14:paraId="74AAC6CF">
            <w:r>
              <w:rPr>
                <w:rFonts w:hint="eastAsia"/>
              </w:rPr>
              <w:t>百济神州</w:t>
            </w:r>
          </w:p>
        </w:tc>
        <w:tc>
          <w:tcPr>
            <w:tcW w:w="2995" w:type="dxa"/>
            <w:vAlign w:val="center"/>
          </w:tcPr>
          <w:p w14:paraId="089D72EF">
            <w:pPr>
              <w:jc w:val="right"/>
            </w:pPr>
            <w:r>
              <w:rPr>
                <w:rFonts w:hint="eastAsia"/>
              </w:rPr>
              <w:t>5,671,435.03</w:t>
            </w:r>
          </w:p>
        </w:tc>
        <w:tc>
          <w:tcPr>
            <w:tcW w:w="1716" w:type="dxa"/>
            <w:vAlign w:val="center"/>
          </w:tcPr>
          <w:p w14:paraId="7D91CAC1">
            <w:pPr>
              <w:jc w:val="right"/>
            </w:pPr>
            <w:r>
              <w:rPr>
                <w:rFonts w:hint="eastAsia"/>
              </w:rPr>
              <w:t>0.18</w:t>
            </w:r>
          </w:p>
        </w:tc>
      </w:tr>
      <w:tr w14:paraId="21B0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87AE03">
            <w:pPr>
              <w:jc w:val="center"/>
            </w:pPr>
            <w:r>
              <w:rPr>
                <w:rFonts w:hint="eastAsia"/>
              </w:rPr>
              <w:t>20</w:t>
            </w:r>
          </w:p>
        </w:tc>
        <w:tc>
          <w:tcPr>
            <w:tcW w:w="1113" w:type="dxa"/>
            <w:vAlign w:val="center"/>
          </w:tcPr>
          <w:p w14:paraId="59FEA409">
            <w:r>
              <w:rPr>
                <w:rFonts w:hint="eastAsia"/>
              </w:rPr>
              <w:t>600153</w:t>
            </w:r>
          </w:p>
        </w:tc>
        <w:tc>
          <w:tcPr>
            <w:tcW w:w="1738" w:type="dxa"/>
            <w:vAlign w:val="center"/>
          </w:tcPr>
          <w:p w14:paraId="435D6B81">
            <w:r>
              <w:rPr>
                <w:rFonts w:hint="eastAsia"/>
              </w:rPr>
              <w:t>建发股份</w:t>
            </w:r>
          </w:p>
        </w:tc>
        <w:tc>
          <w:tcPr>
            <w:tcW w:w="2995" w:type="dxa"/>
            <w:vAlign w:val="center"/>
          </w:tcPr>
          <w:p w14:paraId="35659FC5">
            <w:pPr>
              <w:jc w:val="right"/>
            </w:pPr>
            <w:r>
              <w:rPr>
                <w:rFonts w:hint="eastAsia"/>
              </w:rPr>
              <w:t>5,252,780.00</w:t>
            </w:r>
          </w:p>
        </w:tc>
        <w:tc>
          <w:tcPr>
            <w:tcW w:w="1716" w:type="dxa"/>
            <w:vAlign w:val="center"/>
          </w:tcPr>
          <w:p w14:paraId="6CF91506">
            <w:pPr>
              <w:jc w:val="right"/>
            </w:pPr>
            <w:r>
              <w:rPr>
                <w:rFonts w:hint="eastAsia"/>
              </w:rPr>
              <w:t>0.16</w:t>
            </w:r>
          </w:p>
        </w:tc>
      </w:tr>
    </w:tbl>
    <w:p w14:paraId="1827323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2191C3E">
      <w:pPr>
        <w:pStyle w:val="28"/>
      </w:pPr>
      <w:bookmarkStart w:id="171" w:name="_Toc171"/>
      <w:r>
        <w:t>买入股票的成本总额及卖出股票的收入总额</w:t>
      </w:r>
      <w:bookmarkEnd w:id="171"/>
    </w:p>
    <w:p w14:paraId="3AF3C9D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8C9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72B58EC">
            <w:r>
              <w:rPr>
                <w:rFonts w:hint="eastAsia"/>
              </w:rPr>
              <w:t>买入股票成本（成交）总额</w:t>
            </w:r>
          </w:p>
        </w:tc>
        <w:tc>
          <w:tcPr>
            <w:tcW w:w="4983" w:type="dxa"/>
            <w:vAlign w:val="center"/>
          </w:tcPr>
          <w:p w14:paraId="7E1EFDA3">
            <w:pPr>
              <w:jc w:val="right"/>
            </w:pPr>
            <w:r>
              <w:rPr>
                <w:rFonts w:hint="eastAsia"/>
              </w:rPr>
              <w:t>821,977,913.88</w:t>
            </w:r>
          </w:p>
        </w:tc>
      </w:tr>
      <w:tr w14:paraId="3BFB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F47735E">
            <w:r>
              <w:rPr>
                <w:rFonts w:hint="eastAsia"/>
              </w:rPr>
              <w:t>卖出股票收入（成交）总额</w:t>
            </w:r>
          </w:p>
        </w:tc>
        <w:tc>
          <w:tcPr>
            <w:tcW w:w="4983" w:type="dxa"/>
            <w:vAlign w:val="center"/>
          </w:tcPr>
          <w:p w14:paraId="6E6ED909">
            <w:pPr>
              <w:jc w:val="right"/>
            </w:pPr>
            <w:r>
              <w:rPr>
                <w:rFonts w:hint="eastAsia"/>
              </w:rPr>
              <w:t>259,408,959.64</w:t>
            </w:r>
          </w:p>
        </w:tc>
      </w:tr>
    </w:tbl>
    <w:p w14:paraId="4DA68179">
      <w:pPr>
        <w:pStyle w:val="47"/>
        <w:rPr>
          <w:rFonts w:hint="eastAsia"/>
        </w:rPr>
      </w:pPr>
      <w:r>
        <w:rPr>
          <w:rFonts w:hint="eastAsia"/>
        </w:rPr>
        <w:t>注：买入股票成本、卖出股票收入均按买卖成交金额（成交单价乘以成交数量）填列，不考虑相关交易费用。</w:t>
      </w:r>
    </w:p>
    <w:p w14:paraId="4484EFA3">
      <w:pPr>
        <w:pStyle w:val="23"/>
      </w:pPr>
      <w:bookmarkStart w:id="172" w:name="_Toc19331"/>
      <w:r>
        <w:t>期末按债券品种分类的债券投资组合</w:t>
      </w:r>
      <w:bookmarkEnd w:id="172"/>
    </w:p>
    <w:p w14:paraId="55E71BC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A17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29AAE86">
            <w:pPr>
              <w:jc w:val="center"/>
            </w:pPr>
            <w:r>
              <w:rPr>
                <w:rFonts w:hint="eastAsia"/>
                <w:b/>
              </w:rPr>
              <w:t>序号</w:t>
            </w:r>
          </w:p>
        </w:tc>
        <w:tc>
          <w:tcPr>
            <w:tcW w:w="2768" w:type="dxa"/>
            <w:shd w:val="clear" w:color="auto" w:fill="BFBFBF"/>
            <w:vAlign w:val="center"/>
          </w:tcPr>
          <w:p w14:paraId="01A72D47">
            <w:pPr>
              <w:jc w:val="center"/>
            </w:pPr>
            <w:r>
              <w:rPr>
                <w:rFonts w:hint="eastAsia"/>
                <w:b/>
              </w:rPr>
              <w:t>债券品种</w:t>
            </w:r>
          </w:p>
        </w:tc>
        <w:tc>
          <w:tcPr>
            <w:tcW w:w="2408" w:type="dxa"/>
            <w:shd w:val="clear" w:color="auto" w:fill="BFBFBF"/>
            <w:vAlign w:val="center"/>
          </w:tcPr>
          <w:p w14:paraId="25750CB5">
            <w:pPr>
              <w:jc w:val="center"/>
            </w:pPr>
            <w:r>
              <w:rPr>
                <w:rFonts w:hint="eastAsia"/>
                <w:b/>
              </w:rPr>
              <w:t>公允价值（元）</w:t>
            </w:r>
          </w:p>
        </w:tc>
        <w:tc>
          <w:tcPr>
            <w:tcW w:w="2497" w:type="dxa"/>
            <w:shd w:val="clear" w:color="auto" w:fill="BFBFBF"/>
            <w:vAlign w:val="center"/>
          </w:tcPr>
          <w:p w14:paraId="60AB14DD">
            <w:pPr>
              <w:jc w:val="center"/>
            </w:pPr>
            <w:r>
              <w:rPr>
                <w:rFonts w:hint="eastAsia"/>
                <w:b/>
              </w:rPr>
              <w:t>占基金资产净值比例（％）</w:t>
            </w:r>
          </w:p>
        </w:tc>
      </w:tr>
      <w:tr w14:paraId="2EE9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68AB9F">
            <w:pPr>
              <w:jc w:val="center"/>
            </w:pPr>
            <w:r>
              <w:rPr>
                <w:rFonts w:hint="eastAsia"/>
              </w:rPr>
              <w:t>1</w:t>
            </w:r>
          </w:p>
        </w:tc>
        <w:tc>
          <w:tcPr>
            <w:tcW w:w="2768" w:type="dxa"/>
            <w:vAlign w:val="center"/>
          </w:tcPr>
          <w:p w14:paraId="1309D5C1">
            <w:r>
              <w:rPr>
                <w:rFonts w:hint="eastAsia"/>
              </w:rPr>
              <w:t>国家债券</w:t>
            </w:r>
          </w:p>
        </w:tc>
        <w:tc>
          <w:tcPr>
            <w:tcW w:w="2408" w:type="dxa"/>
            <w:vAlign w:val="center"/>
          </w:tcPr>
          <w:p w14:paraId="10077842">
            <w:pPr>
              <w:jc w:val="right"/>
            </w:pPr>
            <w:r>
              <w:rPr>
                <w:rFonts w:hint="eastAsia"/>
              </w:rPr>
              <w:t>177,068,214.80</w:t>
            </w:r>
          </w:p>
        </w:tc>
        <w:tc>
          <w:tcPr>
            <w:tcW w:w="2497" w:type="dxa"/>
            <w:vAlign w:val="center"/>
          </w:tcPr>
          <w:p w14:paraId="73D9E616">
            <w:pPr>
              <w:jc w:val="right"/>
            </w:pPr>
            <w:r>
              <w:rPr>
                <w:rFonts w:hint="eastAsia"/>
              </w:rPr>
              <w:t>5.51</w:t>
            </w:r>
          </w:p>
        </w:tc>
      </w:tr>
      <w:tr w14:paraId="1899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C5A548">
            <w:pPr>
              <w:jc w:val="center"/>
            </w:pPr>
            <w:r>
              <w:rPr>
                <w:rFonts w:hint="eastAsia"/>
              </w:rPr>
              <w:t>2</w:t>
            </w:r>
          </w:p>
        </w:tc>
        <w:tc>
          <w:tcPr>
            <w:tcW w:w="2768" w:type="dxa"/>
            <w:vAlign w:val="center"/>
          </w:tcPr>
          <w:p w14:paraId="313F01FB">
            <w:r>
              <w:rPr>
                <w:rFonts w:hint="eastAsia"/>
              </w:rPr>
              <w:t>央行票据</w:t>
            </w:r>
          </w:p>
        </w:tc>
        <w:tc>
          <w:tcPr>
            <w:tcW w:w="2408" w:type="dxa"/>
            <w:vAlign w:val="center"/>
          </w:tcPr>
          <w:p w14:paraId="623F907B">
            <w:pPr>
              <w:jc w:val="right"/>
            </w:pPr>
            <w:r>
              <w:rPr>
                <w:rFonts w:hint="eastAsia"/>
              </w:rPr>
              <w:t>-</w:t>
            </w:r>
          </w:p>
        </w:tc>
        <w:tc>
          <w:tcPr>
            <w:tcW w:w="2497" w:type="dxa"/>
            <w:vAlign w:val="center"/>
          </w:tcPr>
          <w:p w14:paraId="6376A8E4">
            <w:pPr>
              <w:jc w:val="right"/>
            </w:pPr>
            <w:r>
              <w:rPr>
                <w:rFonts w:hint="eastAsia"/>
              </w:rPr>
              <w:t>-</w:t>
            </w:r>
          </w:p>
        </w:tc>
      </w:tr>
      <w:tr w14:paraId="6091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72F84D">
            <w:pPr>
              <w:jc w:val="center"/>
            </w:pPr>
            <w:r>
              <w:rPr>
                <w:rFonts w:hint="eastAsia"/>
              </w:rPr>
              <w:t>3</w:t>
            </w:r>
          </w:p>
        </w:tc>
        <w:tc>
          <w:tcPr>
            <w:tcW w:w="2768" w:type="dxa"/>
            <w:vAlign w:val="center"/>
          </w:tcPr>
          <w:p w14:paraId="1D7442D7">
            <w:r>
              <w:rPr>
                <w:rFonts w:hint="eastAsia"/>
              </w:rPr>
              <w:t>金融债券</w:t>
            </w:r>
          </w:p>
        </w:tc>
        <w:tc>
          <w:tcPr>
            <w:tcW w:w="2408" w:type="dxa"/>
            <w:vAlign w:val="center"/>
          </w:tcPr>
          <w:p w14:paraId="7234E30F">
            <w:pPr>
              <w:jc w:val="right"/>
            </w:pPr>
            <w:r>
              <w:rPr>
                <w:rFonts w:hint="eastAsia"/>
              </w:rPr>
              <w:t>1,722,681,896.44</w:t>
            </w:r>
          </w:p>
        </w:tc>
        <w:tc>
          <w:tcPr>
            <w:tcW w:w="2497" w:type="dxa"/>
            <w:vAlign w:val="center"/>
          </w:tcPr>
          <w:p w14:paraId="281A2281">
            <w:pPr>
              <w:jc w:val="right"/>
            </w:pPr>
            <w:r>
              <w:rPr>
                <w:rFonts w:hint="eastAsia"/>
              </w:rPr>
              <w:t>53.63</w:t>
            </w:r>
          </w:p>
        </w:tc>
      </w:tr>
      <w:tr w14:paraId="1B23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10C24E">
            <w:pPr>
              <w:jc w:val="center"/>
            </w:pPr>
          </w:p>
        </w:tc>
        <w:tc>
          <w:tcPr>
            <w:tcW w:w="2768" w:type="dxa"/>
            <w:vAlign w:val="center"/>
          </w:tcPr>
          <w:p w14:paraId="0DEB2697">
            <w:r>
              <w:rPr>
                <w:rFonts w:hint="eastAsia"/>
              </w:rPr>
              <w:t>其中：政策性金融债</w:t>
            </w:r>
          </w:p>
        </w:tc>
        <w:tc>
          <w:tcPr>
            <w:tcW w:w="2408" w:type="dxa"/>
            <w:vAlign w:val="center"/>
          </w:tcPr>
          <w:p w14:paraId="0DC30251">
            <w:pPr>
              <w:jc w:val="right"/>
            </w:pPr>
            <w:r>
              <w:rPr>
                <w:rFonts w:hint="eastAsia"/>
              </w:rPr>
              <w:t>-</w:t>
            </w:r>
          </w:p>
        </w:tc>
        <w:tc>
          <w:tcPr>
            <w:tcW w:w="2497" w:type="dxa"/>
            <w:vAlign w:val="center"/>
          </w:tcPr>
          <w:p w14:paraId="20B2EE12">
            <w:pPr>
              <w:jc w:val="right"/>
            </w:pPr>
            <w:r>
              <w:rPr>
                <w:rFonts w:hint="eastAsia"/>
              </w:rPr>
              <w:t>-</w:t>
            </w:r>
          </w:p>
        </w:tc>
      </w:tr>
      <w:tr w14:paraId="5569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78A4C2">
            <w:pPr>
              <w:jc w:val="center"/>
            </w:pPr>
            <w:r>
              <w:rPr>
                <w:rFonts w:hint="eastAsia"/>
              </w:rPr>
              <w:t>4</w:t>
            </w:r>
          </w:p>
        </w:tc>
        <w:tc>
          <w:tcPr>
            <w:tcW w:w="2768" w:type="dxa"/>
            <w:vAlign w:val="center"/>
          </w:tcPr>
          <w:p w14:paraId="575F9FE2">
            <w:r>
              <w:rPr>
                <w:rFonts w:hint="eastAsia"/>
              </w:rPr>
              <w:t>企业债券</w:t>
            </w:r>
          </w:p>
        </w:tc>
        <w:tc>
          <w:tcPr>
            <w:tcW w:w="2408" w:type="dxa"/>
            <w:vAlign w:val="center"/>
          </w:tcPr>
          <w:p w14:paraId="29C5D220">
            <w:pPr>
              <w:jc w:val="right"/>
            </w:pPr>
            <w:r>
              <w:rPr>
                <w:rFonts w:hint="eastAsia"/>
              </w:rPr>
              <w:t>162,608,658.64</w:t>
            </w:r>
          </w:p>
        </w:tc>
        <w:tc>
          <w:tcPr>
            <w:tcW w:w="2497" w:type="dxa"/>
            <w:vAlign w:val="center"/>
          </w:tcPr>
          <w:p w14:paraId="0FFA9B66">
            <w:pPr>
              <w:jc w:val="right"/>
            </w:pPr>
            <w:r>
              <w:rPr>
                <w:rFonts w:hint="eastAsia"/>
              </w:rPr>
              <w:t>5.06</w:t>
            </w:r>
          </w:p>
        </w:tc>
      </w:tr>
      <w:tr w14:paraId="2D59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0C8536">
            <w:pPr>
              <w:jc w:val="center"/>
            </w:pPr>
            <w:r>
              <w:rPr>
                <w:rFonts w:hint="eastAsia"/>
              </w:rPr>
              <w:t>5</w:t>
            </w:r>
          </w:p>
        </w:tc>
        <w:tc>
          <w:tcPr>
            <w:tcW w:w="2768" w:type="dxa"/>
            <w:vAlign w:val="center"/>
          </w:tcPr>
          <w:p w14:paraId="6D038695">
            <w:r>
              <w:rPr>
                <w:rFonts w:hint="eastAsia"/>
              </w:rPr>
              <w:t>企业短期融资券</w:t>
            </w:r>
          </w:p>
        </w:tc>
        <w:tc>
          <w:tcPr>
            <w:tcW w:w="2408" w:type="dxa"/>
            <w:vAlign w:val="center"/>
          </w:tcPr>
          <w:p w14:paraId="3E462D75">
            <w:pPr>
              <w:jc w:val="right"/>
            </w:pPr>
            <w:r>
              <w:rPr>
                <w:rFonts w:hint="eastAsia"/>
              </w:rPr>
              <w:t>170,589,654.25</w:t>
            </w:r>
          </w:p>
        </w:tc>
        <w:tc>
          <w:tcPr>
            <w:tcW w:w="2497" w:type="dxa"/>
            <w:vAlign w:val="center"/>
          </w:tcPr>
          <w:p w14:paraId="463D0B56">
            <w:pPr>
              <w:jc w:val="right"/>
            </w:pPr>
            <w:r>
              <w:rPr>
                <w:rFonts w:hint="eastAsia"/>
              </w:rPr>
              <w:t>5.31</w:t>
            </w:r>
          </w:p>
        </w:tc>
      </w:tr>
      <w:tr w14:paraId="4189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FB2329">
            <w:pPr>
              <w:jc w:val="center"/>
            </w:pPr>
            <w:r>
              <w:rPr>
                <w:rFonts w:hint="eastAsia"/>
              </w:rPr>
              <w:t>6</w:t>
            </w:r>
          </w:p>
        </w:tc>
        <w:tc>
          <w:tcPr>
            <w:tcW w:w="2768" w:type="dxa"/>
            <w:vAlign w:val="center"/>
          </w:tcPr>
          <w:p w14:paraId="1D5F703F">
            <w:r>
              <w:rPr>
                <w:rFonts w:hint="eastAsia"/>
              </w:rPr>
              <w:t>中期票据</w:t>
            </w:r>
          </w:p>
        </w:tc>
        <w:tc>
          <w:tcPr>
            <w:tcW w:w="2408" w:type="dxa"/>
            <w:vAlign w:val="center"/>
          </w:tcPr>
          <w:p w14:paraId="3468E299">
            <w:pPr>
              <w:jc w:val="right"/>
            </w:pPr>
            <w:r>
              <w:rPr>
                <w:rFonts w:hint="eastAsia"/>
              </w:rPr>
              <w:t>-</w:t>
            </w:r>
          </w:p>
        </w:tc>
        <w:tc>
          <w:tcPr>
            <w:tcW w:w="2497" w:type="dxa"/>
            <w:vAlign w:val="center"/>
          </w:tcPr>
          <w:p w14:paraId="0D95BB88">
            <w:pPr>
              <w:jc w:val="right"/>
            </w:pPr>
            <w:r>
              <w:rPr>
                <w:rFonts w:hint="eastAsia"/>
              </w:rPr>
              <w:t>-</w:t>
            </w:r>
          </w:p>
        </w:tc>
      </w:tr>
      <w:tr w14:paraId="78B7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0BAF6D">
            <w:pPr>
              <w:jc w:val="center"/>
            </w:pPr>
            <w:r>
              <w:rPr>
                <w:rFonts w:hint="eastAsia"/>
              </w:rPr>
              <w:t>7</w:t>
            </w:r>
          </w:p>
        </w:tc>
        <w:tc>
          <w:tcPr>
            <w:tcW w:w="2768" w:type="dxa"/>
            <w:vAlign w:val="center"/>
          </w:tcPr>
          <w:p w14:paraId="25CD92FB">
            <w:r>
              <w:rPr>
                <w:rFonts w:hint="eastAsia"/>
              </w:rPr>
              <w:t>可转债（可交换债）</w:t>
            </w:r>
          </w:p>
        </w:tc>
        <w:tc>
          <w:tcPr>
            <w:tcW w:w="2408" w:type="dxa"/>
            <w:vAlign w:val="center"/>
          </w:tcPr>
          <w:p w14:paraId="6AD5CFAB">
            <w:pPr>
              <w:jc w:val="right"/>
            </w:pPr>
            <w:r>
              <w:rPr>
                <w:rFonts w:hint="eastAsia"/>
              </w:rPr>
              <w:t>-</w:t>
            </w:r>
          </w:p>
        </w:tc>
        <w:tc>
          <w:tcPr>
            <w:tcW w:w="2497" w:type="dxa"/>
            <w:vAlign w:val="center"/>
          </w:tcPr>
          <w:p w14:paraId="79E613CA">
            <w:pPr>
              <w:jc w:val="right"/>
            </w:pPr>
            <w:r>
              <w:rPr>
                <w:rFonts w:hint="eastAsia"/>
              </w:rPr>
              <w:t>-</w:t>
            </w:r>
          </w:p>
        </w:tc>
      </w:tr>
      <w:tr w14:paraId="0C91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E20E45">
            <w:pPr>
              <w:jc w:val="center"/>
            </w:pPr>
            <w:r>
              <w:rPr>
                <w:rFonts w:hint="eastAsia"/>
              </w:rPr>
              <w:t>8</w:t>
            </w:r>
          </w:p>
        </w:tc>
        <w:tc>
          <w:tcPr>
            <w:tcW w:w="2768" w:type="dxa"/>
            <w:vAlign w:val="center"/>
          </w:tcPr>
          <w:p w14:paraId="6A55AED2">
            <w:r>
              <w:rPr>
                <w:rFonts w:hint="eastAsia"/>
              </w:rPr>
              <w:t>同业存单</w:t>
            </w:r>
          </w:p>
        </w:tc>
        <w:tc>
          <w:tcPr>
            <w:tcW w:w="2408" w:type="dxa"/>
            <w:vAlign w:val="center"/>
          </w:tcPr>
          <w:p w14:paraId="343A241D">
            <w:pPr>
              <w:jc w:val="right"/>
            </w:pPr>
            <w:r>
              <w:rPr>
                <w:rFonts w:hint="eastAsia"/>
              </w:rPr>
              <w:t>596,859,721.86</w:t>
            </w:r>
          </w:p>
        </w:tc>
        <w:tc>
          <w:tcPr>
            <w:tcW w:w="2497" w:type="dxa"/>
            <w:vAlign w:val="center"/>
          </w:tcPr>
          <w:p w14:paraId="7F09CBD3">
            <w:pPr>
              <w:jc w:val="right"/>
            </w:pPr>
            <w:r>
              <w:rPr>
                <w:rFonts w:hint="eastAsia"/>
              </w:rPr>
              <w:t>18.58</w:t>
            </w:r>
          </w:p>
        </w:tc>
      </w:tr>
      <w:tr w14:paraId="3D64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9C71F2">
            <w:pPr>
              <w:jc w:val="center"/>
            </w:pPr>
            <w:r>
              <w:rPr>
                <w:rFonts w:hint="eastAsia"/>
              </w:rPr>
              <w:t>9</w:t>
            </w:r>
          </w:p>
        </w:tc>
        <w:tc>
          <w:tcPr>
            <w:tcW w:w="2768" w:type="dxa"/>
            <w:vAlign w:val="center"/>
          </w:tcPr>
          <w:p w14:paraId="4F488929">
            <w:r>
              <w:rPr>
                <w:rFonts w:hint="eastAsia"/>
              </w:rPr>
              <w:t>其他</w:t>
            </w:r>
          </w:p>
        </w:tc>
        <w:tc>
          <w:tcPr>
            <w:tcW w:w="2408" w:type="dxa"/>
            <w:vAlign w:val="center"/>
          </w:tcPr>
          <w:p w14:paraId="4ADB9FBA">
            <w:pPr>
              <w:jc w:val="right"/>
            </w:pPr>
            <w:r>
              <w:rPr>
                <w:rFonts w:hint="eastAsia"/>
              </w:rPr>
              <w:t>-</w:t>
            </w:r>
          </w:p>
        </w:tc>
        <w:tc>
          <w:tcPr>
            <w:tcW w:w="2497" w:type="dxa"/>
            <w:vAlign w:val="center"/>
          </w:tcPr>
          <w:p w14:paraId="3BDB19AB">
            <w:pPr>
              <w:jc w:val="right"/>
            </w:pPr>
            <w:r>
              <w:rPr>
                <w:rFonts w:hint="eastAsia"/>
              </w:rPr>
              <w:t>-</w:t>
            </w:r>
          </w:p>
        </w:tc>
      </w:tr>
      <w:tr w14:paraId="2F60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D1D0A8">
            <w:pPr>
              <w:jc w:val="center"/>
            </w:pPr>
            <w:r>
              <w:rPr>
                <w:rFonts w:hint="eastAsia"/>
              </w:rPr>
              <w:t>10</w:t>
            </w:r>
          </w:p>
        </w:tc>
        <w:tc>
          <w:tcPr>
            <w:tcW w:w="2768" w:type="dxa"/>
            <w:vAlign w:val="center"/>
          </w:tcPr>
          <w:p w14:paraId="047F32B7">
            <w:r>
              <w:rPr>
                <w:rFonts w:hint="eastAsia"/>
              </w:rPr>
              <w:t>合计</w:t>
            </w:r>
          </w:p>
        </w:tc>
        <w:tc>
          <w:tcPr>
            <w:tcW w:w="2408" w:type="dxa"/>
            <w:vAlign w:val="center"/>
          </w:tcPr>
          <w:p w14:paraId="6DB2219C">
            <w:pPr>
              <w:jc w:val="right"/>
            </w:pPr>
            <w:r>
              <w:rPr>
                <w:rFonts w:hint="eastAsia"/>
              </w:rPr>
              <w:t>2,829,808,145.99</w:t>
            </w:r>
          </w:p>
        </w:tc>
        <w:tc>
          <w:tcPr>
            <w:tcW w:w="2497" w:type="dxa"/>
            <w:vAlign w:val="center"/>
          </w:tcPr>
          <w:p w14:paraId="0EA993D7">
            <w:pPr>
              <w:jc w:val="right"/>
            </w:pPr>
            <w:r>
              <w:rPr>
                <w:rFonts w:hint="eastAsia"/>
              </w:rPr>
              <w:t>88.10</w:t>
            </w:r>
          </w:p>
        </w:tc>
      </w:tr>
    </w:tbl>
    <w:p w14:paraId="006D7EC8">
      <w:pPr>
        <w:pStyle w:val="23"/>
      </w:pPr>
      <w:bookmarkStart w:id="173" w:name="_Toc18399"/>
      <w:r>
        <w:t>期末按公允价值占基金资产净值比例大小排序的前五名债券投资明细</w:t>
      </w:r>
      <w:bookmarkEnd w:id="173"/>
    </w:p>
    <w:p w14:paraId="376028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038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5776FF3">
            <w:pPr>
              <w:jc w:val="center"/>
            </w:pPr>
            <w:r>
              <w:rPr>
                <w:rFonts w:hint="eastAsia"/>
                <w:b/>
              </w:rPr>
              <w:t>序号</w:t>
            </w:r>
          </w:p>
        </w:tc>
        <w:tc>
          <w:tcPr>
            <w:tcW w:w="1135" w:type="dxa"/>
            <w:shd w:val="clear" w:color="auto" w:fill="BFBFBF"/>
            <w:vAlign w:val="center"/>
          </w:tcPr>
          <w:p w14:paraId="20FC1E01">
            <w:pPr>
              <w:jc w:val="center"/>
            </w:pPr>
            <w:r>
              <w:rPr>
                <w:rFonts w:hint="eastAsia"/>
                <w:b/>
              </w:rPr>
              <w:t>债券代码</w:t>
            </w:r>
          </w:p>
        </w:tc>
        <w:tc>
          <w:tcPr>
            <w:tcW w:w="1882" w:type="dxa"/>
            <w:shd w:val="clear" w:color="auto" w:fill="BFBFBF"/>
            <w:vAlign w:val="center"/>
          </w:tcPr>
          <w:p w14:paraId="5EE74258">
            <w:pPr>
              <w:jc w:val="center"/>
            </w:pPr>
            <w:r>
              <w:rPr>
                <w:rFonts w:hint="eastAsia"/>
                <w:b/>
              </w:rPr>
              <w:t>债券名称</w:t>
            </w:r>
          </w:p>
        </w:tc>
        <w:tc>
          <w:tcPr>
            <w:tcW w:w="1113" w:type="dxa"/>
            <w:shd w:val="clear" w:color="auto" w:fill="BFBFBF"/>
            <w:vAlign w:val="center"/>
          </w:tcPr>
          <w:p w14:paraId="7DBD4FF5">
            <w:pPr>
              <w:jc w:val="center"/>
            </w:pPr>
            <w:r>
              <w:rPr>
                <w:rFonts w:hint="eastAsia"/>
                <w:b/>
              </w:rPr>
              <w:t>数量（张）</w:t>
            </w:r>
          </w:p>
        </w:tc>
        <w:tc>
          <w:tcPr>
            <w:tcW w:w="1771" w:type="dxa"/>
            <w:shd w:val="clear" w:color="auto" w:fill="BFBFBF"/>
            <w:vAlign w:val="center"/>
          </w:tcPr>
          <w:p w14:paraId="3DD0EEC2">
            <w:pPr>
              <w:jc w:val="center"/>
            </w:pPr>
            <w:r>
              <w:rPr>
                <w:rFonts w:hint="eastAsia"/>
                <w:b/>
              </w:rPr>
              <w:t>公允价值（元）</w:t>
            </w:r>
          </w:p>
        </w:tc>
        <w:tc>
          <w:tcPr>
            <w:tcW w:w="1771" w:type="dxa"/>
            <w:shd w:val="clear" w:color="auto" w:fill="BFBFBF"/>
            <w:vAlign w:val="center"/>
          </w:tcPr>
          <w:p w14:paraId="1EB5562A">
            <w:pPr>
              <w:jc w:val="center"/>
            </w:pPr>
            <w:r>
              <w:rPr>
                <w:rFonts w:hint="eastAsia"/>
                <w:b/>
              </w:rPr>
              <w:t>占基金资产净值比例（％）</w:t>
            </w:r>
          </w:p>
        </w:tc>
      </w:tr>
      <w:tr w14:paraId="2CF8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CBEC21">
            <w:pPr>
              <w:jc w:val="center"/>
            </w:pPr>
            <w:r>
              <w:rPr>
                <w:rFonts w:hint="eastAsia"/>
              </w:rPr>
              <w:t>1</w:t>
            </w:r>
          </w:p>
        </w:tc>
        <w:tc>
          <w:tcPr>
            <w:tcW w:w="1135" w:type="dxa"/>
            <w:vAlign w:val="center"/>
          </w:tcPr>
          <w:p w14:paraId="43336146">
            <w:r>
              <w:rPr>
                <w:rFonts w:hint="eastAsia"/>
              </w:rPr>
              <w:t>242580019</w:t>
            </w:r>
          </w:p>
        </w:tc>
        <w:tc>
          <w:tcPr>
            <w:tcW w:w="1882" w:type="dxa"/>
            <w:vAlign w:val="center"/>
          </w:tcPr>
          <w:p w14:paraId="5F19BF01">
            <w:r>
              <w:rPr>
                <w:rFonts w:hint="eastAsia"/>
              </w:rPr>
              <w:t>25浦发银行永续债01</w:t>
            </w:r>
          </w:p>
        </w:tc>
        <w:tc>
          <w:tcPr>
            <w:tcW w:w="1113" w:type="dxa"/>
            <w:vAlign w:val="center"/>
          </w:tcPr>
          <w:p w14:paraId="4BC111E5">
            <w:pPr>
              <w:jc w:val="right"/>
            </w:pPr>
            <w:r>
              <w:rPr>
                <w:rFonts w:hint="eastAsia"/>
              </w:rPr>
              <w:t>2,000,000</w:t>
            </w:r>
          </w:p>
        </w:tc>
        <w:tc>
          <w:tcPr>
            <w:tcW w:w="1771" w:type="dxa"/>
            <w:vAlign w:val="center"/>
          </w:tcPr>
          <w:p w14:paraId="326B5D1C">
            <w:pPr>
              <w:jc w:val="right"/>
            </w:pPr>
            <w:r>
              <w:rPr>
                <w:rFonts w:hint="eastAsia"/>
              </w:rPr>
              <w:t>200,406,421.92</w:t>
            </w:r>
          </w:p>
        </w:tc>
        <w:tc>
          <w:tcPr>
            <w:tcW w:w="1771" w:type="dxa"/>
            <w:vAlign w:val="center"/>
          </w:tcPr>
          <w:p w14:paraId="2F18EB93">
            <w:pPr>
              <w:jc w:val="right"/>
            </w:pPr>
            <w:r>
              <w:rPr>
                <w:rFonts w:hint="eastAsia"/>
              </w:rPr>
              <w:t>6.24</w:t>
            </w:r>
          </w:p>
        </w:tc>
      </w:tr>
      <w:tr w14:paraId="6ACB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A82ACC">
            <w:pPr>
              <w:jc w:val="center"/>
            </w:pPr>
            <w:r>
              <w:rPr>
                <w:rFonts w:hint="eastAsia"/>
              </w:rPr>
              <w:t>2</w:t>
            </w:r>
          </w:p>
        </w:tc>
        <w:tc>
          <w:tcPr>
            <w:tcW w:w="1135" w:type="dxa"/>
            <w:vAlign w:val="center"/>
          </w:tcPr>
          <w:p w14:paraId="7FA3C1E7">
            <w:r>
              <w:rPr>
                <w:rFonts w:hint="eastAsia"/>
              </w:rPr>
              <w:t>092280086</w:t>
            </w:r>
          </w:p>
        </w:tc>
        <w:tc>
          <w:tcPr>
            <w:tcW w:w="1882" w:type="dxa"/>
            <w:vAlign w:val="center"/>
          </w:tcPr>
          <w:p w14:paraId="3B3E0589">
            <w:r>
              <w:rPr>
                <w:rFonts w:hint="eastAsia"/>
              </w:rPr>
              <w:t>22农行永续债02</w:t>
            </w:r>
          </w:p>
        </w:tc>
        <w:tc>
          <w:tcPr>
            <w:tcW w:w="1113" w:type="dxa"/>
            <w:vAlign w:val="center"/>
          </w:tcPr>
          <w:p w14:paraId="431E9933">
            <w:pPr>
              <w:jc w:val="right"/>
            </w:pPr>
            <w:r>
              <w:rPr>
                <w:rFonts w:hint="eastAsia"/>
              </w:rPr>
              <w:t>1,600,000</w:t>
            </w:r>
          </w:p>
        </w:tc>
        <w:tc>
          <w:tcPr>
            <w:tcW w:w="1771" w:type="dxa"/>
            <w:vAlign w:val="center"/>
          </w:tcPr>
          <w:p w14:paraId="22DBA30A">
            <w:pPr>
              <w:jc w:val="right"/>
            </w:pPr>
            <w:r>
              <w:rPr>
                <w:rFonts w:hint="eastAsia"/>
              </w:rPr>
              <w:t>165,151,772.05</w:t>
            </w:r>
          </w:p>
        </w:tc>
        <w:tc>
          <w:tcPr>
            <w:tcW w:w="1771" w:type="dxa"/>
            <w:vAlign w:val="center"/>
          </w:tcPr>
          <w:p w14:paraId="4FE57141">
            <w:pPr>
              <w:jc w:val="right"/>
            </w:pPr>
            <w:r>
              <w:rPr>
                <w:rFonts w:hint="eastAsia"/>
              </w:rPr>
              <w:t>5.14</w:t>
            </w:r>
          </w:p>
        </w:tc>
      </w:tr>
      <w:tr w14:paraId="58AE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518242">
            <w:pPr>
              <w:jc w:val="center"/>
            </w:pPr>
            <w:r>
              <w:rPr>
                <w:rFonts w:hint="eastAsia"/>
              </w:rPr>
              <w:t>3</w:t>
            </w:r>
          </w:p>
        </w:tc>
        <w:tc>
          <w:tcPr>
            <w:tcW w:w="1135" w:type="dxa"/>
            <w:vAlign w:val="center"/>
          </w:tcPr>
          <w:p w14:paraId="7163CA50">
            <w:r>
              <w:rPr>
                <w:rFonts w:hint="eastAsia"/>
              </w:rPr>
              <w:t>242480002</w:t>
            </w:r>
          </w:p>
        </w:tc>
        <w:tc>
          <w:tcPr>
            <w:tcW w:w="1882" w:type="dxa"/>
            <w:vAlign w:val="center"/>
          </w:tcPr>
          <w:p w14:paraId="2F62BB1E">
            <w:r>
              <w:rPr>
                <w:rFonts w:hint="eastAsia"/>
              </w:rPr>
              <w:t>24兴业银行永续债01</w:t>
            </w:r>
          </w:p>
        </w:tc>
        <w:tc>
          <w:tcPr>
            <w:tcW w:w="1113" w:type="dxa"/>
            <w:vAlign w:val="center"/>
          </w:tcPr>
          <w:p w14:paraId="56BA995B">
            <w:pPr>
              <w:jc w:val="right"/>
            </w:pPr>
            <w:r>
              <w:rPr>
                <w:rFonts w:hint="eastAsia"/>
              </w:rPr>
              <w:t>1,400,000</w:t>
            </w:r>
          </w:p>
        </w:tc>
        <w:tc>
          <w:tcPr>
            <w:tcW w:w="1771" w:type="dxa"/>
            <w:vAlign w:val="center"/>
          </w:tcPr>
          <w:p w14:paraId="3A532340">
            <w:pPr>
              <w:jc w:val="right"/>
            </w:pPr>
            <w:r>
              <w:rPr>
                <w:rFonts w:hint="eastAsia"/>
              </w:rPr>
              <w:t>143,668,092.05</w:t>
            </w:r>
          </w:p>
        </w:tc>
        <w:tc>
          <w:tcPr>
            <w:tcW w:w="1771" w:type="dxa"/>
            <w:vAlign w:val="center"/>
          </w:tcPr>
          <w:p w14:paraId="3A21CA9A">
            <w:pPr>
              <w:jc w:val="right"/>
            </w:pPr>
            <w:r>
              <w:rPr>
                <w:rFonts w:hint="eastAsia"/>
              </w:rPr>
              <w:t>4.47</w:t>
            </w:r>
          </w:p>
        </w:tc>
      </w:tr>
      <w:tr w14:paraId="6043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CD7324">
            <w:pPr>
              <w:jc w:val="center"/>
            </w:pPr>
            <w:r>
              <w:rPr>
                <w:rFonts w:hint="eastAsia"/>
              </w:rPr>
              <w:t>4</w:t>
            </w:r>
          </w:p>
        </w:tc>
        <w:tc>
          <w:tcPr>
            <w:tcW w:w="1135" w:type="dxa"/>
            <w:vAlign w:val="center"/>
          </w:tcPr>
          <w:p w14:paraId="6A0F2D56">
            <w:r>
              <w:rPr>
                <w:rFonts w:hint="eastAsia"/>
              </w:rPr>
              <w:t>2228023</w:t>
            </w:r>
          </w:p>
        </w:tc>
        <w:tc>
          <w:tcPr>
            <w:tcW w:w="1882" w:type="dxa"/>
            <w:vAlign w:val="center"/>
          </w:tcPr>
          <w:p w14:paraId="3188DFD0">
            <w:r>
              <w:rPr>
                <w:rFonts w:hint="eastAsia"/>
              </w:rPr>
              <w:t>22中国银行永续债01</w:t>
            </w:r>
          </w:p>
        </w:tc>
        <w:tc>
          <w:tcPr>
            <w:tcW w:w="1113" w:type="dxa"/>
            <w:vAlign w:val="center"/>
          </w:tcPr>
          <w:p w14:paraId="6255F3F7">
            <w:pPr>
              <w:jc w:val="right"/>
            </w:pPr>
            <w:r>
              <w:rPr>
                <w:rFonts w:hint="eastAsia"/>
              </w:rPr>
              <w:t>1,200,000</w:t>
            </w:r>
          </w:p>
        </w:tc>
        <w:tc>
          <w:tcPr>
            <w:tcW w:w="1771" w:type="dxa"/>
            <w:vAlign w:val="center"/>
          </w:tcPr>
          <w:p w14:paraId="658B4392">
            <w:pPr>
              <w:jc w:val="right"/>
            </w:pPr>
            <w:r>
              <w:rPr>
                <w:rFonts w:hint="eastAsia"/>
              </w:rPr>
              <w:t>125,978,400.00</w:t>
            </w:r>
          </w:p>
        </w:tc>
        <w:tc>
          <w:tcPr>
            <w:tcW w:w="1771" w:type="dxa"/>
            <w:vAlign w:val="center"/>
          </w:tcPr>
          <w:p w14:paraId="45599A5E">
            <w:pPr>
              <w:jc w:val="right"/>
            </w:pPr>
            <w:r>
              <w:rPr>
                <w:rFonts w:hint="eastAsia"/>
              </w:rPr>
              <w:t>3.92</w:t>
            </w:r>
          </w:p>
        </w:tc>
      </w:tr>
      <w:tr w14:paraId="7365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B6F3E9">
            <w:pPr>
              <w:jc w:val="center"/>
            </w:pPr>
            <w:r>
              <w:rPr>
                <w:rFonts w:hint="eastAsia"/>
              </w:rPr>
              <w:t>5</w:t>
            </w:r>
          </w:p>
        </w:tc>
        <w:tc>
          <w:tcPr>
            <w:tcW w:w="1135" w:type="dxa"/>
            <w:vAlign w:val="center"/>
          </w:tcPr>
          <w:p w14:paraId="72ACCE5B">
            <w:r>
              <w:rPr>
                <w:rFonts w:hint="eastAsia"/>
              </w:rPr>
              <w:t>012582464</w:t>
            </w:r>
          </w:p>
        </w:tc>
        <w:tc>
          <w:tcPr>
            <w:tcW w:w="1882" w:type="dxa"/>
            <w:vAlign w:val="center"/>
          </w:tcPr>
          <w:p w14:paraId="1E0A85AF">
            <w:r>
              <w:rPr>
                <w:rFonts w:hint="eastAsia"/>
              </w:rPr>
              <w:t>25伊利实业SCP016</w:t>
            </w:r>
          </w:p>
        </w:tc>
        <w:tc>
          <w:tcPr>
            <w:tcW w:w="1113" w:type="dxa"/>
            <w:vAlign w:val="center"/>
          </w:tcPr>
          <w:p w14:paraId="2FBE7DEF">
            <w:pPr>
              <w:jc w:val="right"/>
            </w:pPr>
            <w:r>
              <w:rPr>
                <w:rFonts w:hint="eastAsia"/>
              </w:rPr>
              <w:t>1,200,000</w:t>
            </w:r>
          </w:p>
        </w:tc>
        <w:tc>
          <w:tcPr>
            <w:tcW w:w="1771" w:type="dxa"/>
            <w:vAlign w:val="center"/>
          </w:tcPr>
          <w:p w14:paraId="6C1E9840">
            <w:pPr>
              <w:jc w:val="right"/>
            </w:pPr>
            <w:r>
              <w:rPr>
                <w:rFonts w:hint="eastAsia"/>
              </w:rPr>
              <w:t>120,375,780.82</w:t>
            </w:r>
          </w:p>
        </w:tc>
        <w:tc>
          <w:tcPr>
            <w:tcW w:w="1771" w:type="dxa"/>
            <w:vAlign w:val="center"/>
          </w:tcPr>
          <w:p w14:paraId="6D6D78A1">
            <w:pPr>
              <w:jc w:val="right"/>
            </w:pPr>
            <w:r>
              <w:rPr>
                <w:rFonts w:hint="eastAsia"/>
              </w:rPr>
              <w:t>3.75</w:t>
            </w:r>
          </w:p>
        </w:tc>
      </w:tr>
    </w:tbl>
    <w:p w14:paraId="236C76BC">
      <w:pPr>
        <w:pStyle w:val="23"/>
      </w:pPr>
      <w:bookmarkStart w:id="174" w:name="_Toc28606"/>
      <w:r>
        <w:t>期末按公允价值占基金资产净值比例大小排序的所有资产支持证券投资明细</w:t>
      </w:r>
      <w:bookmarkEnd w:id="174"/>
    </w:p>
    <w:p w14:paraId="4D1ADA7A">
      <w:pPr>
        <w:pStyle w:val="18"/>
        <w:rPr>
          <w:rFonts w:hint="eastAsia"/>
        </w:rPr>
      </w:pPr>
      <w:r>
        <w:rPr>
          <w:rFonts w:hint="eastAsia"/>
        </w:rPr>
        <w:t>无。</w:t>
      </w:r>
    </w:p>
    <w:p w14:paraId="0E47A693">
      <w:pPr>
        <w:pStyle w:val="23"/>
      </w:pPr>
      <w:bookmarkStart w:id="175" w:name="_Toc11578"/>
      <w:r>
        <w:t>报告期末按公允价值占基金资产净值比例大小排序的前五名贵金属投资明细</w:t>
      </w:r>
      <w:bookmarkEnd w:id="175"/>
    </w:p>
    <w:p w14:paraId="2F24B3E5">
      <w:pPr>
        <w:pStyle w:val="18"/>
        <w:rPr>
          <w:rFonts w:hint="eastAsia"/>
        </w:rPr>
      </w:pPr>
      <w:r>
        <w:rPr>
          <w:rFonts w:hint="eastAsia"/>
        </w:rPr>
        <w:t>无。</w:t>
      </w:r>
    </w:p>
    <w:p w14:paraId="3770E5E0">
      <w:pPr>
        <w:pStyle w:val="23"/>
      </w:pPr>
      <w:bookmarkStart w:id="176" w:name="_Toc29098"/>
      <w:r>
        <w:t>期末按公允价值占基金资产净值比例大小排序的前五名权证投资明细</w:t>
      </w:r>
      <w:bookmarkEnd w:id="176"/>
    </w:p>
    <w:p w14:paraId="6D0A7BB4">
      <w:pPr>
        <w:pStyle w:val="18"/>
        <w:rPr>
          <w:rFonts w:hint="eastAsia"/>
        </w:rPr>
      </w:pPr>
      <w:r>
        <w:rPr>
          <w:rFonts w:hint="eastAsia"/>
        </w:rPr>
        <w:t>无。</w:t>
      </w:r>
    </w:p>
    <w:p w14:paraId="6EE11371">
      <w:pPr>
        <w:pStyle w:val="23"/>
      </w:pPr>
      <w:bookmarkStart w:id="177" w:name="_Toc6432"/>
      <w:r>
        <w:t>本基金投资股指期货的投资政策</w:t>
      </w:r>
      <w:bookmarkEnd w:id="177"/>
    </w:p>
    <w:p w14:paraId="1DA954AD">
      <w:pPr>
        <w:pStyle w:val="18"/>
        <w:rPr>
          <w:rFonts w:hint="eastAsia"/>
        </w:rPr>
      </w:pPr>
      <w:r>
        <w:rPr>
          <w:rFonts w:hint="eastAsia"/>
        </w:rPr>
        <w:t>无。</w:t>
      </w:r>
    </w:p>
    <w:p w14:paraId="67282BA2">
      <w:pPr>
        <w:pStyle w:val="23"/>
      </w:pPr>
      <w:bookmarkStart w:id="178" w:name="_Toc16930"/>
      <w:r>
        <w:t>报告期末本基金投资的国债期货交易情况说明</w:t>
      </w:r>
      <w:bookmarkEnd w:id="178"/>
    </w:p>
    <w:p w14:paraId="2BA7B6DA">
      <w:pPr>
        <w:pStyle w:val="28"/>
      </w:pPr>
      <w:bookmarkStart w:id="179" w:name="_Toc179"/>
      <w:r>
        <w:t>本期国债期货投资政策</w:t>
      </w:r>
      <w:bookmarkEnd w:id="179"/>
    </w:p>
    <w:p w14:paraId="0F63F2F3">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4C453494">
      <w:pPr>
        <w:pStyle w:val="28"/>
      </w:pPr>
      <w:bookmarkStart w:id="180" w:name="_Toc180"/>
      <w:r>
        <w:t>本期国债期货投资评价</w:t>
      </w:r>
      <w:bookmarkEnd w:id="180"/>
    </w:p>
    <w:p w14:paraId="3F8F045A">
      <w:pPr>
        <w:pStyle w:val="18"/>
        <w:rPr>
          <w:rFonts w:hint="eastAsia"/>
        </w:rPr>
      </w:pPr>
      <w:r>
        <w:rPr>
          <w:rFonts w:hint="eastAsia"/>
        </w:rPr>
        <w:t>本报告期，本基金投资国债期货符合既定的投资政策和投资目的。</w:t>
      </w:r>
    </w:p>
    <w:p w14:paraId="73D9E45A">
      <w:pPr>
        <w:pStyle w:val="23"/>
      </w:pPr>
      <w:bookmarkStart w:id="181" w:name="_Toc12252"/>
      <w:r>
        <w:t>本报告期投资基金情况</w:t>
      </w:r>
      <w:bookmarkEnd w:id="181"/>
    </w:p>
    <w:p w14:paraId="2ABDFE39">
      <w:pPr>
        <w:pStyle w:val="28"/>
      </w:pPr>
      <w:bookmarkStart w:id="182" w:name="_Toc182"/>
      <w:r>
        <w:t>投资政策及风险说明</w:t>
      </w:r>
      <w:bookmarkEnd w:id="182"/>
    </w:p>
    <w:p w14:paraId="0A880637">
      <w:pPr>
        <w:pStyle w:val="18"/>
        <w:rPr>
          <w:rFonts w:hint="eastAsia"/>
        </w:rPr>
      </w:pPr>
      <w:r>
        <w:rPr>
          <w:rFonts w:hint="eastAsia"/>
        </w:rPr>
        <w:t>在基金投资上，本基金只投资全市场的股票 ETF 基金和本基金管理人旗下的股票型基金和混合型基金，其中混合型基金需符合下列两个条件之一：（1）基金合同约定股票及存托凭证资产投资比例不低于基金资产 60%的混合型基金；（2）根据基金披露的定期报告，最近四个季度中任一季度股票及存托凭证资产占基金资产比例均不低于 60%的混合型基金。对于股票 ETF，由于具有高透明度、风格明确、费用低等多项优势，通过优选基金，可配合市场、行业板块轮动等，在不同基金间调换，同时可运用事件套利、配对交易等组合策略套利等，增强基金投资收益。本基金将使用跟踪误差、累计偏离、基金规模、是否是市场基准指数、是否开放申购赎回等因素，选择优胜者进行投资。对于本基金管理人旗下的主动管理的股票型基金和混合型基金，本基金将通过基金评价研究机构推荐、量化指标筛选打分等一种或多种方法，进行初步分析，获得候选基金池。在候选基金池范围内，从多维度对待选投资标的进行定性分析，并做出最终的投资决策。</w:t>
      </w:r>
    </w:p>
    <w:p w14:paraId="481F625B">
      <w:pPr>
        <w:pStyle w:val="18"/>
        <w:rPr>
          <w:rFonts w:hint="eastAsia"/>
        </w:rPr>
      </w:pPr>
      <w:r>
        <w:rPr>
          <w:rFonts w:hint="eastAsia"/>
        </w:rPr>
        <w:t>无</w:t>
      </w:r>
    </w:p>
    <w:p w14:paraId="3E0FD20C">
      <w:pPr>
        <w:pStyle w:val="28"/>
      </w:pPr>
      <w:bookmarkStart w:id="183" w:name="_Toc183"/>
      <w:r>
        <w:t>报告期末按公允价值占基金资产净值比例大小排序的基金投资明细</w:t>
      </w:r>
      <w:bookmarkEnd w:id="183"/>
    </w:p>
    <w:p w14:paraId="166AC28B">
      <w:pPr>
        <w:pStyle w:val="18"/>
        <w:rPr>
          <w:rFonts w:hint="eastAsia"/>
        </w:rPr>
      </w:pPr>
      <w:r>
        <w:rPr>
          <w:rFonts w:hint="eastAsia"/>
        </w:rPr>
        <w:t>无。</w:t>
      </w:r>
    </w:p>
    <w:p w14:paraId="7547056B">
      <w:pPr>
        <w:pStyle w:val="23"/>
      </w:pPr>
      <w:bookmarkStart w:id="184" w:name="_Toc6042"/>
      <w:r>
        <w:t>投资组合报告附注</w:t>
      </w:r>
      <w:bookmarkEnd w:id="184"/>
    </w:p>
    <w:p w14:paraId="1C0FC64B">
      <w:pPr>
        <w:pStyle w:val="28"/>
      </w:pPr>
      <w:bookmarkStart w:id="185" w:name="_Toc185"/>
      <w:r>
        <w:t xml:space="preserve">  声明本基金投资的前十名证券的发行主体本期是否出现被监管部门立案调查，或在报告编制日前一年内受到公开谴责、处罚的情形。如是，还应对相关证券的投资决策程序做出说明。</w:t>
      </w:r>
      <w:bookmarkEnd w:id="185"/>
    </w:p>
    <w:p w14:paraId="2E7E9663">
      <w:pPr>
        <w:pStyle w:val="18"/>
        <w:rPr>
          <w:rFonts w:hint="eastAsia"/>
        </w:rPr>
      </w:pPr>
      <w:r>
        <w:rPr>
          <w:rFonts w:hint="eastAsia"/>
        </w:rPr>
        <w:t>本基金投资的前十名证券的发行主体中，中国农业银行股份有限公司在报告编制日前一年内曾受到国家金融监督管理总局、中国人民银行的处罚；中国银行股份有限公司在报告编制日前一年内曾受到国家金融监督管理总局的处罚；中国建设银行股份有限公司在报告编制日前一年内曾受到国家金融监督管理总局、中国人民银行的处罚；兴业银行股份有限公司在报告编制日前一年内曾受到国家金融监督管理总局的处罚；上海浦东发展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4556302E">
      <w:pPr>
        <w:pStyle w:val="18"/>
        <w:rPr>
          <w:rFonts w:hint="eastAsia"/>
        </w:rPr>
      </w:pPr>
      <w:r>
        <w:rPr>
          <w:rFonts w:hint="eastAsia"/>
        </w:rPr>
        <w:t>对上述证券的投资决策程序的说明：本基金投资上述证券的投资决策程序符合相关法律法规和公司制度的要求。</w:t>
      </w:r>
    </w:p>
    <w:p w14:paraId="0A44FBA0">
      <w:pPr>
        <w:pStyle w:val="28"/>
      </w:pPr>
      <w:bookmarkStart w:id="186" w:name="_Toc186"/>
      <w:r>
        <w:t xml:space="preserve">  声明基金投资的前十名股票是否超出基金合同规定的备选股票库。如是，还应对相关股票的投资决策程序做出说明。</w:t>
      </w:r>
      <w:bookmarkEnd w:id="186"/>
    </w:p>
    <w:p w14:paraId="6307D7E2">
      <w:pPr>
        <w:pStyle w:val="18"/>
        <w:rPr>
          <w:rFonts w:hint="eastAsia"/>
        </w:rPr>
      </w:pPr>
      <w:r>
        <w:rPr>
          <w:rFonts w:hint="eastAsia"/>
        </w:rPr>
        <w:t>本基金投资的前十名股票（如有）没有超出基金合同规定的备选股票库，本基金管理人从制度和流程上要求股票必须先入库再买入。</w:t>
      </w:r>
    </w:p>
    <w:p w14:paraId="01EA6E32">
      <w:pPr>
        <w:pStyle w:val="28"/>
      </w:pPr>
      <w:bookmarkStart w:id="187" w:name="_Toc187"/>
      <w:r>
        <w:t>期末其他各项资产构成</w:t>
      </w:r>
      <w:bookmarkEnd w:id="187"/>
    </w:p>
    <w:p w14:paraId="362A94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7BF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EB5473E">
            <w:pPr>
              <w:jc w:val="center"/>
            </w:pPr>
            <w:r>
              <w:rPr>
                <w:rFonts w:hint="eastAsia"/>
                <w:b/>
              </w:rPr>
              <w:t>序号</w:t>
            </w:r>
          </w:p>
        </w:tc>
        <w:tc>
          <w:tcPr>
            <w:tcW w:w="2907" w:type="dxa"/>
            <w:shd w:val="clear" w:color="auto" w:fill="BFBFBF"/>
            <w:vAlign w:val="center"/>
          </w:tcPr>
          <w:p w14:paraId="288CA7DE">
            <w:pPr>
              <w:jc w:val="center"/>
            </w:pPr>
            <w:r>
              <w:rPr>
                <w:rFonts w:hint="eastAsia"/>
                <w:b/>
              </w:rPr>
              <w:t>名称</w:t>
            </w:r>
          </w:p>
        </w:tc>
        <w:tc>
          <w:tcPr>
            <w:tcW w:w="4673" w:type="dxa"/>
            <w:shd w:val="clear" w:color="auto" w:fill="BFBFBF"/>
            <w:vAlign w:val="center"/>
          </w:tcPr>
          <w:p w14:paraId="3C3B48C5">
            <w:pPr>
              <w:jc w:val="center"/>
            </w:pPr>
            <w:r>
              <w:rPr>
                <w:rFonts w:hint="eastAsia"/>
                <w:b/>
              </w:rPr>
              <w:t>金额（元）</w:t>
            </w:r>
          </w:p>
        </w:tc>
      </w:tr>
      <w:tr w14:paraId="4B4B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BAAA00">
            <w:pPr>
              <w:jc w:val="center"/>
            </w:pPr>
            <w:r>
              <w:rPr>
                <w:rFonts w:hint="eastAsia"/>
              </w:rPr>
              <w:t>1</w:t>
            </w:r>
          </w:p>
        </w:tc>
        <w:tc>
          <w:tcPr>
            <w:tcW w:w="2907" w:type="dxa"/>
            <w:vAlign w:val="center"/>
          </w:tcPr>
          <w:p w14:paraId="1121EC1B">
            <w:r>
              <w:rPr>
                <w:rFonts w:hint="eastAsia"/>
              </w:rPr>
              <w:t>存出保证金</w:t>
            </w:r>
          </w:p>
        </w:tc>
        <w:tc>
          <w:tcPr>
            <w:tcW w:w="4673" w:type="dxa"/>
            <w:vAlign w:val="center"/>
          </w:tcPr>
          <w:p w14:paraId="7F7FD55E">
            <w:pPr>
              <w:jc w:val="right"/>
            </w:pPr>
            <w:r>
              <w:rPr>
                <w:rFonts w:hint="eastAsia"/>
              </w:rPr>
              <w:t>487,318.66</w:t>
            </w:r>
          </w:p>
        </w:tc>
      </w:tr>
      <w:tr w14:paraId="3A85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83427E">
            <w:pPr>
              <w:jc w:val="center"/>
            </w:pPr>
            <w:r>
              <w:rPr>
                <w:rFonts w:hint="eastAsia"/>
              </w:rPr>
              <w:t>2</w:t>
            </w:r>
          </w:p>
        </w:tc>
        <w:tc>
          <w:tcPr>
            <w:tcW w:w="2907" w:type="dxa"/>
            <w:vAlign w:val="center"/>
          </w:tcPr>
          <w:p w14:paraId="40626A7A">
            <w:r>
              <w:rPr>
                <w:rFonts w:hint="eastAsia"/>
              </w:rPr>
              <w:t>应收清算款</w:t>
            </w:r>
          </w:p>
        </w:tc>
        <w:tc>
          <w:tcPr>
            <w:tcW w:w="4673" w:type="dxa"/>
            <w:vAlign w:val="center"/>
          </w:tcPr>
          <w:p w14:paraId="5567B70B">
            <w:pPr>
              <w:jc w:val="right"/>
            </w:pPr>
            <w:r>
              <w:rPr>
                <w:rFonts w:hint="eastAsia"/>
              </w:rPr>
              <w:t>6,914,974.34</w:t>
            </w:r>
          </w:p>
        </w:tc>
      </w:tr>
      <w:tr w14:paraId="28CA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214C1B">
            <w:pPr>
              <w:jc w:val="center"/>
            </w:pPr>
            <w:r>
              <w:rPr>
                <w:rFonts w:hint="eastAsia"/>
              </w:rPr>
              <w:t>3</w:t>
            </w:r>
          </w:p>
        </w:tc>
        <w:tc>
          <w:tcPr>
            <w:tcW w:w="2907" w:type="dxa"/>
            <w:vAlign w:val="center"/>
          </w:tcPr>
          <w:p w14:paraId="6887DC20">
            <w:r>
              <w:rPr>
                <w:rFonts w:hint="eastAsia"/>
              </w:rPr>
              <w:t>应收股利</w:t>
            </w:r>
          </w:p>
        </w:tc>
        <w:tc>
          <w:tcPr>
            <w:tcW w:w="4673" w:type="dxa"/>
            <w:vAlign w:val="center"/>
          </w:tcPr>
          <w:p w14:paraId="71207CF5">
            <w:pPr>
              <w:jc w:val="right"/>
            </w:pPr>
            <w:r>
              <w:rPr>
                <w:rFonts w:hint="eastAsia"/>
              </w:rPr>
              <w:t>-</w:t>
            </w:r>
          </w:p>
        </w:tc>
      </w:tr>
      <w:tr w14:paraId="4EE8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59F1C4">
            <w:pPr>
              <w:jc w:val="center"/>
            </w:pPr>
            <w:r>
              <w:rPr>
                <w:rFonts w:hint="eastAsia"/>
              </w:rPr>
              <w:t>4</w:t>
            </w:r>
          </w:p>
        </w:tc>
        <w:tc>
          <w:tcPr>
            <w:tcW w:w="2907" w:type="dxa"/>
            <w:vAlign w:val="center"/>
          </w:tcPr>
          <w:p w14:paraId="106F85C0">
            <w:r>
              <w:rPr>
                <w:rFonts w:hint="eastAsia"/>
              </w:rPr>
              <w:t>应收利息</w:t>
            </w:r>
          </w:p>
        </w:tc>
        <w:tc>
          <w:tcPr>
            <w:tcW w:w="4673" w:type="dxa"/>
            <w:vAlign w:val="center"/>
          </w:tcPr>
          <w:p w14:paraId="0182307D">
            <w:pPr>
              <w:jc w:val="right"/>
            </w:pPr>
            <w:r>
              <w:rPr>
                <w:rFonts w:hint="eastAsia"/>
              </w:rPr>
              <w:t>-</w:t>
            </w:r>
          </w:p>
        </w:tc>
      </w:tr>
      <w:tr w14:paraId="4740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890ABD">
            <w:pPr>
              <w:jc w:val="center"/>
            </w:pPr>
            <w:r>
              <w:rPr>
                <w:rFonts w:hint="eastAsia"/>
              </w:rPr>
              <w:t>5</w:t>
            </w:r>
          </w:p>
        </w:tc>
        <w:tc>
          <w:tcPr>
            <w:tcW w:w="2907" w:type="dxa"/>
            <w:vAlign w:val="center"/>
          </w:tcPr>
          <w:p w14:paraId="6D11585B">
            <w:r>
              <w:rPr>
                <w:rFonts w:hint="eastAsia"/>
              </w:rPr>
              <w:t>应收申购款</w:t>
            </w:r>
          </w:p>
        </w:tc>
        <w:tc>
          <w:tcPr>
            <w:tcW w:w="4673" w:type="dxa"/>
            <w:vAlign w:val="center"/>
          </w:tcPr>
          <w:p w14:paraId="367D727F">
            <w:pPr>
              <w:jc w:val="right"/>
            </w:pPr>
            <w:r>
              <w:rPr>
                <w:rFonts w:hint="eastAsia"/>
              </w:rPr>
              <w:t>7,063,400.00</w:t>
            </w:r>
          </w:p>
        </w:tc>
      </w:tr>
      <w:tr w14:paraId="1DE1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B84276">
            <w:pPr>
              <w:jc w:val="center"/>
            </w:pPr>
            <w:r>
              <w:rPr>
                <w:rFonts w:hint="eastAsia"/>
              </w:rPr>
              <w:t>6</w:t>
            </w:r>
          </w:p>
        </w:tc>
        <w:tc>
          <w:tcPr>
            <w:tcW w:w="2907" w:type="dxa"/>
            <w:vAlign w:val="center"/>
          </w:tcPr>
          <w:p w14:paraId="076E61BD">
            <w:r>
              <w:rPr>
                <w:rFonts w:hint="eastAsia"/>
              </w:rPr>
              <w:t>其他应收款</w:t>
            </w:r>
          </w:p>
        </w:tc>
        <w:tc>
          <w:tcPr>
            <w:tcW w:w="4673" w:type="dxa"/>
            <w:vAlign w:val="center"/>
          </w:tcPr>
          <w:p w14:paraId="35F58DD6">
            <w:pPr>
              <w:jc w:val="right"/>
            </w:pPr>
            <w:r>
              <w:rPr>
                <w:rFonts w:hint="eastAsia"/>
              </w:rPr>
              <w:t>-</w:t>
            </w:r>
          </w:p>
        </w:tc>
      </w:tr>
      <w:tr w14:paraId="1204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D58CD5">
            <w:pPr>
              <w:jc w:val="center"/>
            </w:pPr>
            <w:r>
              <w:rPr>
                <w:rFonts w:hint="eastAsia"/>
              </w:rPr>
              <w:t>7</w:t>
            </w:r>
          </w:p>
        </w:tc>
        <w:tc>
          <w:tcPr>
            <w:tcW w:w="2907" w:type="dxa"/>
            <w:vAlign w:val="center"/>
          </w:tcPr>
          <w:p w14:paraId="72E38763">
            <w:r>
              <w:rPr>
                <w:rFonts w:hint="eastAsia"/>
              </w:rPr>
              <w:t>待摊费用</w:t>
            </w:r>
          </w:p>
        </w:tc>
        <w:tc>
          <w:tcPr>
            <w:tcW w:w="4673" w:type="dxa"/>
            <w:vAlign w:val="center"/>
          </w:tcPr>
          <w:p w14:paraId="06AEEC33">
            <w:pPr>
              <w:jc w:val="right"/>
            </w:pPr>
            <w:r>
              <w:rPr>
                <w:rFonts w:hint="eastAsia"/>
              </w:rPr>
              <w:t>-</w:t>
            </w:r>
          </w:p>
        </w:tc>
      </w:tr>
      <w:tr w14:paraId="2A6F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C22C7D">
            <w:pPr>
              <w:jc w:val="center"/>
            </w:pPr>
            <w:r>
              <w:rPr>
                <w:rFonts w:hint="eastAsia"/>
              </w:rPr>
              <w:t>8</w:t>
            </w:r>
          </w:p>
        </w:tc>
        <w:tc>
          <w:tcPr>
            <w:tcW w:w="2907" w:type="dxa"/>
            <w:vAlign w:val="center"/>
          </w:tcPr>
          <w:p w14:paraId="0BC6ACC2">
            <w:r>
              <w:rPr>
                <w:rFonts w:hint="eastAsia"/>
              </w:rPr>
              <w:t>其他</w:t>
            </w:r>
          </w:p>
        </w:tc>
        <w:tc>
          <w:tcPr>
            <w:tcW w:w="4673" w:type="dxa"/>
            <w:vAlign w:val="center"/>
          </w:tcPr>
          <w:p w14:paraId="0FC9FB63">
            <w:pPr>
              <w:jc w:val="right"/>
            </w:pPr>
            <w:r>
              <w:rPr>
                <w:rFonts w:hint="eastAsia"/>
              </w:rPr>
              <w:t>-</w:t>
            </w:r>
          </w:p>
        </w:tc>
      </w:tr>
      <w:tr w14:paraId="39AF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F4B96A">
            <w:pPr>
              <w:jc w:val="center"/>
            </w:pPr>
            <w:r>
              <w:rPr>
                <w:rFonts w:hint="eastAsia"/>
              </w:rPr>
              <w:t>9</w:t>
            </w:r>
          </w:p>
        </w:tc>
        <w:tc>
          <w:tcPr>
            <w:tcW w:w="2907" w:type="dxa"/>
            <w:vAlign w:val="center"/>
          </w:tcPr>
          <w:p w14:paraId="69068E8F">
            <w:r>
              <w:rPr>
                <w:rFonts w:hint="eastAsia"/>
              </w:rPr>
              <w:t>合计</w:t>
            </w:r>
          </w:p>
        </w:tc>
        <w:tc>
          <w:tcPr>
            <w:tcW w:w="4673" w:type="dxa"/>
            <w:vAlign w:val="center"/>
          </w:tcPr>
          <w:p w14:paraId="46D086D3">
            <w:pPr>
              <w:jc w:val="right"/>
            </w:pPr>
            <w:r>
              <w:rPr>
                <w:rFonts w:hint="eastAsia"/>
              </w:rPr>
              <w:t>14,465,693.00</w:t>
            </w:r>
          </w:p>
        </w:tc>
      </w:tr>
    </w:tbl>
    <w:p w14:paraId="1A96C55E">
      <w:pPr>
        <w:pStyle w:val="28"/>
      </w:pPr>
      <w:bookmarkStart w:id="188" w:name="_Toc188"/>
      <w:r>
        <w:t>期末持有的处于转股期的可转换债券明细</w:t>
      </w:r>
      <w:bookmarkEnd w:id="188"/>
    </w:p>
    <w:p w14:paraId="7B13C0E3">
      <w:pPr>
        <w:pStyle w:val="18"/>
        <w:rPr>
          <w:rFonts w:hint="eastAsia"/>
        </w:rPr>
      </w:pPr>
      <w:r>
        <w:rPr>
          <w:rFonts w:hint="eastAsia"/>
        </w:rPr>
        <w:t>本基金本报告期末未持有处于转股期的可转换债券。</w:t>
      </w:r>
    </w:p>
    <w:p w14:paraId="15B29D4A">
      <w:pPr>
        <w:pStyle w:val="28"/>
      </w:pPr>
      <w:bookmarkStart w:id="189" w:name="_Toc189"/>
      <w:r>
        <w:t>期末前十名股票中存在流通受限情况的说明</w:t>
      </w:r>
      <w:bookmarkEnd w:id="189"/>
    </w:p>
    <w:p w14:paraId="7E9C0667">
      <w:pPr>
        <w:pStyle w:val="18"/>
        <w:rPr>
          <w:rFonts w:hint="eastAsia"/>
        </w:rPr>
      </w:pPr>
      <w:r>
        <w:rPr>
          <w:rFonts w:hint="eastAsia"/>
        </w:rPr>
        <w:t>无。</w:t>
      </w:r>
    </w:p>
    <w:p w14:paraId="5252202A">
      <w:pPr>
        <w:pStyle w:val="26"/>
      </w:pPr>
      <w:bookmarkStart w:id="190" w:name="_Toc19465"/>
      <w:r>
        <w:t>基金份额持有人信息</w:t>
      </w:r>
      <w:bookmarkEnd w:id="190"/>
    </w:p>
    <w:p w14:paraId="2C9753D8">
      <w:pPr>
        <w:pStyle w:val="23"/>
      </w:pPr>
      <w:bookmarkStart w:id="191" w:name="_Toc12400"/>
      <w:r>
        <w:t>期末基金份额持有人户数及持有人结构</w:t>
      </w:r>
      <w:bookmarkEnd w:id="191"/>
    </w:p>
    <w:p w14:paraId="2133157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A36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6442B81">
            <w:pPr>
              <w:jc w:val="center"/>
            </w:pPr>
            <w:r>
              <w:rPr>
                <w:rFonts w:hint="eastAsia"/>
                <w:b/>
              </w:rPr>
              <w:t>份额级别</w:t>
            </w:r>
          </w:p>
        </w:tc>
        <w:tc>
          <w:tcPr>
            <w:tcW w:w="1186" w:type="dxa"/>
            <w:vMerge w:val="restart"/>
            <w:shd w:val="clear" w:color="auto" w:fill="BFBFBF"/>
            <w:vAlign w:val="center"/>
          </w:tcPr>
          <w:p w14:paraId="0330677E">
            <w:pPr>
              <w:jc w:val="center"/>
            </w:pPr>
            <w:r>
              <w:rPr>
                <w:rFonts w:hint="eastAsia"/>
                <w:b/>
              </w:rPr>
              <w:t>持有人户数（户）</w:t>
            </w:r>
          </w:p>
        </w:tc>
        <w:tc>
          <w:tcPr>
            <w:tcW w:w="1186" w:type="dxa"/>
            <w:vMerge w:val="restart"/>
            <w:shd w:val="clear" w:color="auto" w:fill="BFBFBF"/>
            <w:vAlign w:val="center"/>
          </w:tcPr>
          <w:p w14:paraId="4467FE3D">
            <w:pPr>
              <w:jc w:val="center"/>
            </w:pPr>
            <w:r>
              <w:rPr>
                <w:rFonts w:hint="eastAsia"/>
                <w:b/>
              </w:rPr>
              <w:t>户均持有的基金份额</w:t>
            </w:r>
          </w:p>
        </w:tc>
        <w:tc>
          <w:tcPr>
            <w:tcW w:w="1186" w:type="dxa"/>
            <w:gridSpan w:val="4"/>
            <w:shd w:val="clear" w:color="auto" w:fill="BFBFBF"/>
            <w:vAlign w:val="center"/>
          </w:tcPr>
          <w:p w14:paraId="645CF635">
            <w:pPr>
              <w:jc w:val="center"/>
            </w:pPr>
            <w:r>
              <w:rPr>
                <w:rFonts w:hint="eastAsia"/>
                <w:b/>
              </w:rPr>
              <w:t>持有人结构</w:t>
            </w:r>
          </w:p>
        </w:tc>
      </w:tr>
      <w:tr w14:paraId="1A6F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D15E289"/>
        </w:tc>
        <w:tc>
          <w:tcPr>
            <w:tcW w:w="1186" w:type="dxa"/>
            <w:vMerge w:val="continue"/>
            <w:vAlign w:val="center"/>
          </w:tcPr>
          <w:p w14:paraId="1150BA8B"/>
        </w:tc>
        <w:tc>
          <w:tcPr>
            <w:tcW w:w="1186" w:type="dxa"/>
            <w:vMerge w:val="continue"/>
            <w:vAlign w:val="center"/>
          </w:tcPr>
          <w:p w14:paraId="1CC440E5"/>
        </w:tc>
        <w:tc>
          <w:tcPr>
            <w:tcW w:w="1186" w:type="dxa"/>
            <w:gridSpan w:val="2"/>
            <w:shd w:val="clear" w:color="auto" w:fill="BFBFBF"/>
            <w:vAlign w:val="center"/>
          </w:tcPr>
          <w:p w14:paraId="1FEA0323">
            <w:pPr>
              <w:jc w:val="center"/>
            </w:pPr>
            <w:r>
              <w:rPr>
                <w:rFonts w:hint="eastAsia"/>
                <w:b/>
              </w:rPr>
              <w:t>机构投资者</w:t>
            </w:r>
          </w:p>
        </w:tc>
        <w:tc>
          <w:tcPr>
            <w:tcW w:w="1186" w:type="dxa"/>
            <w:gridSpan w:val="2"/>
            <w:shd w:val="clear" w:color="auto" w:fill="BFBFBF"/>
            <w:vAlign w:val="center"/>
          </w:tcPr>
          <w:p w14:paraId="1F00B293">
            <w:pPr>
              <w:jc w:val="center"/>
            </w:pPr>
            <w:r>
              <w:rPr>
                <w:rFonts w:hint="eastAsia"/>
                <w:b/>
              </w:rPr>
              <w:t>个人投资者</w:t>
            </w:r>
          </w:p>
        </w:tc>
      </w:tr>
      <w:tr w14:paraId="3593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399BE7F"/>
        </w:tc>
        <w:tc>
          <w:tcPr>
            <w:tcW w:w="1186" w:type="dxa"/>
            <w:vMerge w:val="continue"/>
            <w:vAlign w:val="center"/>
          </w:tcPr>
          <w:p w14:paraId="74C4A2E3"/>
        </w:tc>
        <w:tc>
          <w:tcPr>
            <w:tcW w:w="1186" w:type="dxa"/>
            <w:vMerge w:val="continue"/>
            <w:vAlign w:val="center"/>
          </w:tcPr>
          <w:p w14:paraId="33D0631D"/>
        </w:tc>
        <w:tc>
          <w:tcPr>
            <w:tcW w:w="1186" w:type="dxa"/>
            <w:shd w:val="clear" w:color="auto" w:fill="BFBFBF"/>
            <w:vAlign w:val="center"/>
          </w:tcPr>
          <w:p w14:paraId="3A580B18">
            <w:pPr>
              <w:jc w:val="center"/>
            </w:pPr>
            <w:r>
              <w:rPr>
                <w:rFonts w:hint="eastAsia"/>
                <w:b/>
              </w:rPr>
              <w:t>持有份额</w:t>
            </w:r>
          </w:p>
        </w:tc>
        <w:tc>
          <w:tcPr>
            <w:tcW w:w="1186" w:type="dxa"/>
            <w:shd w:val="clear" w:color="auto" w:fill="BFBFBF"/>
            <w:vAlign w:val="center"/>
          </w:tcPr>
          <w:p w14:paraId="1F8527C1">
            <w:pPr>
              <w:jc w:val="center"/>
            </w:pPr>
            <w:r>
              <w:rPr>
                <w:rFonts w:hint="eastAsia"/>
                <w:b/>
              </w:rPr>
              <w:t>占总份额比例</w:t>
            </w:r>
          </w:p>
        </w:tc>
        <w:tc>
          <w:tcPr>
            <w:tcW w:w="1186" w:type="dxa"/>
            <w:shd w:val="clear" w:color="auto" w:fill="BFBFBF"/>
            <w:vAlign w:val="center"/>
          </w:tcPr>
          <w:p w14:paraId="1FA93990">
            <w:pPr>
              <w:jc w:val="center"/>
            </w:pPr>
            <w:r>
              <w:rPr>
                <w:rFonts w:hint="eastAsia"/>
                <w:b/>
              </w:rPr>
              <w:t>持有份额</w:t>
            </w:r>
          </w:p>
        </w:tc>
        <w:tc>
          <w:tcPr>
            <w:tcW w:w="1186" w:type="dxa"/>
            <w:shd w:val="clear" w:color="auto" w:fill="BFBFBF"/>
            <w:vAlign w:val="center"/>
          </w:tcPr>
          <w:p w14:paraId="4B41601D">
            <w:pPr>
              <w:jc w:val="center"/>
            </w:pPr>
            <w:r>
              <w:rPr>
                <w:rFonts w:hint="eastAsia"/>
                <w:b/>
              </w:rPr>
              <w:t>占总份额比例</w:t>
            </w:r>
          </w:p>
        </w:tc>
      </w:tr>
      <w:tr w14:paraId="08D9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745C373">
            <w:r>
              <w:rPr>
                <w:rFonts w:hint="eastAsia"/>
              </w:rPr>
              <w:t>南方益稳稳健增利债券A</w:t>
            </w:r>
          </w:p>
        </w:tc>
        <w:tc>
          <w:tcPr>
            <w:tcW w:w="1186" w:type="dxa"/>
            <w:vAlign w:val="center"/>
          </w:tcPr>
          <w:p w14:paraId="5529940B">
            <w:pPr>
              <w:jc w:val="right"/>
            </w:pPr>
            <w:r>
              <w:rPr>
                <w:rFonts w:hint="eastAsia"/>
              </w:rPr>
              <w:t>1,115</w:t>
            </w:r>
          </w:p>
        </w:tc>
        <w:tc>
          <w:tcPr>
            <w:tcW w:w="1186" w:type="dxa"/>
            <w:vAlign w:val="center"/>
          </w:tcPr>
          <w:p w14:paraId="1AE12431">
            <w:pPr>
              <w:jc w:val="right"/>
            </w:pPr>
            <w:r>
              <w:rPr>
                <w:rFonts w:hint="eastAsia"/>
              </w:rPr>
              <w:t>763,132.52</w:t>
            </w:r>
          </w:p>
        </w:tc>
        <w:tc>
          <w:tcPr>
            <w:tcW w:w="1186" w:type="dxa"/>
            <w:vAlign w:val="center"/>
          </w:tcPr>
          <w:p w14:paraId="46B90AAC">
            <w:pPr>
              <w:jc w:val="right"/>
            </w:pPr>
            <w:r>
              <w:rPr>
                <w:rFonts w:hint="eastAsia"/>
              </w:rPr>
              <w:t>419,655,701.45</w:t>
            </w:r>
          </w:p>
        </w:tc>
        <w:tc>
          <w:tcPr>
            <w:tcW w:w="1186" w:type="dxa"/>
            <w:vAlign w:val="center"/>
          </w:tcPr>
          <w:p w14:paraId="1AAECCB5">
            <w:pPr>
              <w:jc w:val="right"/>
            </w:pPr>
            <w:r>
              <w:rPr>
                <w:rFonts w:hint="eastAsia"/>
              </w:rPr>
              <w:t>49.32%</w:t>
            </w:r>
          </w:p>
        </w:tc>
        <w:tc>
          <w:tcPr>
            <w:tcW w:w="1186" w:type="dxa"/>
            <w:vAlign w:val="center"/>
          </w:tcPr>
          <w:p w14:paraId="1239F99E">
            <w:pPr>
              <w:jc w:val="right"/>
            </w:pPr>
            <w:r>
              <w:rPr>
                <w:rFonts w:hint="eastAsia"/>
              </w:rPr>
              <w:t>431,237,062.46</w:t>
            </w:r>
          </w:p>
        </w:tc>
        <w:tc>
          <w:tcPr>
            <w:tcW w:w="1186" w:type="dxa"/>
            <w:vAlign w:val="center"/>
          </w:tcPr>
          <w:p w14:paraId="512B00D2">
            <w:pPr>
              <w:jc w:val="right"/>
            </w:pPr>
            <w:r>
              <w:rPr>
                <w:rFonts w:hint="eastAsia"/>
              </w:rPr>
              <w:t>50.68%</w:t>
            </w:r>
          </w:p>
        </w:tc>
      </w:tr>
      <w:tr w14:paraId="2BAB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18AAF05">
            <w:r>
              <w:rPr>
                <w:rFonts w:hint="eastAsia"/>
              </w:rPr>
              <w:t>南方益稳稳健增利债券C</w:t>
            </w:r>
          </w:p>
        </w:tc>
        <w:tc>
          <w:tcPr>
            <w:tcW w:w="1186" w:type="dxa"/>
            <w:vAlign w:val="center"/>
          </w:tcPr>
          <w:p w14:paraId="721A79AF">
            <w:pPr>
              <w:jc w:val="right"/>
            </w:pPr>
            <w:r>
              <w:rPr>
                <w:rFonts w:hint="eastAsia"/>
              </w:rPr>
              <w:t>8,673</w:t>
            </w:r>
          </w:p>
        </w:tc>
        <w:tc>
          <w:tcPr>
            <w:tcW w:w="1186" w:type="dxa"/>
            <w:vAlign w:val="center"/>
          </w:tcPr>
          <w:p w14:paraId="0CF8694E">
            <w:pPr>
              <w:jc w:val="right"/>
            </w:pPr>
            <w:r>
              <w:rPr>
                <w:rFonts w:hint="eastAsia"/>
              </w:rPr>
              <w:t>266,920.04</w:t>
            </w:r>
          </w:p>
        </w:tc>
        <w:tc>
          <w:tcPr>
            <w:tcW w:w="1186" w:type="dxa"/>
            <w:vAlign w:val="center"/>
          </w:tcPr>
          <w:p w14:paraId="78FCF28C">
            <w:pPr>
              <w:jc w:val="right"/>
            </w:pPr>
            <w:r>
              <w:rPr>
                <w:rFonts w:hint="eastAsia"/>
              </w:rPr>
              <w:t>3,000,116.66</w:t>
            </w:r>
          </w:p>
        </w:tc>
        <w:tc>
          <w:tcPr>
            <w:tcW w:w="1186" w:type="dxa"/>
            <w:vAlign w:val="center"/>
          </w:tcPr>
          <w:p w14:paraId="44DC2855">
            <w:pPr>
              <w:jc w:val="right"/>
            </w:pPr>
            <w:r>
              <w:rPr>
                <w:rFonts w:hint="eastAsia"/>
              </w:rPr>
              <w:t>0.13%</w:t>
            </w:r>
          </w:p>
        </w:tc>
        <w:tc>
          <w:tcPr>
            <w:tcW w:w="1186" w:type="dxa"/>
            <w:vAlign w:val="center"/>
          </w:tcPr>
          <w:p w14:paraId="33FDF0BD">
            <w:pPr>
              <w:jc w:val="right"/>
            </w:pPr>
            <w:r>
              <w:rPr>
                <w:rFonts w:hint="eastAsia"/>
              </w:rPr>
              <w:t>2,311,997,424.30</w:t>
            </w:r>
          </w:p>
        </w:tc>
        <w:tc>
          <w:tcPr>
            <w:tcW w:w="1186" w:type="dxa"/>
            <w:vAlign w:val="center"/>
          </w:tcPr>
          <w:p w14:paraId="7A0552C9">
            <w:pPr>
              <w:jc w:val="right"/>
            </w:pPr>
            <w:r>
              <w:rPr>
                <w:rFonts w:hint="eastAsia"/>
              </w:rPr>
              <w:t>99.87%</w:t>
            </w:r>
          </w:p>
        </w:tc>
      </w:tr>
      <w:tr w14:paraId="41F6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A1A0ABF">
            <w:r>
              <w:rPr>
                <w:rFonts w:hint="eastAsia"/>
              </w:rPr>
              <w:t>合计</w:t>
            </w:r>
          </w:p>
        </w:tc>
        <w:tc>
          <w:tcPr>
            <w:tcW w:w="1186" w:type="dxa"/>
            <w:vAlign w:val="center"/>
          </w:tcPr>
          <w:p w14:paraId="6BD7FBD4">
            <w:pPr>
              <w:jc w:val="right"/>
            </w:pPr>
            <w:r>
              <w:rPr>
                <w:rFonts w:hint="eastAsia"/>
              </w:rPr>
              <w:t>9,788</w:t>
            </w:r>
          </w:p>
        </w:tc>
        <w:tc>
          <w:tcPr>
            <w:tcW w:w="1186" w:type="dxa"/>
            <w:vAlign w:val="center"/>
          </w:tcPr>
          <w:p w14:paraId="537F552A">
            <w:pPr>
              <w:jc w:val="right"/>
            </w:pPr>
            <w:r>
              <w:rPr>
                <w:rFonts w:hint="eastAsia"/>
              </w:rPr>
              <w:t>323,446.09</w:t>
            </w:r>
          </w:p>
        </w:tc>
        <w:tc>
          <w:tcPr>
            <w:tcW w:w="1186" w:type="dxa"/>
            <w:vAlign w:val="center"/>
          </w:tcPr>
          <w:p w14:paraId="69727C86">
            <w:pPr>
              <w:jc w:val="right"/>
            </w:pPr>
            <w:r>
              <w:rPr>
                <w:rFonts w:hint="eastAsia"/>
              </w:rPr>
              <w:t>422,655,818.11</w:t>
            </w:r>
          </w:p>
        </w:tc>
        <w:tc>
          <w:tcPr>
            <w:tcW w:w="1186" w:type="dxa"/>
            <w:vAlign w:val="center"/>
          </w:tcPr>
          <w:p w14:paraId="013E0A44">
            <w:pPr>
              <w:jc w:val="right"/>
            </w:pPr>
            <w:r>
              <w:rPr>
                <w:rFonts w:hint="eastAsia"/>
              </w:rPr>
              <w:t>13.35%</w:t>
            </w:r>
          </w:p>
        </w:tc>
        <w:tc>
          <w:tcPr>
            <w:tcW w:w="1186" w:type="dxa"/>
            <w:vAlign w:val="center"/>
          </w:tcPr>
          <w:p w14:paraId="270DFE07">
            <w:pPr>
              <w:jc w:val="right"/>
            </w:pPr>
            <w:r>
              <w:rPr>
                <w:rFonts w:hint="eastAsia"/>
              </w:rPr>
              <w:t>2,743,234,486.76</w:t>
            </w:r>
          </w:p>
        </w:tc>
        <w:tc>
          <w:tcPr>
            <w:tcW w:w="1186" w:type="dxa"/>
            <w:vAlign w:val="center"/>
          </w:tcPr>
          <w:p w14:paraId="556D90BE">
            <w:pPr>
              <w:jc w:val="right"/>
            </w:pPr>
            <w:r>
              <w:rPr>
                <w:rFonts w:hint="eastAsia"/>
              </w:rPr>
              <w:t>86.65%</w:t>
            </w:r>
          </w:p>
        </w:tc>
      </w:tr>
    </w:tbl>
    <w:p w14:paraId="7FE6942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DD6C528">
      <w:pPr>
        <w:pStyle w:val="23"/>
      </w:pPr>
      <w:bookmarkStart w:id="192" w:name="_Toc28689"/>
      <w:r>
        <w:t>期末基金管理人的从业人员持有本基金的情况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90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4FB840">
            <w:r>
              <w:rPr>
                <w:rFonts w:hint="eastAsia"/>
              </w:rPr>
              <w:t>项目</w:t>
            </w:r>
          </w:p>
        </w:tc>
        <w:tc>
          <w:tcPr>
            <w:tcW w:w="2076" w:type="dxa"/>
            <w:vAlign w:val="center"/>
          </w:tcPr>
          <w:p w14:paraId="1B0C15B1">
            <w:r>
              <w:rPr>
                <w:rFonts w:hint="eastAsia"/>
              </w:rPr>
              <w:t>份额级别</w:t>
            </w:r>
          </w:p>
        </w:tc>
        <w:tc>
          <w:tcPr>
            <w:tcW w:w="2076" w:type="dxa"/>
            <w:vAlign w:val="center"/>
          </w:tcPr>
          <w:p w14:paraId="50FC6234">
            <w:r>
              <w:rPr>
                <w:rFonts w:hint="eastAsia"/>
              </w:rPr>
              <w:t>持有份额总数（份）</w:t>
            </w:r>
          </w:p>
        </w:tc>
        <w:tc>
          <w:tcPr>
            <w:tcW w:w="2076" w:type="dxa"/>
            <w:vAlign w:val="center"/>
          </w:tcPr>
          <w:p w14:paraId="7844DA21">
            <w:r>
              <w:rPr>
                <w:rFonts w:hint="eastAsia"/>
              </w:rPr>
              <w:t>占基金总份额比例</w:t>
            </w:r>
          </w:p>
        </w:tc>
      </w:tr>
      <w:tr w14:paraId="409E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E0C3B88">
            <w:r>
              <w:rPr>
                <w:rFonts w:hint="eastAsia"/>
              </w:rPr>
              <w:t>基金管理人所有从业人员持有本基金</w:t>
            </w:r>
          </w:p>
        </w:tc>
        <w:tc>
          <w:tcPr>
            <w:tcW w:w="2076" w:type="dxa"/>
            <w:vAlign w:val="center"/>
          </w:tcPr>
          <w:p w14:paraId="36C71885">
            <w:r>
              <w:rPr>
                <w:rFonts w:hint="eastAsia"/>
              </w:rPr>
              <w:t>南方益稳稳健增利债券A</w:t>
            </w:r>
          </w:p>
        </w:tc>
        <w:tc>
          <w:tcPr>
            <w:tcW w:w="2076" w:type="dxa"/>
            <w:vAlign w:val="center"/>
          </w:tcPr>
          <w:p w14:paraId="64449530">
            <w:pPr>
              <w:jc w:val="right"/>
            </w:pPr>
            <w:r>
              <w:rPr>
                <w:rFonts w:hint="eastAsia"/>
              </w:rPr>
              <w:t>122,329.71</w:t>
            </w:r>
          </w:p>
        </w:tc>
        <w:tc>
          <w:tcPr>
            <w:tcW w:w="2076" w:type="dxa"/>
            <w:vAlign w:val="center"/>
          </w:tcPr>
          <w:p w14:paraId="556244D9">
            <w:pPr>
              <w:jc w:val="right"/>
            </w:pPr>
            <w:r>
              <w:rPr>
                <w:rFonts w:hint="eastAsia"/>
              </w:rPr>
              <w:t>0.0144%</w:t>
            </w:r>
          </w:p>
        </w:tc>
      </w:tr>
      <w:tr w14:paraId="2904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DC99E74"/>
        </w:tc>
        <w:tc>
          <w:tcPr>
            <w:tcW w:w="2076" w:type="dxa"/>
            <w:vAlign w:val="center"/>
          </w:tcPr>
          <w:p w14:paraId="2B0D15D2">
            <w:r>
              <w:rPr>
                <w:rFonts w:hint="eastAsia"/>
              </w:rPr>
              <w:t>南方益稳稳健增利债券C</w:t>
            </w:r>
          </w:p>
        </w:tc>
        <w:tc>
          <w:tcPr>
            <w:tcW w:w="2076" w:type="dxa"/>
            <w:vAlign w:val="center"/>
          </w:tcPr>
          <w:p w14:paraId="05A5E406">
            <w:pPr>
              <w:jc w:val="right"/>
            </w:pPr>
            <w:r>
              <w:rPr>
                <w:rFonts w:hint="eastAsia"/>
              </w:rPr>
              <w:t>255,208.06</w:t>
            </w:r>
          </w:p>
        </w:tc>
        <w:tc>
          <w:tcPr>
            <w:tcW w:w="2076" w:type="dxa"/>
            <w:vAlign w:val="center"/>
          </w:tcPr>
          <w:p w14:paraId="25BB5A01">
            <w:pPr>
              <w:jc w:val="right"/>
            </w:pPr>
            <w:r>
              <w:rPr>
                <w:rFonts w:hint="eastAsia"/>
              </w:rPr>
              <w:t>0.0110%</w:t>
            </w:r>
          </w:p>
        </w:tc>
      </w:tr>
      <w:tr w14:paraId="1C39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C13F5E3"/>
        </w:tc>
        <w:tc>
          <w:tcPr>
            <w:tcW w:w="2076" w:type="dxa"/>
            <w:vAlign w:val="center"/>
          </w:tcPr>
          <w:p w14:paraId="7C5C8395">
            <w:r>
              <w:rPr>
                <w:rFonts w:hint="eastAsia"/>
              </w:rPr>
              <w:t>合计</w:t>
            </w:r>
          </w:p>
        </w:tc>
        <w:tc>
          <w:tcPr>
            <w:tcW w:w="2076" w:type="dxa"/>
            <w:vAlign w:val="center"/>
          </w:tcPr>
          <w:p w14:paraId="1BD93E34">
            <w:pPr>
              <w:jc w:val="right"/>
            </w:pPr>
            <w:r>
              <w:rPr>
                <w:rFonts w:hint="eastAsia"/>
              </w:rPr>
              <w:t>377,537.77</w:t>
            </w:r>
          </w:p>
        </w:tc>
        <w:tc>
          <w:tcPr>
            <w:tcW w:w="2076" w:type="dxa"/>
            <w:vAlign w:val="center"/>
          </w:tcPr>
          <w:p w14:paraId="67E3D406">
            <w:pPr>
              <w:jc w:val="right"/>
            </w:pPr>
            <w:r>
              <w:rPr>
                <w:rFonts w:hint="eastAsia"/>
              </w:rPr>
              <w:t>0.0119%</w:t>
            </w:r>
          </w:p>
        </w:tc>
      </w:tr>
    </w:tbl>
    <w:p w14:paraId="7BF37EA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4EB1649">
      <w:pPr>
        <w:pStyle w:val="23"/>
      </w:pPr>
      <w:bookmarkStart w:id="193" w:name="_Toc21728"/>
      <w:r>
        <w:t>期末基金管理人的从业人员持有本开放式基金份额总量区间情况</w:t>
      </w:r>
      <w:bookmarkEnd w:id="193"/>
    </w:p>
    <w:p w14:paraId="514EE15E">
      <w:pPr>
        <w:pStyle w:val="18"/>
        <w:rPr>
          <w:rFonts w:hint="eastAsia"/>
        </w:rPr>
      </w:pPr>
      <w:r>
        <w:rPr>
          <w:rFonts w:hint="eastAsia"/>
        </w:rPr>
        <w:t>本公司的高级管理人员、基金投资和研究部门负责人和本基金基金经理均未持有本基金份额。</w:t>
      </w:r>
    </w:p>
    <w:p w14:paraId="4DE116DD">
      <w:pPr>
        <w:pStyle w:val="23"/>
      </w:pPr>
      <w:bookmarkStart w:id="194" w:name="_Toc15565"/>
      <w:r>
        <w:t>期末兼任私募资产管理计划投资经理的基金经理本人及其直系亲属持有本人管理的产品情况</w:t>
      </w:r>
      <w:bookmarkEnd w:id="19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64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34BA1">
            <w:r>
              <w:rPr>
                <w:rFonts w:hint="eastAsia"/>
              </w:rPr>
              <w:t>基金经理姓名</w:t>
            </w:r>
          </w:p>
        </w:tc>
        <w:tc>
          <w:tcPr>
            <w:tcW w:w="2768" w:type="dxa"/>
            <w:vAlign w:val="center"/>
          </w:tcPr>
          <w:p w14:paraId="6B4B93E7">
            <w:r>
              <w:rPr>
                <w:rFonts w:hint="eastAsia"/>
              </w:rPr>
              <w:t>产品类型</w:t>
            </w:r>
          </w:p>
        </w:tc>
        <w:tc>
          <w:tcPr>
            <w:tcW w:w="2768" w:type="dxa"/>
            <w:vAlign w:val="center"/>
          </w:tcPr>
          <w:p w14:paraId="0F2D8CFA">
            <w:r>
              <w:rPr>
                <w:rFonts w:hint="eastAsia"/>
              </w:rPr>
              <w:t>持有本人管理的产品份额总量的数量区间（万份）</w:t>
            </w:r>
          </w:p>
        </w:tc>
      </w:tr>
      <w:tr w14:paraId="1F06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8DC6867">
            <w:r>
              <w:rPr>
                <w:rFonts w:hint="eastAsia"/>
              </w:rPr>
              <w:t>刘树坤</w:t>
            </w:r>
          </w:p>
        </w:tc>
        <w:tc>
          <w:tcPr>
            <w:tcW w:w="2768" w:type="dxa"/>
            <w:vAlign w:val="center"/>
          </w:tcPr>
          <w:p w14:paraId="1AC93FF5">
            <w:r>
              <w:rPr>
                <w:rFonts w:hint="eastAsia"/>
              </w:rPr>
              <w:t>公募基金</w:t>
            </w:r>
          </w:p>
        </w:tc>
        <w:tc>
          <w:tcPr>
            <w:tcW w:w="2768" w:type="dxa"/>
            <w:vAlign w:val="center"/>
          </w:tcPr>
          <w:p w14:paraId="68F7D594">
            <w:r>
              <w:rPr>
                <w:rFonts w:hint="eastAsia"/>
              </w:rPr>
              <w:t>&gt;100</w:t>
            </w:r>
          </w:p>
        </w:tc>
      </w:tr>
      <w:tr w14:paraId="479C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3E04516"/>
        </w:tc>
        <w:tc>
          <w:tcPr>
            <w:tcW w:w="2768" w:type="dxa"/>
            <w:vAlign w:val="center"/>
          </w:tcPr>
          <w:p w14:paraId="4E90582A">
            <w:r>
              <w:rPr>
                <w:rFonts w:hint="eastAsia"/>
              </w:rPr>
              <w:t>私募资产管理计划</w:t>
            </w:r>
          </w:p>
        </w:tc>
        <w:tc>
          <w:tcPr>
            <w:tcW w:w="2768" w:type="dxa"/>
            <w:vAlign w:val="center"/>
          </w:tcPr>
          <w:p w14:paraId="1E55312D">
            <w:r>
              <w:rPr>
                <w:rFonts w:hint="eastAsia"/>
              </w:rPr>
              <w:t>&gt;100</w:t>
            </w:r>
          </w:p>
        </w:tc>
      </w:tr>
      <w:tr w14:paraId="5829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0107698"/>
        </w:tc>
        <w:tc>
          <w:tcPr>
            <w:tcW w:w="2768" w:type="dxa"/>
            <w:vAlign w:val="center"/>
          </w:tcPr>
          <w:p w14:paraId="4B0670E2">
            <w:r>
              <w:rPr>
                <w:rFonts w:hint="eastAsia"/>
              </w:rPr>
              <w:t>合计</w:t>
            </w:r>
          </w:p>
        </w:tc>
        <w:tc>
          <w:tcPr>
            <w:tcW w:w="2768" w:type="dxa"/>
            <w:vAlign w:val="center"/>
          </w:tcPr>
          <w:p w14:paraId="6587DA0C">
            <w:r>
              <w:rPr>
                <w:rFonts w:hint="eastAsia"/>
              </w:rPr>
              <w:t>&gt;100</w:t>
            </w:r>
          </w:p>
        </w:tc>
      </w:tr>
    </w:tbl>
    <w:p w14:paraId="4B751877">
      <w:pPr>
        <w:pStyle w:val="26"/>
      </w:pPr>
      <w:bookmarkStart w:id="195" w:name="_Toc32166"/>
      <w:r>
        <w:t>开放式基金份额变动</w:t>
      </w:r>
      <w:bookmarkEnd w:id="195"/>
    </w:p>
    <w:p w14:paraId="0F8A9BA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962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57AADDF">
            <w:pPr>
              <w:jc w:val="center"/>
            </w:pPr>
            <w:r>
              <w:rPr>
                <w:rFonts w:hint="eastAsia"/>
                <w:b/>
              </w:rPr>
              <w:t>项目</w:t>
            </w:r>
          </w:p>
        </w:tc>
        <w:tc>
          <w:tcPr>
            <w:tcW w:w="1799" w:type="dxa"/>
            <w:shd w:val="clear" w:color="auto" w:fill="BFBFBF"/>
            <w:vAlign w:val="center"/>
          </w:tcPr>
          <w:p w14:paraId="77D07935">
            <w:pPr>
              <w:jc w:val="center"/>
            </w:pPr>
            <w:r>
              <w:rPr>
                <w:rFonts w:hint="eastAsia"/>
                <w:b/>
              </w:rPr>
              <w:t>南方益稳稳健增利债券A</w:t>
            </w:r>
          </w:p>
        </w:tc>
        <w:tc>
          <w:tcPr>
            <w:tcW w:w="1633" w:type="dxa"/>
            <w:shd w:val="clear" w:color="auto" w:fill="BFBFBF"/>
            <w:vAlign w:val="center"/>
          </w:tcPr>
          <w:p w14:paraId="7B4C595C">
            <w:pPr>
              <w:jc w:val="center"/>
            </w:pPr>
            <w:r>
              <w:rPr>
                <w:rFonts w:hint="eastAsia"/>
                <w:b/>
              </w:rPr>
              <w:t>南方益稳稳健增利债券C</w:t>
            </w:r>
          </w:p>
        </w:tc>
      </w:tr>
      <w:tr w14:paraId="2844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E3DCE63">
            <w:r>
              <w:rPr>
                <w:rFonts w:hint="eastAsia"/>
              </w:rPr>
              <w:t>基金合同生效日(2025年8月6日)基金份额总额</w:t>
            </w:r>
          </w:p>
        </w:tc>
        <w:tc>
          <w:tcPr>
            <w:tcW w:w="1799" w:type="dxa"/>
            <w:vAlign w:val="center"/>
          </w:tcPr>
          <w:p w14:paraId="7B2AAA67">
            <w:pPr>
              <w:jc w:val="right"/>
            </w:pPr>
            <w:r>
              <w:rPr>
                <w:rFonts w:hint="eastAsia"/>
              </w:rPr>
              <w:t>712,302,920.79</w:t>
            </w:r>
          </w:p>
        </w:tc>
        <w:tc>
          <w:tcPr>
            <w:tcW w:w="1633" w:type="dxa"/>
            <w:vAlign w:val="center"/>
          </w:tcPr>
          <w:p w14:paraId="3FECEB3E">
            <w:pPr>
              <w:jc w:val="right"/>
            </w:pPr>
            <w:r>
              <w:rPr>
                <w:rFonts w:hint="eastAsia"/>
              </w:rPr>
              <w:t>4,285,845,677.75</w:t>
            </w:r>
          </w:p>
        </w:tc>
      </w:tr>
      <w:tr w14:paraId="5069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5D6C63C">
            <w:r>
              <w:rPr>
                <w:rFonts w:hint="eastAsia"/>
              </w:rPr>
              <w:t>基金合同生效日起至报告期期末基金总申购份额</w:t>
            </w:r>
          </w:p>
        </w:tc>
        <w:tc>
          <w:tcPr>
            <w:tcW w:w="1799" w:type="dxa"/>
            <w:vAlign w:val="center"/>
          </w:tcPr>
          <w:p w14:paraId="741CA560">
            <w:pPr>
              <w:jc w:val="right"/>
            </w:pPr>
            <w:r>
              <w:rPr>
                <w:rFonts w:hint="eastAsia"/>
              </w:rPr>
              <w:t>455,396,140.28</w:t>
            </w:r>
          </w:p>
        </w:tc>
        <w:tc>
          <w:tcPr>
            <w:tcW w:w="1633" w:type="dxa"/>
            <w:vAlign w:val="center"/>
          </w:tcPr>
          <w:p w14:paraId="5CC6CB80">
            <w:pPr>
              <w:jc w:val="right"/>
            </w:pPr>
            <w:r>
              <w:rPr>
                <w:rFonts w:hint="eastAsia"/>
              </w:rPr>
              <w:t>387,214,666.45</w:t>
            </w:r>
          </w:p>
        </w:tc>
      </w:tr>
      <w:tr w14:paraId="2BBA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A0D83F">
            <w:r>
              <w:rPr>
                <w:rFonts w:hint="eastAsia"/>
              </w:rPr>
              <w:t>减：基金合同生效日起至报告期期末基金总赎回份额</w:t>
            </w:r>
          </w:p>
        </w:tc>
        <w:tc>
          <w:tcPr>
            <w:tcW w:w="1799" w:type="dxa"/>
            <w:vAlign w:val="center"/>
          </w:tcPr>
          <w:p w14:paraId="6F148CE5">
            <w:pPr>
              <w:jc w:val="right"/>
            </w:pPr>
            <w:r>
              <w:rPr>
                <w:rFonts w:hint="eastAsia"/>
              </w:rPr>
              <w:t>316,806,297.16</w:t>
            </w:r>
          </w:p>
        </w:tc>
        <w:tc>
          <w:tcPr>
            <w:tcW w:w="1633" w:type="dxa"/>
            <w:vAlign w:val="center"/>
          </w:tcPr>
          <w:p w14:paraId="2600F041">
            <w:pPr>
              <w:jc w:val="right"/>
            </w:pPr>
            <w:r>
              <w:rPr>
                <w:rFonts w:hint="eastAsia"/>
              </w:rPr>
              <w:t>2,358,062,803.24</w:t>
            </w:r>
          </w:p>
        </w:tc>
      </w:tr>
      <w:tr w14:paraId="7E3A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48A495F">
            <w:r>
              <w:rPr>
                <w:rFonts w:hint="eastAsia"/>
              </w:rPr>
              <w:t>基金合同生效日起至报告期期末基金拆分变动份额</w:t>
            </w:r>
          </w:p>
        </w:tc>
        <w:tc>
          <w:tcPr>
            <w:tcW w:w="1799" w:type="dxa"/>
            <w:vAlign w:val="center"/>
          </w:tcPr>
          <w:p w14:paraId="2C39EB59">
            <w:pPr>
              <w:jc w:val="right"/>
            </w:pPr>
            <w:r>
              <w:rPr>
                <w:rFonts w:hint="eastAsia"/>
              </w:rPr>
              <w:t>-</w:t>
            </w:r>
          </w:p>
        </w:tc>
        <w:tc>
          <w:tcPr>
            <w:tcW w:w="1633" w:type="dxa"/>
            <w:vAlign w:val="center"/>
          </w:tcPr>
          <w:p w14:paraId="370AEBA1">
            <w:pPr>
              <w:jc w:val="right"/>
            </w:pPr>
            <w:r>
              <w:rPr>
                <w:rFonts w:hint="eastAsia"/>
              </w:rPr>
              <w:t>-</w:t>
            </w:r>
          </w:p>
        </w:tc>
      </w:tr>
      <w:tr w14:paraId="6F3B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A6E0B87">
            <w:r>
              <w:rPr>
                <w:rFonts w:hint="eastAsia"/>
              </w:rPr>
              <w:t>本报告期期末基金份额总额</w:t>
            </w:r>
          </w:p>
        </w:tc>
        <w:tc>
          <w:tcPr>
            <w:tcW w:w="1799" w:type="dxa"/>
            <w:vAlign w:val="center"/>
          </w:tcPr>
          <w:p w14:paraId="2C2BAFC6">
            <w:pPr>
              <w:jc w:val="right"/>
            </w:pPr>
            <w:r>
              <w:rPr>
                <w:rFonts w:hint="eastAsia"/>
              </w:rPr>
              <w:t>850,892,763.91</w:t>
            </w:r>
          </w:p>
        </w:tc>
        <w:tc>
          <w:tcPr>
            <w:tcW w:w="1633" w:type="dxa"/>
            <w:vAlign w:val="center"/>
          </w:tcPr>
          <w:p w14:paraId="26EC475A">
            <w:pPr>
              <w:jc w:val="right"/>
            </w:pPr>
            <w:r>
              <w:rPr>
                <w:rFonts w:hint="eastAsia"/>
              </w:rPr>
              <w:t>2,314,997,540.96</w:t>
            </w:r>
          </w:p>
        </w:tc>
      </w:tr>
    </w:tbl>
    <w:p w14:paraId="06304F80">
      <w:pPr>
        <w:pStyle w:val="26"/>
      </w:pPr>
      <w:bookmarkStart w:id="196" w:name="_Toc24110"/>
      <w:r>
        <w:t>重大事件揭示</w:t>
      </w:r>
      <w:bookmarkEnd w:id="196"/>
    </w:p>
    <w:p w14:paraId="06123D9A">
      <w:pPr>
        <w:pStyle w:val="23"/>
      </w:pPr>
      <w:bookmarkStart w:id="197" w:name="_Toc27786"/>
      <w:r>
        <w:t>基金份额持有人大会决议</w:t>
      </w:r>
      <w:bookmarkEnd w:id="197"/>
    </w:p>
    <w:p w14:paraId="038497C0">
      <w:pPr>
        <w:pStyle w:val="18"/>
        <w:rPr>
          <w:rFonts w:hint="eastAsia"/>
        </w:rPr>
      </w:pPr>
      <w:r>
        <w:rPr>
          <w:rFonts w:hint="eastAsia"/>
        </w:rPr>
        <w:t>本报告期本基金无基金份额持有人大会决议。</w:t>
      </w:r>
    </w:p>
    <w:p w14:paraId="719142EE">
      <w:pPr>
        <w:pStyle w:val="23"/>
      </w:pPr>
      <w:r>
        <w:t xml:space="preserve"> </w:t>
      </w:r>
      <w:bookmarkStart w:id="198" w:name="_Toc9741"/>
      <w:r>
        <w:t>基金管理人、基金托管人的专门基金托管部门的重大人事变动</w:t>
      </w:r>
      <w:bookmarkEnd w:id="198"/>
    </w:p>
    <w:p w14:paraId="33BA9A74">
      <w:pPr>
        <w:pStyle w:val="18"/>
        <w:rPr>
          <w:rFonts w:hint="eastAsia"/>
        </w:rPr>
      </w:pPr>
      <w:r>
        <w:rPr>
          <w:rFonts w:hint="eastAsia"/>
        </w:rPr>
        <w:t>本报告期内，本基金的基金管理人未发生重大人事变动。</w:t>
      </w:r>
    </w:p>
    <w:p w14:paraId="2EEEC591">
      <w:pPr>
        <w:pStyle w:val="18"/>
        <w:rPr>
          <w:rFonts w:hint="eastAsia"/>
        </w:rPr>
      </w:pPr>
      <w:r>
        <w:rPr>
          <w:rFonts w:hint="eastAsia"/>
        </w:rPr>
        <w:t>2025年4月23日，本基金托管人广发银行股份有限公司因工作调整需要，任命安琦瑜先生为资产托管部总经理助理；10月25日，因工作安排，胡杰同志不再担任广发银行股份有限公司资产托管部副总经理。</w:t>
      </w:r>
    </w:p>
    <w:p w14:paraId="514F39D0">
      <w:pPr>
        <w:pStyle w:val="23"/>
      </w:pPr>
      <w:r>
        <w:t xml:space="preserve"> </w:t>
      </w:r>
      <w:bookmarkStart w:id="199" w:name="_Toc11881"/>
      <w:r>
        <w:t>涉及基金管理人、基金财产、基金托管业务的诉讼</w:t>
      </w:r>
      <w:bookmarkEnd w:id="199"/>
    </w:p>
    <w:p w14:paraId="2B839FCE">
      <w:pPr>
        <w:pStyle w:val="18"/>
        <w:rPr>
          <w:rFonts w:hint="eastAsia"/>
        </w:rPr>
      </w:pPr>
      <w:r>
        <w:rPr>
          <w:rFonts w:hint="eastAsia"/>
        </w:rPr>
        <w:t>本报告期内，无涉及基金管理人主营业务的诉讼。</w:t>
      </w:r>
    </w:p>
    <w:p w14:paraId="1B8B24FA">
      <w:pPr>
        <w:pStyle w:val="18"/>
        <w:rPr>
          <w:rFonts w:hint="eastAsia"/>
        </w:rPr>
      </w:pPr>
      <w:r>
        <w:rPr>
          <w:rFonts w:hint="eastAsia"/>
        </w:rPr>
        <w:t>本报告期内无涉及基金财产的诉讼事项。</w:t>
      </w:r>
    </w:p>
    <w:p w14:paraId="05730953">
      <w:pPr>
        <w:pStyle w:val="18"/>
        <w:rPr>
          <w:rFonts w:hint="eastAsia"/>
        </w:rPr>
      </w:pPr>
      <w:r>
        <w:rPr>
          <w:rFonts w:hint="eastAsia"/>
        </w:rPr>
        <w:t>本报告期内无涉及基金托管业务的诉讼事项。</w:t>
      </w:r>
    </w:p>
    <w:p w14:paraId="3D0A4A53">
      <w:pPr>
        <w:pStyle w:val="23"/>
      </w:pPr>
      <w:bookmarkStart w:id="200" w:name="_Toc3734"/>
      <w:r>
        <w:t>基金投资策略的改变</w:t>
      </w:r>
      <w:bookmarkEnd w:id="200"/>
    </w:p>
    <w:p w14:paraId="1436CFAB">
      <w:pPr>
        <w:pStyle w:val="18"/>
        <w:rPr>
          <w:rFonts w:hint="eastAsia"/>
        </w:rPr>
      </w:pPr>
      <w:r>
        <w:rPr>
          <w:rFonts w:hint="eastAsia"/>
        </w:rPr>
        <w:t>本报告期内本基金的投资策略未有重大变化。</w:t>
      </w:r>
    </w:p>
    <w:p w14:paraId="22092A16">
      <w:pPr>
        <w:pStyle w:val="23"/>
      </w:pPr>
      <w:bookmarkStart w:id="201" w:name="_Toc31359"/>
      <w:r>
        <w:t>本报告期持有的基金发生的重大影响事件</w:t>
      </w:r>
      <w:bookmarkEnd w:id="201"/>
    </w:p>
    <w:p w14:paraId="3FC2F2B2">
      <w:pPr>
        <w:pStyle w:val="18"/>
        <w:rPr>
          <w:rFonts w:hint="eastAsia"/>
        </w:rPr>
      </w:pPr>
      <w:r>
        <w:rPr>
          <w:rFonts w:hint="eastAsia"/>
        </w:rPr>
        <w:t>无</w:t>
      </w:r>
    </w:p>
    <w:p w14:paraId="78A35073">
      <w:pPr>
        <w:pStyle w:val="23"/>
      </w:pPr>
      <w:bookmarkStart w:id="202" w:name="_Toc26855"/>
      <w:r>
        <w:t>为基金进行审计的会计师事务所情况</w:t>
      </w:r>
      <w:bookmarkEnd w:id="202"/>
    </w:p>
    <w:p w14:paraId="7396883F">
      <w:pPr>
        <w:pStyle w:val="18"/>
        <w:rPr>
          <w:rFonts w:hint="eastAsia"/>
        </w:rPr>
      </w:pPr>
      <w:r>
        <w:rPr>
          <w:rFonts w:hint="eastAsia"/>
        </w:rPr>
        <w:t>本报告期本基金的审计事务所无变化；目前安永华明会计师事务所（特殊普通合伙）已为本基金提供审计服务1年，本报告期应支付给安永华明会计师事务所（特殊普通合伙）的报酬为人民币48,000.00元。</w:t>
      </w:r>
    </w:p>
    <w:p w14:paraId="74E7BD6B">
      <w:pPr>
        <w:pStyle w:val="23"/>
      </w:pPr>
      <w:bookmarkStart w:id="203" w:name="_Toc16631"/>
      <w:r>
        <w:t>管理人、托管人及相关从业人员受调查或处罚等情况</w:t>
      </w:r>
      <w:bookmarkEnd w:id="203"/>
    </w:p>
    <w:p w14:paraId="0188CC09">
      <w:pPr>
        <w:pStyle w:val="28"/>
      </w:pPr>
      <w:bookmarkStart w:id="204" w:name="_Toc204"/>
      <w:r>
        <w:t>管理人受调查或处罚等情况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08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EECB546">
            <w:pPr>
              <w:jc w:val="center"/>
            </w:pPr>
            <w:r>
              <w:rPr>
                <w:rFonts w:hint="eastAsia"/>
                <w:b/>
              </w:rPr>
              <w:t>管理人受调查或处罚等情况</w:t>
            </w:r>
          </w:p>
        </w:tc>
        <w:tc>
          <w:tcPr>
            <w:tcW w:w="4153" w:type="dxa"/>
            <w:shd w:val="clear" w:color="auto" w:fill="BFBFBF"/>
            <w:vAlign w:val="center"/>
          </w:tcPr>
          <w:p w14:paraId="09718FE4">
            <w:pPr>
              <w:jc w:val="center"/>
            </w:pPr>
            <w:r>
              <w:rPr>
                <w:rFonts w:hint="eastAsia"/>
                <w:b/>
              </w:rPr>
              <w:t>内容</w:t>
            </w:r>
          </w:p>
        </w:tc>
      </w:tr>
      <w:tr w14:paraId="34E5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1CEDD1">
            <w:r>
              <w:rPr>
                <w:rFonts w:hint="eastAsia"/>
              </w:rPr>
              <w:t>受到调查或处罚等措施的主体</w:t>
            </w:r>
          </w:p>
        </w:tc>
        <w:tc>
          <w:tcPr>
            <w:tcW w:w="4153" w:type="dxa"/>
            <w:vAlign w:val="center"/>
          </w:tcPr>
          <w:p w14:paraId="23F40DD0">
            <w:r>
              <w:rPr>
                <w:rFonts w:hint="eastAsia"/>
              </w:rPr>
              <w:t>管理人</w:t>
            </w:r>
          </w:p>
        </w:tc>
      </w:tr>
      <w:tr w14:paraId="66C4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D74320">
            <w:r>
              <w:rPr>
                <w:rFonts w:hint="eastAsia"/>
              </w:rPr>
              <w:t>受到调查或处罚等措施的时间</w:t>
            </w:r>
          </w:p>
        </w:tc>
        <w:tc>
          <w:tcPr>
            <w:tcW w:w="4153" w:type="dxa"/>
            <w:vAlign w:val="center"/>
          </w:tcPr>
          <w:p w14:paraId="5E00B5B8">
            <w:pPr>
              <w:rPr>
                <w:rFonts w:hint="eastAsia"/>
              </w:rPr>
            </w:pPr>
            <w:r>
              <w:rPr>
                <w:rFonts w:hint="eastAsia"/>
              </w:rPr>
              <w:t>2025-10-17；
</w:t>
            </w:r>
            <w:r>
              <w:rPr>
                <w:rFonts w:hint="eastAsia"/>
              </w:rPr>
              <w:br w:type="textWrapping"/>
            </w:r>
            <w:r>
              <w:rPr>
                <w:rFonts w:hint="eastAsia"/>
              </w:rPr>
              <w:t>2025-11-18</w:t>
            </w:r>
          </w:p>
        </w:tc>
      </w:tr>
      <w:tr w14:paraId="78C1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7F6C44">
            <w:r>
              <w:rPr>
                <w:rFonts w:hint="eastAsia"/>
              </w:rPr>
              <w:t>采取调查或处罚等措施的机构</w:t>
            </w:r>
          </w:p>
        </w:tc>
        <w:tc>
          <w:tcPr>
            <w:tcW w:w="4153" w:type="dxa"/>
            <w:vAlign w:val="center"/>
          </w:tcPr>
          <w:p w14:paraId="776FC21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41D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61C01F">
            <w:r>
              <w:rPr>
                <w:rFonts w:hint="eastAsia"/>
              </w:rPr>
              <w:t>受到调查或处罚等措施类型</w:t>
            </w:r>
          </w:p>
        </w:tc>
        <w:tc>
          <w:tcPr>
            <w:tcW w:w="4153" w:type="dxa"/>
            <w:vAlign w:val="center"/>
          </w:tcPr>
          <w:p w14:paraId="1A79CDB2">
            <w:pPr>
              <w:rPr>
                <w:rFonts w:hint="eastAsia"/>
              </w:rPr>
            </w:pPr>
            <w:r>
              <w:rPr>
                <w:rFonts w:hint="eastAsia"/>
              </w:rPr>
              <w:t>行政监管措施；
</w:t>
            </w:r>
            <w:r>
              <w:rPr>
                <w:rFonts w:hint="eastAsia"/>
              </w:rPr>
              <w:br w:type="textWrapping"/>
            </w:r>
            <w:r>
              <w:rPr>
                <w:rFonts w:hint="eastAsia"/>
              </w:rPr>
              <w:t>行政处罚</w:t>
            </w:r>
          </w:p>
        </w:tc>
      </w:tr>
      <w:tr w14:paraId="0312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C14F44">
            <w:r>
              <w:rPr>
                <w:rFonts w:hint="eastAsia"/>
              </w:rPr>
              <w:t>受到的具体措施类型</w:t>
            </w:r>
          </w:p>
        </w:tc>
        <w:tc>
          <w:tcPr>
            <w:tcW w:w="4153" w:type="dxa"/>
            <w:vAlign w:val="center"/>
          </w:tcPr>
          <w:p w14:paraId="0DD69EA8">
            <w:pPr>
              <w:rPr>
                <w:rFonts w:hint="eastAsia"/>
              </w:rPr>
            </w:pPr>
            <w:r>
              <w:rPr>
                <w:rFonts w:hint="eastAsia"/>
              </w:rPr>
              <w:t>责令改正；
</w:t>
            </w:r>
            <w:r>
              <w:rPr>
                <w:rFonts w:hint="eastAsia"/>
              </w:rPr>
              <w:br w:type="textWrapping"/>
            </w:r>
            <w:r>
              <w:rPr>
                <w:rFonts w:hint="eastAsia"/>
              </w:rPr>
              <w:t>警告、罚款</w:t>
            </w:r>
          </w:p>
        </w:tc>
      </w:tr>
      <w:tr w14:paraId="3971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3CEC2D">
            <w:r>
              <w:rPr>
                <w:rFonts w:hint="eastAsia"/>
              </w:rPr>
              <w:t>受到调查或处罚等措施的原因</w:t>
            </w:r>
          </w:p>
        </w:tc>
        <w:tc>
          <w:tcPr>
            <w:tcW w:w="4153" w:type="dxa"/>
            <w:vAlign w:val="center"/>
          </w:tcPr>
          <w:p w14:paraId="1A7260B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604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4BBE42">
            <w:r>
              <w:rPr>
                <w:rFonts w:hint="eastAsia"/>
              </w:rPr>
              <w:t>受到处罚的依据</w:t>
            </w:r>
          </w:p>
        </w:tc>
        <w:tc>
          <w:tcPr>
            <w:tcW w:w="4153" w:type="dxa"/>
            <w:vAlign w:val="center"/>
          </w:tcPr>
          <w:p w14:paraId="106EC44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709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DBE960">
            <w:r>
              <w:rPr>
                <w:rFonts w:hint="eastAsia"/>
              </w:rPr>
              <w:t>管理人采取整改措施的情况</w:t>
            </w:r>
          </w:p>
        </w:tc>
        <w:tc>
          <w:tcPr>
            <w:tcW w:w="4153" w:type="dxa"/>
            <w:vAlign w:val="center"/>
          </w:tcPr>
          <w:p w14:paraId="22626B8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B37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5BC1BA">
            <w:r>
              <w:rPr>
                <w:rFonts w:hint="eastAsia"/>
              </w:rPr>
              <w:t>其他</w:t>
            </w:r>
          </w:p>
        </w:tc>
        <w:tc>
          <w:tcPr>
            <w:tcW w:w="4153" w:type="dxa"/>
            <w:vAlign w:val="center"/>
          </w:tcPr>
          <w:p w14:paraId="4F9728CA">
            <w:r>
              <w:rPr>
                <w:rFonts w:hint="eastAsia"/>
              </w:rPr>
              <w:t>-</w:t>
            </w:r>
          </w:p>
        </w:tc>
      </w:tr>
    </w:tbl>
    <w:p w14:paraId="2AEA9D62">
      <w:pPr>
        <w:pStyle w:val="28"/>
      </w:pPr>
      <w:bookmarkStart w:id="205" w:name="_Toc205"/>
      <w:r>
        <w:t>管理人相关从业人员受调查或处罚等情况</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56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D735ADE">
            <w:pPr>
              <w:jc w:val="center"/>
            </w:pPr>
            <w:r>
              <w:rPr>
                <w:rFonts w:hint="eastAsia"/>
                <w:b/>
              </w:rPr>
              <w:t>管理人相关从业人员受调查或处罚等情况</w:t>
            </w:r>
          </w:p>
        </w:tc>
        <w:tc>
          <w:tcPr>
            <w:tcW w:w="4153" w:type="dxa"/>
            <w:shd w:val="clear" w:color="auto" w:fill="BFBFBF"/>
            <w:vAlign w:val="center"/>
          </w:tcPr>
          <w:p w14:paraId="12D47574">
            <w:pPr>
              <w:jc w:val="center"/>
            </w:pPr>
            <w:r>
              <w:rPr>
                <w:rFonts w:hint="eastAsia"/>
                <w:b/>
              </w:rPr>
              <w:t>内容</w:t>
            </w:r>
          </w:p>
        </w:tc>
      </w:tr>
      <w:tr w14:paraId="1DE8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879C29">
            <w:r>
              <w:rPr>
                <w:rFonts w:hint="eastAsia"/>
              </w:rPr>
              <w:t>受到调查或处罚等措施的主体</w:t>
            </w:r>
          </w:p>
        </w:tc>
        <w:tc>
          <w:tcPr>
            <w:tcW w:w="4153" w:type="dxa"/>
            <w:vAlign w:val="center"/>
          </w:tcPr>
          <w:p w14:paraId="0ACA83E7">
            <w:r>
              <w:rPr>
                <w:rFonts w:hint="eastAsia"/>
              </w:rPr>
              <w:t>高级管理人员</w:t>
            </w:r>
          </w:p>
        </w:tc>
      </w:tr>
      <w:tr w14:paraId="240D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9A3CD2">
            <w:r>
              <w:rPr>
                <w:rFonts w:hint="eastAsia"/>
              </w:rPr>
              <w:t>受到调查或处罚等措施的时间</w:t>
            </w:r>
          </w:p>
        </w:tc>
        <w:tc>
          <w:tcPr>
            <w:tcW w:w="4153" w:type="dxa"/>
            <w:vAlign w:val="center"/>
          </w:tcPr>
          <w:p w14:paraId="34387C75">
            <w:r>
              <w:rPr>
                <w:rFonts w:hint="eastAsia"/>
              </w:rPr>
              <w:t>2025-10-17</w:t>
            </w:r>
          </w:p>
        </w:tc>
      </w:tr>
      <w:tr w14:paraId="0E44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80C2EF">
            <w:r>
              <w:rPr>
                <w:rFonts w:hint="eastAsia"/>
              </w:rPr>
              <w:t>采取调查或处罚等措施的机构</w:t>
            </w:r>
          </w:p>
        </w:tc>
        <w:tc>
          <w:tcPr>
            <w:tcW w:w="4153" w:type="dxa"/>
            <w:vAlign w:val="center"/>
          </w:tcPr>
          <w:p w14:paraId="7DCE68B3">
            <w:r>
              <w:rPr>
                <w:rFonts w:hint="eastAsia"/>
              </w:rPr>
              <w:t>中国证监会深圳监管局</w:t>
            </w:r>
          </w:p>
        </w:tc>
      </w:tr>
      <w:tr w14:paraId="32F8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4F4E46">
            <w:r>
              <w:rPr>
                <w:rFonts w:hint="eastAsia"/>
              </w:rPr>
              <w:t>受到调查或处罚等措施类型</w:t>
            </w:r>
          </w:p>
        </w:tc>
        <w:tc>
          <w:tcPr>
            <w:tcW w:w="4153" w:type="dxa"/>
            <w:vAlign w:val="center"/>
          </w:tcPr>
          <w:p w14:paraId="3BC8BBDC">
            <w:r>
              <w:rPr>
                <w:rFonts w:hint="eastAsia"/>
              </w:rPr>
              <w:t>行政监管措施</w:t>
            </w:r>
          </w:p>
        </w:tc>
      </w:tr>
      <w:tr w14:paraId="2FFEE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5C6B57">
            <w:r>
              <w:rPr>
                <w:rFonts w:hint="eastAsia"/>
              </w:rPr>
              <w:t>受到的具体措施类型</w:t>
            </w:r>
          </w:p>
        </w:tc>
        <w:tc>
          <w:tcPr>
            <w:tcW w:w="4153" w:type="dxa"/>
            <w:vAlign w:val="center"/>
          </w:tcPr>
          <w:p w14:paraId="7129CA18">
            <w:r>
              <w:rPr>
                <w:rFonts w:hint="eastAsia"/>
              </w:rPr>
              <w:t>出具警示函</w:t>
            </w:r>
          </w:p>
        </w:tc>
      </w:tr>
      <w:tr w14:paraId="42A1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79F1CA">
            <w:r>
              <w:rPr>
                <w:rFonts w:hint="eastAsia"/>
              </w:rPr>
              <w:t>受到调查或处罚等措施的原因</w:t>
            </w:r>
          </w:p>
        </w:tc>
        <w:tc>
          <w:tcPr>
            <w:tcW w:w="4153" w:type="dxa"/>
            <w:vAlign w:val="center"/>
          </w:tcPr>
          <w:p w14:paraId="27A8833C">
            <w:r>
              <w:rPr>
                <w:rFonts w:hint="eastAsia"/>
              </w:rPr>
              <w:t>人员管理、其他问题(销售管理)</w:t>
            </w:r>
          </w:p>
        </w:tc>
      </w:tr>
      <w:tr w14:paraId="3FF4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6BBA3E">
            <w:r>
              <w:rPr>
                <w:rFonts w:hint="eastAsia"/>
              </w:rPr>
              <w:t>受到处罚的依据</w:t>
            </w:r>
          </w:p>
        </w:tc>
        <w:tc>
          <w:tcPr>
            <w:tcW w:w="4153" w:type="dxa"/>
            <w:vAlign w:val="center"/>
          </w:tcPr>
          <w:p w14:paraId="5E8BF9C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837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8CCEED">
            <w:r>
              <w:rPr>
                <w:rFonts w:hint="eastAsia"/>
              </w:rPr>
              <w:t>管理人采取整改措施的情况（如提出整改意见）</w:t>
            </w:r>
          </w:p>
        </w:tc>
        <w:tc>
          <w:tcPr>
            <w:tcW w:w="4153" w:type="dxa"/>
            <w:vAlign w:val="center"/>
          </w:tcPr>
          <w:p w14:paraId="05B8D9D7">
            <w:r>
              <w:rPr>
                <w:rFonts w:hint="eastAsia"/>
              </w:rPr>
              <w:t>截至报告期末公司已通过完善制度、优化流程等整改措施完成整改，整改成果已经中国证监会深圳监管局验收通过</w:t>
            </w:r>
          </w:p>
        </w:tc>
      </w:tr>
      <w:tr w14:paraId="2E6F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533392">
            <w:r>
              <w:rPr>
                <w:rFonts w:hint="eastAsia"/>
              </w:rPr>
              <w:t>其他</w:t>
            </w:r>
          </w:p>
        </w:tc>
        <w:tc>
          <w:tcPr>
            <w:tcW w:w="4153" w:type="dxa"/>
            <w:vAlign w:val="center"/>
          </w:tcPr>
          <w:p w14:paraId="0F5772E4">
            <w:pPr>
              <w:jc w:val="right"/>
            </w:pPr>
            <w:r>
              <w:rPr>
                <w:rFonts w:hint="eastAsia"/>
              </w:rPr>
              <w:t>-</w:t>
            </w:r>
          </w:p>
        </w:tc>
      </w:tr>
    </w:tbl>
    <w:p w14:paraId="35AF995B">
      <w:pPr>
        <w:pStyle w:val="28"/>
      </w:pPr>
      <w:bookmarkStart w:id="206" w:name="_Toc206"/>
      <w:r>
        <w:t>托管人受调查或处罚等情况</w:t>
      </w:r>
      <w:bookmarkEnd w:id="206"/>
    </w:p>
    <w:p w14:paraId="43DAB1F9">
      <w:pPr>
        <w:pStyle w:val="18"/>
        <w:rPr>
          <w:rFonts w:hint="eastAsia"/>
        </w:rPr>
      </w:pPr>
      <w:r>
        <w:rPr>
          <w:rFonts w:hint="eastAsia"/>
        </w:rPr>
        <w:t>本报告期，基金托管人未受到调查或处罚。</w:t>
      </w:r>
    </w:p>
    <w:p w14:paraId="33594B40">
      <w:pPr>
        <w:pStyle w:val="28"/>
      </w:pPr>
      <w:bookmarkStart w:id="207" w:name="_Toc207"/>
      <w:r>
        <w:t>托管人相关从业人员受调查或处罚等情况</w:t>
      </w:r>
      <w:bookmarkEnd w:id="207"/>
    </w:p>
    <w:p w14:paraId="00F41722">
      <w:pPr>
        <w:pStyle w:val="18"/>
        <w:rPr>
          <w:rFonts w:hint="eastAsia"/>
        </w:rPr>
      </w:pPr>
      <w:r>
        <w:rPr>
          <w:rFonts w:hint="eastAsia"/>
        </w:rPr>
        <w:t>本报告期，基金托管人分管公募基金托管业务的高级管理人员未受到调查或处罚。</w:t>
      </w:r>
    </w:p>
    <w:p w14:paraId="6BB0FECD">
      <w:pPr>
        <w:pStyle w:val="23"/>
      </w:pPr>
      <w:bookmarkStart w:id="208" w:name="_Toc25054"/>
      <w:r>
        <w:t>基金租用证券公司交易单元的有关情况</w:t>
      </w:r>
      <w:bookmarkEnd w:id="208"/>
    </w:p>
    <w:p w14:paraId="6F220B78">
      <w:pPr>
        <w:pStyle w:val="28"/>
      </w:pPr>
      <w:bookmarkStart w:id="209" w:name="_Toc209"/>
      <w:r>
        <w:t>基金租用证券公司交易单元进行股票投资及佣金支付情况</w:t>
      </w:r>
      <w:bookmarkEnd w:id="209"/>
    </w:p>
    <w:p w14:paraId="592CD9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735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DB04F1E">
            <w:pPr>
              <w:jc w:val="center"/>
            </w:pPr>
            <w:r>
              <w:rPr>
                <w:rFonts w:hint="eastAsia"/>
                <w:b/>
              </w:rPr>
              <w:t>券商名称</w:t>
            </w:r>
          </w:p>
        </w:tc>
        <w:tc>
          <w:tcPr>
            <w:tcW w:w="775" w:type="dxa"/>
            <w:vMerge w:val="restart"/>
            <w:shd w:val="clear" w:color="auto" w:fill="BFBFBF"/>
            <w:vAlign w:val="center"/>
          </w:tcPr>
          <w:p w14:paraId="15E4DC15">
            <w:pPr>
              <w:jc w:val="center"/>
            </w:pPr>
            <w:r>
              <w:rPr>
                <w:rFonts w:hint="eastAsia"/>
                <w:b/>
              </w:rPr>
              <w:t>交易单元数量</w:t>
            </w:r>
          </w:p>
        </w:tc>
        <w:tc>
          <w:tcPr>
            <w:tcW w:w="1699" w:type="dxa"/>
            <w:gridSpan w:val="2"/>
            <w:shd w:val="clear" w:color="auto" w:fill="BFBFBF"/>
            <w:vAlign w:val="center"/>
          </w:tcPr>
          <w:p w14:paraId="0E301B1F">
            <w:pPr>
              <w:jc w:val="center"/>
            </w:pPr>
            <w:r>
              <w:rPr>
                <w:rFonts w:hint="eastAsia"/>
                <w:b/>
              </w:rPr>
              <w:t>股票交易</w:t>
            </w:r>
          </w:p>
        </w:tc>
        <w:tc>
          <w:tcPr>
            <w:tcW w:w="1312" w:type="dxa"/>
            <w:gridSpan w:val="2"/>
            <w:shd w:val="clear" w:color="auto" w:fill="BFBFBF"/>
            <w:vAlign w:val="center"/>
          </w:tcPr>
          <w:p w14:paraId="2FAE63FA">
            <w:pPr>
              <w:jc w:val="center"/>
            </w:pPr>
            <w:r>
              <w:rPr>
                <w:rFonts w:hint="eastAsia"/>
                <w:b/>
              </w:rPr>
              <w:t>应支付该券商的佣金</w:t>
            </w:r>
          </w:p>
        </w:tc>
        <w:tc>
          <w:tcPr>
            <w:tcW w:w="946" w:type="dxa"/>
            <w:vMerge w:val="restart"/>
            <w:shd w:val="clear" w:color="auto" w:fill="BFBFBF"/>
            <w:vAlign w:val="center"/>
          </w:tcPr>
          <w:p w14:paraId="1950D177">
            <w:pPr>
              <w:jc w:val="center"/>
            </w:pPr>
            <w:r>
              <w:rPr>
                <w:rFonts w:hint="eastAsia"/>
                <w:b/>
              </w:rPr>
              <w:t>备注</w:t>
            </w:r>
          </w:p>
        </w:tc>
      </w:tr>
      <w:tr w14:paraId="4BC8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5E45781"/>
        </w:tc>
        <w:tc>
          <w:tcPr>
            <w:tcW w:w="775" w:type="dxa"/>
            <w:vMerge w:val="continue"/>
            <w:vAlign w:val="center"/>
          </w:tcPr>
          <w:p w14:paraId="6B494E5D"/>
        </w:tc>
        <w:tc>
          <w:tcPr>
            <w:tcW w:w="1699" w:type="dxa"/>
            <w:shd w:val="clear" w:color="auto" w:fill="BFBFBF"/>
            <w:vAlign w:val="center"/>
          </w:tcPr>
          <w:p w14:paraId="76041430">
            <w:pPr>
              <w:jc w:val="center"/>
            </w:pPr>
            <w:r>
              <w:rPr>
                <w:rFonts w:hint="eastAsia"/>
                <w:b/>
              </w:rPr>
              <w:t>成交金额</w:t>
            </w:r>
          </w:p>
        </w:tc>
        <w:tc>
          <w:tcPr>
            <w:tcW w:w="1201" w:type="dxa"/>
            <w:shd w:val="clear" w:color="auto" w:fill="BFBFBF"/>
            <w:vAlign w:val="center"/>
          </w:tcPr>
          <w:p w14:paraId="1107B5AE">
            <w:pPr>
              <w:jc w:val="center"/>
            </w:pPr>
            <w:r>
              <w:rPr>
                <w:rFonts w:hint="eastAsia"/>
                <w:b/>
              </w:rPr>
              <w:t>占当期股票成交总额的比例</w:t>
            </w:r>
          </w:p>
        </w:tc>
        <w:tc>
          <w:tcPr>
            <w:tcW w:w="1312" w:type="dxa"/>
            <w:shd w:val="clear" w:color="auto" w:fill="BFBFBF"/>
            <w:vAlign w:val="center"/>
          </w:tcPr>
          <w:p w14:paraId="31967CF4">
            <w:pPr>
              <w:jc w:val="center"/>
            </w:pPr>
            <w:r>
              <w:rPr>
                <w:rFonts w:hint="eastAsia"/>
                <w:b/>
              </w:rPr>
              <w:t>佣金</w:t>
            </w:r>
          </w:p>
        </w:tc>
        <w:tc>
          <w:tcPr>
            <w:tcW w:w="1256" w:type="dxa"/>
            <w:shd w:val="clear" w:color="auto" w:fill="BFBFBF"/>
            <w:vAlign w:val="center"/>
          </w:tcPr>
          <w:p w14:paraId="2E1FC36A">
            <w:pPr>
              <w:jc w:val="center"/>
            </w:pPr>
            <w:r>
              <w:rPr>
                <w:rFonts w:hint="eastAsia"/>
                <w:b/>
              </w:rPr>
              <w:t>占当期佣金总量的比例</w:t>
            </w:r>
          </w:p>
        </w:tc>
        <w:tc>
          <w:tcPr>
            <w:tcW w:w="946" w:type="dxa"/>
            <w:vMerge w:val="continue"/>
            <w:vAlign w:val="center"/>
          </w:tcPr>
          <w:p w14:paraId="4AC1D4AA"/>
        </w:tc>
      </w:tr>
      <w:tr w14:paraId="167B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14556F">
            <w:r>
              <w:rPr>
                <w:rFonts w:hint="eastAsia"/>
              </w:rPr>
              <w:t>华泰证券</w:t>
            </w:r>
          </w:p>
        </w:tc>
        <w:tc>
          <w:tcPr>
            <w:tcW w:w="775" w:type="dxa"/>
            <w:vAlign w:val="center"/>
          </w:tcPr>
          <w:p w14:paraId="58486AE9">
            <w:pPr>
              <w:jc w:val="right"/>
            </w:pPr>
            <w:r>
              <w:rPr>
                <w:rFonts w:hint="eastAsia"/>
              </w:rPr>
              <w:t>2</w:t>
            </w:r>
          </w:p>
        </w:tc>
        <w:tc>
          <w:tcPr>
            <w:tcW w:w="1699" w:type="dxa"/>
            <w:vAlign w:val="center"/>
          </w:tcPr>
          <w:p w14:paraId="673714F9">
            <w:pPr>
              <w:jc w:val="right"/>
            </w:pPr>
            <w:r>
              <w:rPr>
                <w:rFonts w:hint="eastAsia"/>
              </w:rPr>
              <w:t>1,081,386,873.52</w:t>
            </w:r>
          </w:p>
        </w:tc>
        <w:tc>
          <w:tcPr>
            <w:tcW w:w="1201" w:type="dxa"/>
            <w:vAlign w:val="center"/>
          </w:tcPr>
          <w:p w14:paraId="02E26DC1">
            <w:pPr>
              <w:jc w:val="right"/>
            </w:pPr>
            <w:r>
              <w:rPr>
                <w:rFonts w:hint="eastAsia"/>
              </w:rPr>
              <w:t>100.00%</w:t>
            </w:r>
          </w:p>
        </w:tc>
        <w:tc>
          <w:tcPr>
            <w:tcW w:w="1312" w:type="dxa"/>
            <w:vAlign w:val="center"/>
          </w:tcPr>
          <w:p w14:paraId="34C672B6">
            <w:pPr>
              <w:jc w:val="right"/>
            </w:pPr>
            <w:r>
              <w:rPr>
                <w:rFonts w:hint="eastAsia"/>
              </w:rPr>
              <w:t>458,980.61</w:t>
            </w:r>
          </w:p>
        </w:tc>
        <w:tc>
          <w:tcPr>
            <w:tcW w:w="1256" w:type="dxa"/>
            <w:vAlign w:val="center"/>
          </w:tcPr>
          <w:p w14:paraId="6FD5D13E">
            <w:pPr>
              <w:jc w:val="right"/>
            </w:pPr>
            <w:r>
              <w:rPr>
                <w:rFonts w:hint="eastAsia"/>
              </w:rPr>
              <w:t>100.00%</w:t>
            </w:r>
          </w:p>
        </w:tc>
        <w:tc>
          <w:tcPr>
            <w:tcW w:w="946" w:type="dxa"/>
            <w:vAlign w:val="center"/>
          </w:tcPr>
          <w:p w14:paraId="5E40417D">
            <w:pPr>
              <w:jc w:val="right"/>
            </w:pPr>
            <w:r>
              <w:rPr>
                <w:rFonts w:hint="eastAsia"/>
              </w:rPr>
              <w:t>-</w:t>
            </w:r>
          </w:p>
        </w:tc>
      </w:tr>
    </w:tbl>
    <w:p w14:paraId="622143B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32510D7">
      <w:pPr>
        <w:pStyle w:val="47"/>
        <w:rPr>
          <w:rFonts w:hint="eastAsia"/>
        </w:rPr>
      </w:pPr>
      <w:r>
        <w:tab/>
      </w:r>
      <w:r>
        <w:rPr>
          <w:rFonts w:hint="eastAsia"/>
        </w:rPr>
        <w:t>1、选择标准</w:t>
      </w:r>
    </w:p>
    <w:p w14:paraId="0D2E1B7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8D4CA0E">
      <w:pPr>
        <w:pStyle w:val="47"/>
        <w:rPr>
          <w:rFonts w:hint="eastAsia"/>
        </w:rPr>
      </w:pPr>
      <w:r>
        <w:tab/>
      </w:r>
      <w:r>
        <w:rPr>
          <w:rFonts w:hint="eastAsia"/>
        </w:rPr>
        <w:t>2、选择程序</w:t>
      </w:r>
    </w:p>
    <w:p w14:paraId="0337901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F4B6C33">
      <w:pPr>
        <w:pStyle w:val="47"/>
        <w:rPr>
          <w:rFonts w:hint="eastAsia"/>
        </w:rPr>
      </w:pPr>
      <w:r>
        <w:tab/>
      </w:r>
      <w:r>
        <w:rPr>
          <w:rFonts w:hint="eastAsia"/>
        </w:rPr>
        <w:t>（2）基金管理人根据其建立的服务评价及交易量分配机制，定期对证券公司开展评价后，根据评价结果进行交易量的分配。</w:t>
      </w:r>
    </w:p>
    <w:p w14:paraId="2EB57606">
      <w:pPr>
        <w:pStyle w:val="47"/>
        <w:rPr>
          <w:rFonts w:hint="eastAsia"/>
        </w:rPr>
      </w:pPr>
      <w:r>
        <w:tab/>
      </w:r>
      <w:r>
        <w:rPr>
          <w:rFonts w:hint="eastAsia"/>
        </w:rPr>
        <w:t>3、报告期内基金租用券商交易单元的变更情况：新增交易单元：华泰证券；减少交易单元：无。</w:t>
      </w:r>
    </w:p>
    <w:p w14:paraId="1F7523E5">
      <w:pPr>
        <w:pStyle w:val="28"/>
      </w:pPr>
      <w:bookmarkStart w:id="210" w:name="_Toc210"/>
      <w:r>
        <w:t>基金租用证券公司交易单元进行其他证券投资的情况</w:t>
      </w:r>
      <w:bookmarkEnd w:id="210"/>
    </w:p>
    <w:p w14:paraId="14A9E9A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58B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AADCC47">
            <w:pPr>
              <w:jc w:val="center"/>
            </w:pPr>
            <w:r>
              <w:rPr>
                <w:rFonts w:hint="eastAsia"/>
                <w:b/>
              </w:rPr>
              <w:t>券商名称</w:t>
            </w:r>
          </w:p>
        </w:tc>
        <w:tc>
          <w:tcPr>
            <w:tcW w:w="1508" w:type="dxa"/>
            <w:gridSpan w:val="2"/>
            <w:shd w:val="clear" w:color="auto" w:fill="BFBFBF"/>
            <w:vAlign w:val="center"/>
          </w:tcPr>
          <w:p w14:paraId="7E535C16">
            <w:pPr>
              <w:jc w:val="center"/>
            </w:pPr>
            <w:r>
              <w:rPr>
                <w:rFonts w:hint="eastAsia"/>
                <w:b/>
              </w:rPr>
              <w:t>债券交易</w:t>
            </w:r>
          </w:p>
        </w:tc>
        <w:tc>
          <w:tcPr>
            <w:tcW w:w="1697" w:type="dxa"/>
            <w:gridSpan w:val="2"/>
            <w:shd w:val="clear" w:color="auto" w:fill="BFBFBF"/>
            <w:vAlign w:val="center"/>
          </w:tcPr>
          <w:p w14:paraId="33E21141">
            <w:pPr>
              <w:jc w:val="center"/>
            </w:pPr>
            <w:r>
              <w:rPr>
                <w:rFonts w:hint="eastAsia"/>
                <w:b/>
              </w:rPr>
              <w:t>债券回购交易</w:t>
            </w:r>
          </w:p>
        </w:tc>
        <w:tc>
          <w:tcPr>
            <w:tcW w:w="1508" w:type="dxa"/>
            <w:gridSpan w:val="2"/>
            <w:shd w:val="clear" w:color="auto" w:fill="BFBFBF"/>
            <w:vAlign w:val="center"/>
          </w:tcPr>
          <w:p w14:paraId="4FD0CAFB">
            <w:pPr>
              <w:jc w:val="center"/>
            </w:pPr>
            <w:r>
              <w:rPr>
                <w:rFonts w:hint="eastAsia"/>
                <w:b/>
              </w:rPr>
              <w:t>权证交易</w:t>
            </w:r>
          </w:p>
        </w:tc>
      </w:tr>
      <w:tr w14:paraId="06C9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213D9AA"/>
        </w:tc>
        <w:tc>
          <w:tcPr>
            <w:tcW w:w="1508" w:type="dxa"/>
            <w:shd w:val="clear" w:color="auto" w:fill="BFBFBF"/>
            <w:vAlign w:val="center"/>
          </w:tcPr>
          <w:p w14:paraId="14EE5056">
            <w:pPr>
              <w:jc w:val="center"/>
            </w:pPr>
            <w:r>
              <w:rPr>
                <w:rFonts w:hint="eastAsia"/>
                <w:b/>
              </w:rPr>
              <w:t>成交金额</w:t>
            </w:r>
          </w:p>
        </w:tc>
        <w:tc>
          <w:tcPr>
            <w:tcW w:w="895" w:type="dxa"/>
            <w:shd w:val="clear" w:color="auto" w:fill="BFBFBF"/>
            <w:vAlign w:val="center"/>
          </w:tcPr>
          <w:p w14:paraId="67753549">
            <w:pPr>
              <w:jc w:val="center"/>
            </w:pPr>
            <w:r>
              <w:rPr>
                <w:rFonts w:hint="eastAsia"/>
                <w:b/>
              </w:rPr>
              <w:t>占当期债券成交总额的比例</w:t>
            </w:r>
          </w:p>
        </w:tc>
        <w:tc>
          <w:tcPr>
            <w:tcW w:w="1697" w:type="dxa"/>
            <w:shd w:val="clear" w:color="auto" w:fill="BFBFBF"/>
            <w:vAlign w:val="center"/>
          </w:tcPr>
          <w:p w14:paraId="588E6E6B">
            <w:pPr>
              <w:jc w:val="center"/>
            </w:pPr>
            <w:r>
              <w:rPr>
                <w:rFonts w:hint="eastAsia"/>
                <w:b/>
              </w:rPr>
              <w:t>成交金额</w:t>
            </w:r>
          </w:p>
        </w:tc>
        <w:tc>
          <w:tcPr>
            <w:tcW w:w="895" w:type="dxa"/>
            <w:shd w:val="clear" w:color="auto" w:fill="BFBFBF"/>
            <w:vAlign w:val="center"/>
          </w:tcPr>
          <w:p w14:paraId="51BEE895">
            <w:pPr>
              <w:jc w:val="center"/>
            </w:pPr>
            <w:r>
              <w:rPr>
                <w:rFonts w:hint="eastAsia"/>
                <w:b/>
              </w:rPr>
              <w:t>占当期债券回购成交总额的比例</w:t>
            </w:r>
          </w:p>
        </w:tc>
        <w:tc>
          <w:tcPr>
            <w:tcW w:w="1508" w:type="dxa"/>
            <w:shd w:val="clear" w:color="auto" w:fill="BFBFBF"/>
            <w:vAlign w:val="center"/>
          </w:tcPr>
          <w:p w14:paraId="5C20E66E">
            <w:pPr>
              <w:jc w:val="center"/>
            </w:pPr>
            <w:r>
              <w:rPr>
                <w:rFonts w:hint="eastAsia"/>
                <w:b/>
              </w:rPr>
              <w:t>成交金额</w:t>
            </w:r>
          </w:p>
        </w:tc>
        <w:tc>
          <w:tcPr>
            <w:tcW w:w="900" w:type="dxa"/>
            <w:shd w:val="clear" w:color="auto" w:fill="BFBFBF"/>
            <w:vAlign w:val="center"/>
          </w:tcPr>
          <w:p w14:paraId="54374104">
            <w:pPr>
              <w:jc w:val="center"/>
            </w:pPr>
            <w:r>
              <w:rPr>
                <w:rFonts w:hint="eastAsia"/>
                <w:b/>
              </w:rPr>
              <w:t>占当期权证成交总额的比例</w:t>
            </w:r>
          </w:p>
        </w:tc>
      </w:tr>
      <w:tr w14:paraId="0A98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C9311B">
            <w:r>
              <w:rPr>
                <w:rFonts w:hint="eastAsia"/>
              </w:rPr>
              <w:t>华泰证券</w:t>
            </w:r>
          </w:p>
        </w:tc>
        <w:tc>
          <w:tcPr>
            <w:tcW w:w="1508" w:type="dxa"/>
            <w:vAlign w:val="center"/>
          </w:tcPr>
          <w:p w14:paraId="4CC4E25B">
            <w:pPr>
              <w:jc w:val="right"/>
            </w:pPr>
            <w:r>
              <w:rPr>
                <w:rFonts w:hint="eastAsia"/>
              </w:rPr>
              <w:t>729,620,673.60</w:t>
            </w:r>
          </w:p>
        </w:tc>
        <w:tc>
          <w:tcPr>
            <w:tcW w:w="895" w:type="dxa"/>
            <w:vAlign w:val="center"/>
          </w:tcPr>
          <w:p w14:paraId="457E6950">
            <w:pPr>
              <w:jc w:val="right"/>
            </w:pPr>
            <w:r>
              <w:rPr>
                <w:rFonts w:hint="eastAsia"/>
              </w:rPr>
              <w:t>100.00%</w:t>
            </w:r>
          </w:p>
        </w:tc>
        <w:tc>
          <w:tcPr>
            <w:tcW w:w="1697" w:type="dxa"/>
            <w:vAlign w:val="center"/>
          </w:tcPr>
          <w:p w14:paraId="78659042">
            <w:pPr>
              <w:jc w:val="right"/>
            </w:pPr>
            <w:r>
              <w:rPr>
                <w:rFonts w:hint="eastAsia"/>
              </w:rPr>
              <w:t>17,989,465,000.00</w:t>
            </w:r>
          </w:p>
        </w:tc>
        <w:tc>
          <w:tcPr>
            <w:tcW w:w="895" w:type="dxa"/>
            <w:vAlign w:val="center"/>
          </w:tcPr>
          <w:p w14:paraId="0BF6FC5A">
            <w:pPr>
              <w:jc w:val="right"/>
            </w:pPr>
            <w:r>
              <w:rPr>
                <w:rFonts w:hint="eastAsia"/>
              </w:rPr>
              <w:t>100.00%</w:t>
            </w:r>
          </w:p>
        </w:tc>
        <w:tc>
          <w:tcPr>
            <w:tcW w:w="1508" w:type="dxa"/>
            <w:vAlign w:val="center"/>
          </w:tcPr>
          <w:p w14:paraId="31550FAE">
            <w:pPr>
              <w:jc w:val="right"/>
            </w:pPr>
            <w:r>
              <w:rPr>
                <w:rFonts w:hint="eastAsia"/>
              </w:rPr>
              <w:t>-</w:t>
            </w:r>
          </w:p>
        </w:tc>
        <w:tc>
          <w:tcPr>
            <w:tcW w:w="900" w:type="dxa"/>
            <w:vAlign w:val="center"/>
          </w:tcPr>
          <w:p w14:paraId="28AAB1FF">
            <w:pPr>
              <w:jc w:val="right"/>
            </w:pPr>
            <w:r>
              <w:rPr>
                <w:rFonts w:hint="eastAsia"/>
              </w:rPr>
              <w:t>-</w:t>
            </w:r>
          </w:p>
        </w:tc>
      </w:tr>
    </w:tbl>
    <w:p w14:paraId="0915CF8D">
      <w:pPr>
        <w:pStyle w:val="23"/>
      </w:pPr>
      <w:bookmarkStart w:id="211" w:name="_Toc2834"/>
      <w:r>
        <w:t>其他重大事件</w:t>
      </w:r>
      <w:bookmarkEnd w:id="2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3EE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7EB5B71">
            <w:pPr>
              <w:jc w:val="center"/>
            </w:pPr>
            <w:r>
              <w:rPr>
                <w:rFonts w:hint="eastAsia"/>
                <w:b/>
              </w:rPr>
              <w:t>序号</w:t>
            </w:r>
          </w:p>
        </w:tc>
        <w:tc>
          <w:tcPr>
            <w:tcW w:w="4319" w:type="dxa"/>
            <w:shd w:val="clear" w:color="auto" w:fill="BFBFBF"/>
            <w:vAlign w:val="center"/>
          </w:tcPr>
          <w:p w14:paraId="6A485F35">
            <w:pPr>
              <w:jc w:val="center"/>
            </w:pPr>
            <w:r>
              <w:rPr>
                <w:rFonts w:hint="eastAsia"/>
                <w:b/>
              </w:rPr>
              <w:t>公告事项</w:t>
            </w:r>
          </w:p>
        </w:tc>
        <w:tc>
          <w:tcPr>
            <w:tcW w:w="2076" w:type="dxa"/>
            <w:shd w:val="clear" w:color="auto" w:fill="BFBFBF"/>
            <w:vAlign w:val="center"/>
          </w:tcPr>
          <w:p w14:paraId="671C7DE7">
            <w:pPr>
              <w:jc w:val="center"/>
            </w:pPr>
            <w:r>
              <w:rPr>
                <w:rFonts w:hint="eastAsia"/>
                <w:b/>
              </w:rPr>
              <w:t>法定披露方式</w:t>
            </w:r>
          </w:p>
        </w:tc>
        <w:tc>
          <w:tcPr>
            <w:tcW w:w="1218" w:type="dxa"/>
            <w:shd w:val="clear" w:color="auto" w:fill="BFBFBF"/>
            <w:vAlign w:val="center"/>
          </w:tcPr>
          <w:p w14:paraId="2F258527">
            <w:pPr>
              <w:jc w:val="center"/>
            </w:pPr>
            <w:r>
              <w:rPr>
                <w:rFonts w:hint="eastAsia"/>
                <w:b/>
              </w:rPr>
              <w:t>法定披露日期</w:t>
            </w:r>
          </w:p>
        </w:tc>
      </w:tr>
      <w:tr w14:paraId="52C7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5A7505">
            <w:pPr>
              <w:jc w:val="center"/>
            </w:pPr>
            <w:r>
              <w:rPr>
                <w:rFonts w:hint="eastAsia"/>
              </w:rPr>
              <w:t>1</w:t>
            </w:r>
          </w:p>
        </w:tc>
        <w:tc>
          <w:tcPr>
            <w:tcW w:w="4319" w:type="dxa"/>
            <w:vAlign w:val="center"/>
          </w:tcPr>
          <w:p w14:paraId="149C9BDC">
            <w:r>
              <w:rPr>
                <w:rFonts w:hint="eastAsia"/>
              </w:rPr>
              <w:t>南方益稳稳健增利债券型证券投资基金基金合同及招募说明书提示性公告</w:t>
            </w:r>
          </w:p>
        </w:tc>
        <w:tc>
          <w:tcPr>
            <w:tcW w:w="2076" w:type="dxa"/>
            <w:vAlign w:val="center"/>
          </w:tcPr>
          <w:p w14:paraId="23A96583">
            <w:r>
              <w:rPr>
                <w:rFonts w:hint="eastAsia"/>
              </w:rPr>
              <w:t>中国证券报、基金管理人网站、中国证监会基金电子披露网站</w:t>
            </w:r>
          </w:p>
        </w:tc>
        <w:tc>
          <w:tcPr>
            <w:tcW w:w="1218" w:type="dxa"/>
            <w:vAlign w:val="center"/>
          </w:tcPr>
          <w:p w14:paraId="798AFD45">
            <w:r>
              <w:rPr>
                <w:rFonts w:hint="eastAsia"/>
              </w:rPr>
              <w:t>2025-07-18</w:t>
            </w:r>
          </w:p>
        </w:tc>
      </w:tr>
      <w:tr w14:paraId="763A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DC8E36">
            <w:pPr>
              <w:jc w:val="center"/>
            </w:pPr>
            <w:r>
              <w:rPr>
                <w:rFonts w:hint="eastAsia"/>
              </w:rPr>
              <w:t>2</w:t>
            </w:r>
          </w:p>
        </w:tc>
        <w:tc>
          <w:tcPr>
            <w:tcW w:w="4319" w:type="dxa"/>
            <w:vAlign w:val="center"/>
          </w:tcPr>
          <w:p w14:paraId="3920BB54">
            <w:r>
              <w:rPr>
                <w:rFonts w:hint="eastAsia"/>
              </w:rPr>
              <w:t>南方基金关于直销平台部分基金相关调整的公告</w:t>
            </w:r>
          </w:p>
        </w:tc>
        <w:tc>
          <w:tcPr>
            <w:tcW w:w="2076" w:type="dxa"/>
            <w:vAlign w:val="center"/>
          </w:tcPr>
          <w:p w14:paraId="092FBF9E">
            <w:r>
              <w:rPr>
                <w:rFonts w:hint="eastAsia"/>
              </w:rPr>
              <w:t>中国证券报、基金管理人网站、中国证监会基金电子披露网站</w:t>
            </w:r>
          </w:p>
        </w:tc>
        <w:tc>
          <w:tcPr>
            <w:tcW w:w="1218" w:type="dxa"/>
            <w:vAlign w:val="center"/>
          </w:tcPr>
          <w:p w14:paraId="2090CAA4">
            <w:r>
              <w:rPr>
                <w:rFonts w:hint="eastAsia"/>
              </w:rPr>
              <w:t>2025-07-25</w:t>
            </w:r>
          </w:p>
        </w:tc>
      </w:tr>
      <w:tr w14:paraId="67E5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D73260">
            <w:pPr>
              <w:jc w:val="center"/>
            </w:pPr>
            <w:r>
              <w:rPr>
                <w:rFonts w:hint="eastAsia"/>
              </w:rPr>
              <w:t>3</w:t>
            </w:r>
          </w:p>
        </w:tc>
        <w:tc>
          <w:tcPr>
            <w:tcW w:w="4319" w:type="dxa"/>
            <w:vAlign w:val="center"/>
          </w:tcPr>
          <w:p w14:paraId="41545FCA">
            <w:r>
              <w:rPr>
                <w:rFonts w:hint="eastAsia"/>
              </w:rPr>
              <w:t>关于南方益稳稳健增利债券型证券投资基金提前结束募集暨进行比例配售的公告</w:t>
            </w:r>
          </w:p>
        </w:tc>
        <w:tc>
          <w:tcPr>
            <w:tcW w:w="2076" w:type="dxa"/>
            <w:vAlign w:val="center"/>
          </w:tcPr>
          <w:p w14:paraId="129E5BBE">
            <w:r>
              <w:rPr>
                <w:rFonts w:hint="eastAsia"/>
              </w:rPr>
              <w:t>中国证券报、基金管理人网站、中国证监会基金电子披露网站</w:t>
            </w:r>
          </w:p>
        </w:tc>
        <w:tc>
          <w:tcPr>
            <w:tcW w:w="1218" w:type="dxa"/>
            <w:vAlign w:val="center"/>
          </w:tcPr>
          <w:p w14:paraId="1BC328F9">
            <w:r>
              <w:rPr>
                <w:rFonts w:hint="eastAsia"/>
              </w:rPr>
              <w:t>2025-08-04</w:t>
            </w:r>
          </w:p>
        </w:tc>
      </w:tr>
      <w:tr w14:paraId="3301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D6E428">
            <w:pPr>
              <w:jc w:val="center"/>
            </w:pPr>
            <w:r>
              <w:rPr>
                <w:rFonts w:hint="eastAsia"/>
              </w:rPr>
              <w:t>4</w:t>
            </w:r>
          </w:p>
        </w:tc>
        <w:tc>
          <w:tcPr>
            <w:tcW w:w="4319" w:type="dxa"/>
            <w:vAlign w:val="center"/>
          </w:tcPr>
          <w:p w14:paraId="3F1DED85">
            <w:r>
              <w:rPr>
                <w:rFonts w:hint="eastAsia"/>
              </w:rPr>
              <w:t>关于南方益稳稳健增利债券型证券投资基金认购申请确认比例结果的公告</w:t>
            </w:r>
          </w:p>
        </w:tc>
        <w:tc>
          <w:tcPr>
            <w:tcW w:w="2076" w:type="dxa"/>
            <w:vAlign w:val="center"/>
          </w:tcPr>
          <w:p w14:paraId="1504BC8F">
            <w:r>
              <w:rPr>
                <w:rFonts w:hint="eastAsia"/>
              </w:rPr>
              <w:t>中国证券报、基金管理人网站、中国证监会基金电子披露网站</w:t>
            </w:r>
          </w:p>
        </w:tc>
        <w:tc>
          <w:tcPr>
            <w:tcW w:w="1218" w:type="dxa"/>
            <w:vAlign w:val="center"/>
          </w:tcPr>
          <w:p w14:paraId="112B811C">
            <w:r>
              <w:rPr>
                <w:rFonts w:hint="eastAsia"/>
              </w:rPr>
              <w:t>2025-08-05</w:t>
            </w:r>
          </w:p>
        </w:tc>
      </w:tr>
      <w:tr w14:paraId="7D7F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120F6C">
            <w:pPr>
              <w:jc w:val="center"/>
            </w:pPr>
            <w:r>
              <w:rPr>
                <w:rFonts w:hint="eastAsia"/>
              </w:rPr>
              <w:t>5</w:t>
            </w:r>
          </w:p>
        </w:tc>
        <w:tc>
          <w:tcPr>
            <w:tcW w:w="4319" w:type="dxa"/>
            <w:vAlign w:val="center"/>
          </w:tcPr>
          <w:p w14:paraId="2386D838">
            <w:r>
              <w:rPr>
                <w:rFonts w:hint="eastAsia"/>
              </w:rPr>
              <w:t>南方益稳稳健增利债券型证券投资基金开放日常申购、赎回、转换及定投业务的公告</w:t>
            </w:r>
          </w:p>
        </w:tc>
        <w:tc>
          <w:tcPr>
            <w:tcW w:w="2076" w:type="dxa"/>
            <w:vAlign w:val="center"/>
          </w:tcPr>
          <w:p w14:paraId="2A6F3977">
            <w:r>
              <w:rPr>
                <w:rFonts w:hint="eastAsia"/>
              </w:rPr>
              <w:t>中国证券报、基金管理人网站、中国证监会基金电子披露网站</w:t>
            </w:r>
          </w:p>
        </w:tc>
        <w:tc>
          <w:tcPr>
            <w:tcW w:w="1218" w:type="dxa"/>
            <w:vAlign w:val="center"/>
          </w:tcPr>
          <w:p w14:paraId="3B834190">
            <w:r>
              <w:rPr>
                <w:rFonts w:hint="eastAsia"/>
              </w:rPr>
              <w:t>2025-10-30</w:t>
            </w:r>
          </w:p>
        </w:tc>
      </w:tr>
    </w:tbl>
    <w:p w14:paraId="5058DE04">
      <w:pPr>
        <w:pStyle w:val="26"/>
      </w:pPr>
      <w:bookmarkStart w:id="212" w:name="_Toc5679"/>
      <w:r>
        <w:t>影响投资者决策的其他重要信息</w:t>
      </w:r>
      <w:bookmarkEnd w:id="212"/>
    </w:p>
    <w:p w14:paraId="79804243">
      <w:pPr>
        <w:pStyle w:val="23"/>
      </w:pPr>
      <w:bookmarkStart w:id="213" w:name="_Toc8541"/>
      <w:r>
        <w:t>报告期内单一投资者持有基金份额比例达到或超过20%的情况</w:t>
      </w:r>
      <w:bookmarkEnd w:id="213"/>
    </w:p>
    <w:p w14:paraId="324F3D04">
      <w:pPr>
        <w:pStyle w:val="18"/>
        <w:rPr>
          <w:rFonts w:hint="eastAsia"/>
        </w:rPr>
      </w:pPr>
      <w:r>
        <w:rPr>
          <w:rFonts w:hint="eastAsia"/>
        </w:rPr>
        <w:t>报告期内单一投资者持有基金份额比例不存在达到或超过20%的情况。</w:t>
      </w:r>
    </w:p>
    <w:p w14:paraId="65A6CCBF">
      <w:pPr>
        <w:pStyle w:val="23"/>
      </w:pPr>
      <w:bookmarkStart w:id="214" w:name="_Toc30767"/>
      <w:r>
        <w:t>影响投资者决策的其他重要信息</w:t>
      </w:r>
      <w:bookmarkEnd w:id="214"/>
    </w:p>
    <w:p w14:paraId="1E475ED7">
      <w:pPr>
        <w:pStyle w:val="18"/>
        <w:rPr>
          <w:rFonts w:hint="eastAsia"/>
        </w:rPr>
      </w:pPr>
      <w:r>
        <w:rPr>
          <w:rFonts w:hint="eastAsia"/>
        </w:rPr>
        <w:t>无。</w:t>
      </w:r>
    </w:p>
    <w:p w14:paraId="0F3BB4AE">
      <w:pPr>
        <w:pStyle w:val="26"/>
      </w:pPr>
      <w:bookmarkStart w:id="215" w:name="_Toc20694"/>
      <w:r>
        <w:t>备查文件目录</w:t>
      </w:r>
      <w:bookmarkEnd w:id="215"/>
    </w:p>
    <w:p w14:paraId="2C111DBE">
      <w:pPr>
        <w:pStyle w:val="23"/>
      </w:pPr>
      <w:bookmarkStart w:id="216" w:name="_Toc7420"/>
      <w:r>
        <w:t>备查文件目录</w:t>
      </w:r>
      <w:bookmarkEnd w:id="216"/>
    </w:p>
    <w:p w14:paraId="7550A93F">
      <w:pPr>
        <w:pStyle w:val="18"/>
        <w:rPr>
          <w:rFonts w:hint="eastAsia"/>
        </w:rPr>
      </w:pPr>
      <w:r>
        <w:rPr>
          <w:rFonts w:hint="eastAsia"/>
        </w:rPr>
        <w:t>1、中国证监会批准设立南方益稳稳健增利债券型证券投资基金的文件；</w:t>
      </w:r>
    </w:p>
    <w:p w14:paraId="6D68D9CE">
      <w:pPr>
        <w:pStyle w:val="18"/>
        <w:rPr>
          <w:rFonts w:hint="eastAsia"/>
        </w:rPr>
      </w:pPr>
      <w:r>
        <w:rPr>
          <w:rFonts w:hint="eastAsia"/>
        </w:rPr>
        <w:t>2、《南方益稳稳健增利债券型证券投资基金基金合同》；</w:t>
      </w:r>
    </w:p>
    <w:p w14:paraId="481B1A90">
      <w:pPr>
        <w:pStyle w:val="18"/>
        <w:rPr>
          <w:rFonts w:hint="eastAsia"/>
        </w:rPr>
      </w:pPr>
      <w:r>
        <w:rPr>
          <w:rFonts w:hint="eastAsia"/>
        </w:rPr>
        <w:t>3、《南方益稳稳健增利债券型证券投资基金托管协议》；</w:t>
      </w:r>
    </w:p>
    <w:p w14:paraId="48394A6D">
      <w:pPr>
        <w:pStyle w:val="18"/>
        <w:rPr>
          <w:rFonts w:hint="eastAsia"/>
        </w:rPr>
      </w:pPr>
      <w:r>
        <w:rPr>
          <w:rFonts w:hint="eastAsia"/>
        </w:rPr>
        <w:t>4、基金管理人业务资格批件、营业执照；</w:t>
      </w:r>
    </w:p>
    <w:p w14:paraId="387F7C9F">
      <w:pPr>
        <w:pStyle w:val="18"/>
        <w:rPr>
          <w:rFonts w:hint="eastAsia"/>
        </w:rPr>
      </w:pPr>
      <w:r>
        <w:rPr>
          <w:rFonts w:hint="eastAsia"/>
        </w:rPr>
        <w:t>5、报告期内在选定报刊上披露的各项公告；</w:t>
      </w:r>
    </w:p>
    <w:p w14:paraId="585E62EB">
      <w:pPr>
        <w:pStyle w:val="18"/>
        <w:rPr>
          <w:rFonts w:hint="eastAsia"/>
        </w:rPr>
      </w:pPr>
      <w:r>
        <w:rPr>
          <w:rFonts w:hint="eastAsia"/>
        </w:rPr>
        <w:t>6、《南方益稳稳健增利债券型证券投资基金2025年年度报告》原文。</w:t>
      </w:r>
    </w:p>
    <w:p w14:paraId="2136FF43">
      <w:pPr>
        <w:pStyle w:val="23"/>
      </w:pPr>
      <w:bookmarkStart w:id="217" w:name="_Toc11754"/>
      <w:r>
        <w:t>存放地点</w:t>
      </w:r>
      <w:bookmarkEnd w:id="217"/>
    </w:p>
    <w:p w14:paraId="02909682">
      <w:pPr>
        <w:pStyle w:val="18"/>
        <w:rPr>
          <w:rFonts w:hint="eastAsia"/>
        </w:rPr>
      </w:pPr>
      <w:r>
        <w:rPr>
          <w:rFonts w:hint="eastAsia"/>
        </w:rPr>
        <w:t>深圳市福田区莲花街道益田路5999号基金大厦32-42楼。</w:t>
      </w:r>
    </w:p>
    <w:p w14:paraId="16B12CAD">
      <w:pPr>
        <w:pStyle w:val="23"/>
      </w:pPr>
      <w:bookmarkStart w:id="218" w:name="_Toc29676"/>
      <w:r>
        <w:t>查阅方式</w:t>
      </w:r>
      <w:bookmarkEnd w:id="218"/>
    </w:p>
    <w:p w14:paraId="6497145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D398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AEEA8">
    <w:pPr>
      <w:pStyle w:val="7"/>
      <w:pBdr>
        <w:bottom w:val="single" w:color="auto" w:sz="4" w:space="1"/>
      </w:pBdr>
      <w:jc w:val="right"/>
    </w:pPr>
    <w:r>
      <w:t>南方益稳稳健增利债券型证券投资基金2025年年度报告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F9CB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1CB6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2026-03-29T12:56:00Z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81B044278C264A8D8F74622AF12D204E_12</vt:lpwstr>
  </property>
</Properties>
</file>