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F0C0B">
      <w:pPr>
        <w:pStyle w:val="18"/>
        <w:ind w:firstLine="420"/>
      </w:pPr>
      <w:bookmarkStart w:id="213" w:name="_GoBack"/>
      <w:bookmarkEnd w:id="213"/>
    </w:p>
    <w:p w14:paraId="054DE759">
      <w:pPr>
        <w:jc w:val="center"/>
        <w:rPr>
          <w:rFonts w:ascii="宋体" w:hAnsi="宋体"/>
          <w:b/>
          <w:bCs/>
          <w:sz w:val="28"/>
          <w:szCs w:val="30"/>
        </w:rPr>
      </w:pPr>
    </w:p>
    <w:p w14:paraId="18E76C77">
      <w:pPr>
        <w:jc w:val="center"/>
        <w:rPr>
          <w:rFonts w:ascii="宋体" w:hAnsi="宋体"/>
          <w:b/>
          <w:bCs/>
          <w:sz w:val="48"/>
          <w:szCs w:val="30"/>
        </w:rPr>
      </w:pPr>
      <w:r>
        <w:rPr>
          <w:rFonts w:ascii="宋体" w:hAnsi="宋体"/>
          <w:b/>
          <w:bCs/>
          <w:sz w:val="48"/>
          <w:szCs w:val="30"/>
        </w:rPr>
        <w:t>南方创业板人工智能交易型开放式指数证券投资基金联接基金2025年年度报告</w:t>
      </w:r>
    </w:p>
    <w:p w14:paraId="6CB63DBC">
      <w:pPr>
        <w:jc w:val="center"/>
        <w:rPr>
          <w:rFonts w:ascii="宋体" w:hAnsi="宋体"/>
          <w:b/>
          <w:bCs/>
          <w:sz w:val="48"/>
          <w:szCs w:val="30"/>
        </w:rPr>
      </w:pPr>
      <w:bookmarkStart w:id="0" w:name="OLE_LINK1"/>
      <w:bookmarkStart w:id="1" w:name="OLE_LINK2"/>
    </w:p>
    <w:p w14:paraId="3F094C4E">
      <w:pPr>
        <w:jc w:val="center"/>
        <w:rPr>
          <w:rFonts w:ascii="宋体" w:hAnsi="宋体"/>
          <w:b/>
          <w:bCs/>
          <w:sz w:val="28"/>
          <w:szCs w:val="30"/>
        </w:rPr>
      </w:pPr>
    </w:p>
    <w:bookmarkEnd w:id="0"/>
    <w:bookmarkEnd w:id="1"/>
    <w:p w14:paraId="0E1B901B">
      <w:pPr>
        <w:jc w:val="center"/>
        <w:rPr>
          <w:rFonts w:ascii="宋体" w:hAnsi="宋体"/>
          <w:b/>
          <w:bCs/>
          <w:sz w:val="28"/>
          <w:szCs w:val="30"/>
        </w:rPr>
      </w:pPr>
      <w:r>
        <w:rPr>
          <w:rFonts w:ascii="宋体" w:hAnsi="宋体"/>
          <w:b/>
          <w:bCs/>
          <w:sz w:val="28"/>
          <w:szCs w:val="30"/>
        </w:rPr>
        <w:t>2025年12月31日</w:t>
      </w:r>
    </w:p>
    <w:p w14:paraId="77932249">
      <w:pPr>
        <w:jc w:val="center"/>
        <w:rPr>
          <w:rFonts w:ascii="宋体" w:hAnsi="宋体"/>
          <w:sz w:val="28"/>
          <w:szCs w:val="30"/>
        </w:rPr>
      </w:pPr>
    </w:p>
    <w:p w14:paraId="6D5DE958">
      <w:pPr>
        <w:jc w:val="center"/>
        <w:rPr>
          <w:rFonts w:ascii="宋体" w:hAnsi="宋体"/>
          <w:sz w:val="28"/>
          <w:szCs w:val="30"/>
        </w:rPr>
      </w:pPr>
    </w:p>
    <w:p w14:paraId="69B7C3C0">
      <w:pPr>
        <w:jc w:val="center"/>
        <w:rPr>
          <w:rFonts w:ascii="宋体" w:hAnsi="宋体"/>
          <w:sz w:val="28"/>
          <w:szCs w:val="30"/>
        </w:rPr>
      </w:pPr>
    </w:p>
    <w:p w14:paraId="2A50BB7A">
      <w:pPr>
        <w:jc w:val="center"/>
        <w:rPr>
          <w:rFonts w:ascii="宋体" w:hAnsi="宋体"/>
          <w:sz w:val="28"/>
          <w:szCs w:val="30"/>
        </w:rPr>
      </w:pPr>
    </w:p>
    <w:p w14:paraId="46B648BD">
      <w:pPr>
        <w:jc w:val="center"/>
        <w:rPr>
          <w:rFonts w:ascii="宋体" w:hAnsi="宋体"/>
          <w:sz w:val="28"/>
          <w:szCs w:val="30"/>
        </w:rPr>
      </w:pPr>
    </w:p>
    <w:p w14:paraId="0DBD35C0">
      <w:pPr>
        <w:jc w:val="center"/>
        <w:rPr>
          <w:rFonts w:ascii="宋体" w:hAnsi="宋体"/>
          <w:sz w:val="28"/>
          <w:szCs w:val="30"/>
        </w:rPr>
      </w:pPr>
    </w:p>
    <w:p w14:paraId="1571A072">
      <w:pPr>
        <w:jc w:val="center"/>
        <w:rPr>
          <w:rFonts w:ascii="宋体" w:hAnsi="宋体"/>
          <w:sz w:val="28"/>
          <w:szCs w:val="30"/>
        </w:rPr>
      </w:pPr>
    </w:p>
    <w:p w14:paraId="7ADAE42A">
      <w:pPr>
        <w:jc w:val="center"/>
        <w:rPr>
          <w:rFonts w:ascii="宋体" w:hAnsi="宋体"/>
          <w:sz w:val="28"/>
          <w:szCs w:val="30"/>
        </w:rPr>
      </w:pPr>
    </w:p>
    <w:p w14:paraId="17560F59">
      <w:pPr>
        <w:jc w:val="center"/>
        <w:rPr>
          <w:rFonts w:ascii="宋体" w:hAnsi="宋体"/>
          <w:sz w:val="28"/>
          <w:szCs w:val="30"/>
        </w:rPr>
      </w:pPr>
    </w:p>
    <w:p w14:paraId="432DD660">
      <w:pPr>
        <w:jc w:val="center"/>
        <w:rPr>
          <w:rFonts w:ascii="宋体" w:hAnsi="宋体"/>
          <w:sz w:val="28"/>
          <w:szCs w:val="30"/>
        </w:rPr>
      </w:pPr>
    </w:p>
    <w:p w14:paraId="1DD1C29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533807B">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789335EC">
      <w:pPr>
        <w:ind w:firstLine="1687" w:firstLineChars="600"/>
        <w:rPr>
          <w:rFonts w:ascii="宋体" w:hAnsi="宋体"/>
          <w:b/>
          <w:bCs/>
          <w:sz w:val="28"/>
          <w:szCs w:val="30"/>
        </w:rPr>
      </w:pPr>
      <w:r>
        <w:rPr>
          <w:rFonts w:hint="eastAsia" w:ascii="宋体" w:hAnsi="宋体"/>
          <w:b/>
          <w:bCs/>
          <w:sz w:val="28"/>
          <w:szCs w:val="30"/>
        </w:rPr>
        <w:t>送出日期：2026年3月31日</w:t>
      </w:r>
    </w:p>
    <w:p w14:paraId="3EAEDB42">
      <w:pPr>
        <w:ind w:firstLine="1687" w:firstLineChars="600"/>
        <w:rPr>
          <w:rFonts w:ascii="宋体" w:hAnsi="宋体"/>
          <w:b/>
          <w:bCs/>
          <w:sz w:val="28"/>
          <w:szCs w:val="30"/>
        </w:rPr>
      </w:pPr>
    </w:p>
    <w:p w14:paraId="55E3C9D6">
      <w:pPr>
        <w:snapToGrid w:val="0"/>
        <w:spacing w:line="360" w:lineRule="auto"/>
        <w:jc w:val="left"/>
      </w:pPr>
      <w:r>
        <w:br w:type="page"/>
      </w:r>
    </w:p>
    <w:p w14:paraId="57F1F343"/>
    <w:p w14:paraId="5046558B">
      <w:pPr>
        <w:pStyle w:val="26"/>
      </w:pPr>
      <w:bookmarkStart w:id="2" w:name="_Toc23403"/>
      <w:r>
        <w:t>重要提示及目录</w:t>
      </w:r>
      <w:bookmarkEnd w:id="2"/>
    </w:p>
    <w:p w14:paraId="0A827BBE">
      <w:pPr>
        <w:pStyle w:val="23"/>
      </w:pPr>
      <w:bookmarkStart w:id="3" w:name="_Toc2202"/>
      <w:r>
        <w:t>重要提示</w:t>
      </w:r>
      <w:bookmarkEnd w:id="3"/>
    </w:p>
    <w:p w14:paraId="196BFAC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7901F7F">
      <w:pPr>
        <w:pStyle w:val="18"/>
        <w:rPr>
          <w:rFonts w:hint="eastAsia"/>
        </w:rPr>
      </w:pPr>
      <w:r>
        <w:rPr>
          <w:rFonts w:hint="eastAsia"/>
        </w:rPr>
        <w:t>本年度报告已经三分之二以上独立董事签字同意，并由董事长签发。</w:t>
      </w:r>
    </w:p>
    <w:p w14:paraId="4341AAAB">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51298386">
      <w:pPr>
        <w:pStyle w:val="18"/>
        <w:rPr>
          <w:rFonts w:hint="eastAsia"/>
        </w:rPr>
      </w:pPr>
      <w:r>
        <w:rPr>
          <w:rFonts w:hint="eastAsia"/>
        </w:rPr>
        <w:t>基金管理人承诺以诚实信用、勤勉尽责的原则管理和运用基金资产，但不保证基金一定盈利。</w:t>
      </w:r>
    </w:p>
    <w:p w14:paraId="7DCF9B62">
      <w:pPr>
        <w:pStyle w:val="18"/>
        <w:rPr>
          <w:rFonts w:hint="eastAsia"/>
        </w:rPr>
      </w:pPr>
      <w:r>
        <w:rPr>
          <w:rFonts w:hint="eastAsia"/>
        </w:rPr>
        <w:t>基金的过往业绩并不代表其未来表现。投资有风险，投资者在作出投资决策前应仔细阅读本基金的招募说明书及其更新。</w:t>
      </w:r>
    </w:p>
    <w:p w14:paraId="6390CB44">
      <w:pPr>
        <w:pStyle w:val="18"/>
        <w:rPr>
          <w:rFonts w:hint="eastAsia"/>
        </w:rPr>
      </w:pPr>
      <w:r>
        <w:rPr>
          <w:rFonts w:hint="eastAsia"/>
        </w:rPr>
        <w:t>本报告期自2025年10月30日（基金合同生效日）起至12月31日止。</w:t>
      </w:r>
    </w:p>
    <w:p w14:paraId="745D6340">
      <w:pPr>
        <w:pStyle w:val="23"/>
        <w:pageBreakBefore/>
      </w:pPr>
      <w:bookmarkStart w:id="4" w:name="_Toc3240"/>
      <w:r>
        <w:t>目录</w:t>
      </w:r>
      <w:bookmarkEnd w:id="4"/>
    </w:p>
    <w:sdt>
      <w:sdtPr>
        <w:rPr>
          <w:rFonts w:ascii="宋体" w:hAnsi="宋体" w:eastAsia="宋体"/>
          <w:color w:val="DBDBDB"/>
          <w:sz w:val="21"/>
          <w:szCs w:val="24"/>
          <w:lang w:val="en-US" w:eastAsia="zh-CN" w:bidi="ar-SA"/>
        </w:rPr>
        <w:id w:val="36925"/>
        <w:docPartObj>
          <w:docPartGallery w:val="Table of Contents"/>
          <w:docPartUnique/>
        </w:docPartObj>
      </w:sdtPr>
      <w:sdtEndPr>
        <w:rPr>
          <w:rFonts w:ascii="宋体" w:hAnsi="宋体" w:eastAsia="宋体"/>
          <w:b/>
          <w:color w:val="DBDBDB"/>
          <w:sz w:val="21"/>
          <w:szCs w:val="24"/>
          <w:lang w:val="en-US" w:eastAsia="zh-CN" w:bidi="ar-SA"/>
        </w:rPr>
      </w:sdtEndPr>
      <w:sdtContent>
        <w:p w14:paraId="6E58F5AD">
          <w:pPr>
            <w:pStyle w:val="61"/>
            <w:spacing w:before="0" w:beforeLines="0" w:after="0" w:afterLines="0" w:line="240" w:lineRule="auto"/>
            <w:ind w:left="0" w:leftChars="0" w:right="0" w:rightChars="0" w:firstLine="0" w:firstLineChars="0"/>
            <w:jc w:val="center"/>
            <w:rPr>
              <w:b/>
            </w:rPr>
          </w:pPr>
          <w:r>
            <w:rPr>
              <w:b/>
              <w:lang w:val="zh-CN"/>
            </w:rPr>
            <w:t>目录</w:t>
          </w:r>
        </w:p>
        <w:p w14:paraId="5C09FDA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_Toc23403 </w:instrText>
          </w:r>
          <w:r>
            <w:fldChar w:fldCharType="separate"/>
          </w:r>
          <w:r>
            <w:rPr>
              <w:rFonts w:hint="eastAsia"/>
            </w:rPr>
            <w:t xml:space="preserve">§1 </w:t>
          </w:r>
          <w:r>
            <w:t>重要提示及目录</w:t>
          </w:r>
          <w:r>
            <w:tab/>
          </w:r>
          <w:r>
            <w:fldChar w:fldCharType="begin"/>
          </w:r>
          <w:r>
            <w:instrText xml:space="preserve"> PAGEREF _Toc23403 \h </w:instrText>
          </w:r>
          <w:r>
            <w:fldChar w:fldCharType="separate"/>
          </w:r>
          <w:r>
            <w:t>1</w:t>
          </w:r>
          <w:r>
            <w:fldChar w:fldCharType="end"/>
          </w:r>
          <w:r>
            <w:fldChar w:fldCharType="end"/>
          </w:r>
        </w:p>
        <w:p w14:paraId="7D8165D6">
          <w:pPr>
            <w:pStyle w:val="10"/>
            <w:tabs>
              <w:tab w:val="right" w:leader="dot" w:pos="8306"/>
            </w:tabs>
          </w:pPr>
          <w:r>
            <w:fldChar w:fldCharType="begin"/>
          </w:r>
          <w:r>
            <w:instrText xml:space="preserve"> HYPERLINK \l _Toc2202 </w:instrText>
          </w:r>
          <w:r>
            <w:fldChar w:fldCharType="separate"/>
          </w:r>
          <w:r>
            <w:rPr>
              <w:rFonts w:hint="eastAsia"/>
            </w:rPr>
            <w:t xml:space="preserve">1.1 </w:t>
          </w:r>
          <w:r>
            <w:t>重要提示</w:t>
          </w:r>
          <w:r>
            <w:tab/>
          </w:r>
          <w:r>
            <w:fldChar w:fldCharType="begin"/>
          </w:r>
          <w:r>
            <w:instrText xml:space="preserve"> PAGEREF _Toc2202 \h </w:instrText>
          </w:r>
          <w:r>
            <w:fldChar w:fldCharType="separate"/>
          </w:r>
          <w:r>
            <w:t>1</w:t>
          </w:r>
          <w:r>
            <w:fldChar w:fldCharType="end"/>
          </w:r>
          <w:r>
            <w:fldChar w:fldCharType="end"/>
          </w:r>
        </w:p>
        <w:p w14:paraId="38343ECB">
          <w:pPr>
            <w:pStyle w:val="10"/>
            <w:tabs>
              <w:tab w:val="right" w:leader="dot" w:pos="8306"/>
            </w:tabs>
          </w:pPr>
          <w:r>
            <w:fldChar w:fldCharType="begin"/>
          </w:r>
          <w:r>
            <w:instrText xml:space="preserve"> HYPERLINK \l _Toc3240 </w:instrText>
          </w:r>
          <w:r>
            <w:fldChar w:fldCharType="separate"/>
          </w:r>
          <w:r>
            <w:rPr>
              <w:rFonts w:hint="eastAsia"/>
            </w:rPr>
            <w:t xml:space="preserve">1.2 </w:t>
          </w:r>
          <w:r>
            <w:t>目录</w:t>
          </w:r>
          <w:r>
            <w:tab/>
          </w:r>
          <w:r>
            <w:fldChar w:fldCharType="begin"/>
          </w:r>
          <w:r>
            <w:instrText xml:space="preserve"> PAGEREF _Toc3240 \h </w:instrText>
          </w:r>
          <w:r>
            <w:fldChar w:fldCharType="separate"/>
          </w:r>
          <w:r>
            <w:t>2</w:t>
          </w:r>
          <w:r>
            <w:fldChar w:fldCharType="end"/>
          </w:r>
          <w:r>
            <w:fldChar w:fldCharType="end"/>
          </w:r>
        </w:p>
        <w:p w14:paraId="4F71EE51">
          <w:pPr>
            <w:pStyle w:val="8"/>
            <w:tabs>
              <w:tab w:val="right" w:leader="dot" w:pos="8306"/>
            </w:tabs>
          </w:pPr>
          <w:r>
            <w:fldChar w:fldCharType="begin"/>
          </w:r>
          <w:r>
            <w:instrText xml:space="preserve"> HYPERLINK \l _Toc26585 </w:instrText>
          </w:r>
          <w:r>
            <w:fldChar w:fldCharType="separate"/>
          </w:r>
          <w:r>
            <w:rPr>
              <w:rFonts w:hint="eastAsia"/>
            </w:rPr>
            <w:t xml:space="preserve">§2 </w:t>
          </w:r>
          <w:r>
            <w:t>基金简介</w:t>
          </w:r>
          <w:r>
            <w:tab/>
          </w:r>
          <w:r>
            <w:fldChar w:fldCharType="begin"/>
          </w:r>
          <w:r>
            <w:instrText xml:space="preserve"> PAGEREF _Toc26585 \h </w:instrText>
          </w:r>
          <w:r>
            <w:fldChar w:fldCharType="separate"/>
          </w:r>
          <w:r>
            <w:t>4</w:t>
          </w:r>
          <w:r>
            <w:fldChar w:fldCharType="end"/>
          </w:r>
          <w:r>
            <w:fldChar w:fldCharType="end"/>
          </w:r>
        </w:p>
        <w:p w14:paraId="0ECE0BA1">
          <w:pPr>
            <w:pStyle w:val="10"/>
            <w:tabs>
              <w:tab w:val="right" w:leader="dot" w:pos="8306"/>
            </w:tabs>
          </w:pPr>
          <w:r>
            <w:fldChar w:fldCharType="begin"/>
          </w:r>
          <w:r>
            <w:instrText xml:space="preserve"> HYPERLINK \l _Toc16809 </w:instrText>
          </w:r>
          <w:r>
            <w:fldChar w:fldCharType="separate"/>
          </w:r>
          <w:r>
            <w:rPr>
              <w:rFonts w:hint="eastAsia"/>
            </w:rPr>
            <w:t xml:space="preserve">2.1 </w:t>
          </w:r>
          <w:r>
            <w:t>基金基本情况</w:t>
          </w:r>
          <w:r>
            <w:tab/>
          </w:r>
          <w:r>
            <w:fldChar w:fldCharType="begin"/>
          </w:r>
          <w:r>
            <w:instrText xml:space="preserve"> PAGEREF _Toc16809 \h </w:instrText>
          </w:r>
          <w:r>
            <w:fldChar w:fldCharType="separate"/>
          </w:r>
          <w:r>
            <w:t>4</w:t>
          </w:r>
          <w:r>
            <w:fldChar w:fldCharType="end"/>
          </w:r>
          <w:r>
            <w:fldChar w:fldCharType="end"/>
          </w:r>
        </w:p>
        <w:p w14:paraId="1C5BEA20">
          <w:pPr>
            <w:pStyle w:val="10"/>
            <w:tabs>
              <w:tab w:val="right" w:leader="dot" w:pos="8306"/>
            </w:tabs>
          </w:pPr>
          <w:r>
            <w:fldChar w:fldCharType="begin"/>
          </w:r>
          <w:r>
            <w:instrText xml:space="preserve"> HYPERLINK \l _Toc19905 </w:instrText>
          </w:r>
          <w:r>
            <w:fldChar w:fldCharType="separate"/>
          </w:r>
          <w:r>
            <w:rPr>
              <w:rFonts w:hint="eastAsia"/>
            </w:rPr>
            <w:t xml:space="preserve">2.2 </w:t>
          </w:r>
          <w:r>
            <w:t>基金产品说明</w:t>
          </w:r>
          <w:r>
            <w:tab/>
          </w:r>
          <w:r>
            <w:fldChar w:fldCharType="begin"/>
          </w:r>
          <w:r>
            <w:instrText xml:space="preserve"> PAGEREF _Toc19905 \h </w:instrText>
          </w:r>
          <w:r>
            <w:fldChar w:fldCharType="separate"/>
          </w:r>
          <w:r>
            <w:t>4</w:t>
          </w:r>
          <w:r>
            <w:fldChar w:fldCharType="end"/>
          </w:r>
          <w:r>
            <w:fldChar w:fldCharType="end"/>
          </w:r>
        </w:p>
        <w:p w14:paraId="591E25AF">
          <w:pPr>
            <w:pStyle w:val="10"/>
            <w:tabs>
              <w:tab w:val="right" w:leader="dot" w:pos="8306"/>
            </w:tabs>
          </w:pPr>
          <w:r>
            <w:fldChar w:fldCharType="begin"/>
          </w:r>
          <w:r>
            <w:instrText xml:space="preserve"> HYPERLINK \l _Toc2516 </w:instrText>
          </w:r>
          <w:r>
            <w:fldChar w:fldCharType="separate"/>
          </w:r>
          <w:r>
            <w:rPr>
              <w:rFonts w:hint="eastAsia"/>
            </w:rPr>
            <w:t xml:space="preserve">2.3 </w:t>
          </w:r>
          <w:r>
            <w:t>基金管理人和基金托管人</w:t>
          </w:r>
          <w:r>
            <w:tab/>
          </w:r>
          <w:r>
            <w:fldChar w:fldCharType="begin"/>
          </w:r>
          <w:r>
            <w:instrText xml:space="preserve"> PAGEREF _Toc2516 \h </w:instrText>
          </w:r>
          <w:r>
            <w:fldChar w:fldCharType="separate"/>
          </w:r>
          <w:r>
            <w:t>5</w:t>
          </w:r>
          <w:r>
            <w:fldChar w:fldCharType="end"/>
          </w:r>
          <w:r>
            <w:fldChar w:fldCharType="end"/>
          </w:r>
        </w:p>
        <w:p w14:paraId="080C82E9">
          <w:pPr>
            <w:pStyle w:val="10"/>
            <w:tabs>
              <w:tab w:val="right" w:leader="dot" w:pos="8306"/>
            </w:tabs>
          </w:pPr>
          <w:r>
            <w:fldChar w:fldCharType="begin"/>
          </w:r>
          <w:r>
            <w:instrText xml:space="preserve"> HYPERLINK \l _Toc28085 </w:instrText>
          </w:r>
          <w:r>
            <w:fldChar w:fldCharType="separate"/>
          </w:r>
          <w:r>
            <w:rPr>
              <w:rFonts w:hint="eastAsia"/>
            </w:rPr>
            <w:t xml:space="preserve">2.4 </w:t>
          </w:r>
          <w:r>
            <w:t>信息披露方式</w:t>
          </w:r>
          <w:r>
            <w:tab/>
          </w:r>
          <w:r>
            <w:fldChar w:fldCharType="begin"/>
          </w:r>
          <w:r>
            <w:instrText xml:space="preserve"> PAGEREF _Toc28085 \h </w:instrText>
          </w:r>
          <w:r>
            <w:fldChar w:fldCharType="separate"/>
          </w:r>
          <w:r>
            <w:t>6</w:t>
          </w:r>
          <w:r>
            <w:fldChar w:fldCharType="end"/>
          </w:r>
          <w:r>
            <w:fldChar w:fldCharType="end"/>
          </w:r>
        </w:p>
        <w:p w14:paraId="47E9F68A">
          <w:pPr>
            <w:pStyle w:val="10"/>
            <w:tabs>
              <w:tab w:val="right" w:leader="dot" w:pos="8306"/>
            </w:tabs>
          </w:pPr>
          <w:r>
            <w:fldChar w:fldCharType="begin"/>
          </w:r>
          <w:r>
            <w:instrText xml:space="preserve"> HYPERLINK \l _Toc3635 </w:instrText>
          </w:r>
          <w:r>
            <w:fldChar w:fldCharType="separate"/>
          </w:r>
          <w:r>
            <w:rPr>
              <w:rFonts w:hint="eastAsia"/>
            </w:rPr>
            <w:t xml:space="preserve">2.5 </w:t>
          </w:r>
          <w:r>
            <w:t>其他相关资料</w:t>
          </w:r>
          <w:r>
            <w:tab/>
          </w:r>
          <w:r>
            <w:fldChar w:fldCharType="begin"/>
          </w:r>
          <w:r>
            <w:instrText xml:space="preserve"> PAGEREF _Toc3635 \h </w:instrText>
          </w:r>
          <w:r>
            <w:fldChar w:fldCharType="separate"/>
          </w:r>
          <w:r>
            <w:t>6</w:t>
          </w:r>
          <w:r>
            <w:fldChar w:fldCharType="end"/>
          </w:r>
          <w:r>
            <w:fldChar w:fldCharType="end"/>
          </w:r>
        </w:p>
        <w:p w14:paraId="49D4D19D">
          <w:pPr>
            <w:pStyle w:val="8"/>
            <w:tabs>
              <w:tab w:val="right" w:leader="dot" w:pos="8306"/>
            </w:tabs>
          </w:pPr>
          <w:r>
            <w:fldChar w:fldCharType="begin"/>
          </w:r>
          <w:r>
            <w:instrText xml:space="preserve"> HYPERLINK \l _Toc19206 </w:instrText>
          </w:r>
          <w:r>
            <w:fldChar w:fldCharType="separate"/>
          </w:r>
          <w:r>
            <w:rPr>
              <w:rFonts w:hint="eastAsia"/>
            </w:rPr>
            <w:t xml:space="preserve">§3 </w:t>
          </w:r>
          <w:r>
            <w:t>主要财务指标、基金净值表现及利润分配情况</w:t>
          </w:r>
          <w:r>
            <w:tab/>
          </w:r>
          <w:r>
            <w:fldChar w:fldCharType="begin"/>
          </w:r>
          <w:r>
            <w:instrText xml:space="preserve"> PAGEREF _Toc19206 \h </w:instrText>
          </w:r>
          <w:r>
            <w:fldChar w:fldCharType="separate"/>
          </w:r>
          <w:r>
            <w:t>7</w:t>
          </w:r>
          <w:r>
            <w:fldChar w:fldCharType="end"/>
          </w:r>
          <w:r>
            <w:fldChar w:fldCharType="end"/>
          </w:r>
        </w:p>
        <w:p w14:paraId="66886FA7">
          <w:pPr>
            <w:pStyle w:val="10"/>
            <w:tabs>
              <w:tab w:val="right" w:leader="dot" w:pos="8306"/>
            </w:tabs>
          </w:pPr>
          <w:r>
            <w:fldChar w:fldCharType="begin"/>
          </w:r>
          <w:r>
            <w:instrText xml:space="preserve"> HYPERLINK \l _Toc29079 </w:instrText>
          </w:r>
          <w:r>
            <w:fldChar w:fldCharType="separate"/>
          </w:r>
          <w:r>
            <w:rPr>
              <w:rFonts w:hint="eastAsia"/>
            </w:rPr>
            <w:t xml:space="preserve">3.1 </w:t>
          </w:r>
          <w:r>
            <w:t>主要会计数据和财务指标</w:t>
          </w:r>
          <w:r>
            <w:tab/>
          </w:r>
          <w:r>
            <w:fldChar w:fldCharType="begin"/>
          </w:r>
          <w:r>
            <w:instrText xml:space="preserve"> PAGEREF _Toc29079 \h </w:instrText>
          </w:r>
          <w:r>
            <w:fldChar w:fldCharType="separate"/>
          </w:r>
          <w:r>
            <w:t>7</w:t>
          </w:r>
          <w:r>
            <w:fldChar w:fldCharType="end"/>
          </w:r>
          <w:r>
            <w:fldChar w:fldCharType="end"/>
          </w:r>
        </w:p>
        <w:p w14:paraId="0675A282">
          <w:pPr>
            <w:pStyle w:val="10"/>
            <w:tabs>
              <w:tab w:val="right" w:leader="dot" w:pos="8306"/>
            </w:tabs>
          </w:pPr>
          <w:r>
            <w:fldChar w:fldCharType="begin"/>
          </w:r>
          <w:r>
            <w:instrText xml:space="preserve"> HYPERLINK \l _Toc32505 </w:instrText>
          </w:r>
          <w:r>
            <w:fldChar w:fldCharType="separate"/>
          </w:r>
          <w:r>
            <w:rPr>
              <w:rFonts w:hint="eastAsia"/>
            </w:rPr>
            <w:t xml:space="preserve">3.2 </w:t>
          </w:r>
          <w:r>
            <w:t>基金净值表现</w:t>
          </w:r>
          <w:r>
            <w:tab/>
          </w:r>
          <w:r>
            <w:fldChar w:fldCharType="begin"/>
          </w:r>
          <w:r>
            <w:instrText xml:space="preserve"> PAGEREF _Toc32505 \h </w:instrText>
          </w:r>
          <w:r>
            <w:fldChar w:fldCharType="separate"/>
          </w:r>
          <w:r>
            <w:t>8</w:t>
          </w:r>
          <w:r>
            <w:fldChar w:fldCharType="end"/>
          </w:r>
          <w:r>
            <w:fldChar w:fldCharType="end"/>
          </w:r>
        </w:p>
        <w:p w14:paraId="6F2C9874">
          <w:pPr>
            <w:pStyle w:val="10"/>
            <w:tabs>
              <w:tab w:val="right" w:leader="dot" w:pos="8306"/>
            </w:tabs>
          </w:pPr>
          <w:r>
            <w:fldChar w:fldCharType="begin"/>
          </w:r>
          <w:r>
            <w:instrText xml:space="preserve"> HYPERLINK \l _Toc19198 </w:instrText>
          </w:r>
          <w:r>
            <w:fldChar w:fldCharType="separate"/>
          </w:r>
          <w:r>
            <w:rPr>
              <w:rFonts w:hint="eastAsia"/>
            </w:rPr>
            <w:t xml:space="preserve">3.3 </w:t>
          </w:r>
          <w:r>
            <w:t>过去三年基金的利润分配情况</w:t>
          </w:r>
          <w:r>
            <w:tab/>
          </w:r>
          <w:r>
            <w:fldChar w:fldCharType="begin"/>
          </w:r>
          <w:r>
            <w:instrText xml:space="preserve"> PAGEREF _Toc19198 \h </w:instrText>
          </w:r>
          <w:r>
            <w:fldChar w:fldCharType="separate"/>
          </w:r>
          <w:r>
            <w:t>10</w:t>
          </w:r>
          <w:r>
            <w:fldChar w:fldCharType="end"/>
          </w:r>
          <w:r>
            <w:fldChar w:fldCharType="end"/>
          </w:r>
        </w:p>
        <w:p w14:paraId="1372741D">
          <w:pPr>
            <w:pStyle w:val="8"/>
            <w:tabs>
              <w:tab w:val="right" w:leader="dot" w:pos="8306"/>
            </w:tabs>
          </w:pPr>
          <w:r>
            <w:fldChar w:fldCharType="begin"/>
          </w:r>
          <w:r>
            <w:instrText xml:space="preserve"> HYPERLINK \l _Toc25631 </w:instrText>
          </w:r>
          <w:r>
            <w:fldChar w:fldCharType="separate"/>
          </w:r>
          <w:r>
            <w:rPr>
              <w:rFonts w:hint="eastAsia"/>
            </w:rPr>
            <w:t xml:space="preserve">§4 </w:t>
          </w:r>
          <w:r>
            <w:t>管理人报告</w:t>
          </w:r>
          <w:r>
            <w:tab/>
          </w:r>
          <w:r>
            <w:fldChar w:fldCharType="begin"/>
          </w:r>
          <w:r>
            <w:instrText xml:space="preserve"> PAGEREF _Toc25631 \h </w:instrText>
          </w:r>
          <w:r>
            <w:fldChar w:fldCharType="separate"/>
          </w:r>
          <w:r>
            <w:t>11</w:t>
          </w:r>
          <w:r>
            <w:fldChar w:fldCharType="end"/>
          </w:r>
          <w:r>
            <w:fldChar w:fldCharType="end"/>
          </w:r>
        </w:p>
        <w:p w14:paraId="13195A85">
          <w:pPr>
            <w:pStyle w:val="10"/>
            <w:tabs>
              <w:tab w:val="right" w:leader="dot" w:pos="8306"/>
            </w:tabs>
          </w:pPr>
          <w:r>
            <w:fldChar w:fldCharType="begin"/>
          </w:r>
          <w:r>
            <w:instrText xml:space="preserve"> HYPERLINK \l _Toc21534 </w:instrText>
          </w:r>
          <w:r>
            <w:fldChar w:fldCharType="separate"/>
          </w:r>
          <w:r>
            <w:rPr>
              <w:rFonts w:hint="eastAsia"/>
            </w:rPr>
            <w:t xml:space="preserve">4.1 </w:t>
          </w:r>
          <w:r>
            <w:t>基金管理人及基金经理情况</w:t>
          </w:r>
          <w:r>
            <w:tab/>
          </w:r>
          <w:r>
            <w:fldChar w:fldCharType="begin"/>
          </w:r>
          <w:r>
            <w:instrText xml:space="preserve"> PAGEREF _Toc21534 \h </w:instrText>
          </w:r>
          <w:r>
            <w:fldChar w:fldCharType="separate"/>
          </w:r>
          <w:r>
            <w:t>11</w:t>
          </w:r>
          <w:r>
            <w:fldChar w:fldCharType="end"/>
          </w:r>
          <w:r>
            <w:fldChar w:fldCharType="end"/>
          </w:r>
        </w:p>
        <w:p w14:paraId="03322C33">
          <w:pPr>
            <w:pStyle w:val="10"/>
            <w:tabs>
              <w:tab w:val="right" w:leader="dot" w:pos="8306"/>
            </w:tabs>
          </w:pPr>
          <w:r>
            <w:fldChar w:fldCharType="begin"/>
          </w:r>
          <w:r>
            <w:instrText xml:space="preserve"> HYPERLINK \l _Toc31025 </w:instrText>
          </w:r>
          <w:r>
            <w:fldChar w:fldCharType="separate"/>
          </w:r>
          <w:r>
            <w:rPr>
              <w:rFonts w:hint="eastAsia"/>
            </w:rPr>
            <w:t xml:space="preserve">4.2 </w:t>
          </w:r>
          <w:r>
            <w:t>管理人对报告期内本基金运作遵规守信情况的说明</w:t>
          </w:r>
          <w:r>
            <w:tab/>
          </w:r>
          <w:r>
            <w:fldChar w:fldCharType="begin"/>
          </w:r>
          <w:r>
            <w:instrText xml:space="preserve"> PAGEREF _Toc31025 \h </w:instrText>
          </w:r>
          <w:r>
            <w:fldChar w:fldCharType="separate"/>
          </w:r>
          <w:r>
            <w:t>12</w:t>
          </w:r>
          <w:r>
            <w:fldChar w:fldCharType="end"/>
          </w:r>
          <w:r>
            <w:fldChar w:fldCharType="end"/>
          </w:r>
        </w:p>
        <w:p w14:paraId="56994592">
          <w:pPr>
            <w:pStyle w:val="10"/>
            <w:tabs>
              <w:tab w:val="right" w:leader="dot" w:pos="8306"/>
            </w:tabs>
          </w:pPr>
          <w:r>
            <w:fldChar w:fldCharType="begin"/>
          </w:r>
          <w:r>
            <w:instrText xml:space="preserve"> HYPERLINK \l _Toc30008 </w:instrText>
          </w:r>
          <w:r>
            <w:fldChar w:fldCharType="separate"/>
          </w:r>
          <w:r>
            <w:rPr>
              <w:rFonts w:hint="eastAsia"/>
            </w:rPr>
            <w:t xml:space="preserve">4.3 </w:t>
          </w:r>
          <w:r>
            <w:t>管理人对报告期内公平交易情况的专项说明</w:t>
          </w:r>
          <w:r>
            <w:tab/>
          </w:r>
          <w:r>
            <w:fldChar w:fldCharType="begin"/>
          </w:r>
          <w:r>
            <w:instrText xml:space="preserve"> PAGEREF _Toc30008 \h </w:instrText>
          </w:r>
          <w:r>
            <w:fldChar w:fldCharType="separate"/>
          </w:r>
          <w:r>
            <w:t>12</w:t>
          </w:r>
          <w:r>
            <w:fldChar w:fldCharType="end"/>
          </w:r>
          <w:r>
            <w:fldChar w:fldCharType="end"/>
          </w:r>
        </w:p>
        <w:p w14:paraId="6AC3F877">
          <w:pPr>
            <w:pStyle w:val="10"/>
            <w:tabs>
              <w:tab w:val="right" w:leader="dot" w:pos="8306"/>
            </w:tabs>
          </w:pPr>
          <w:r>
            <w:fldChar w:fldCharType="begin"/>
          </w:r>
          <w:r>
            <w:instrText xml:space="preserve"> HYPERLINK \l _Toc8209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_Toc8209 \h </w:instrText>
          </w:r>
          <w:r>
            <w:fldChar w:fldCharType="separate"/>
          </w:r>
          <w:r>
            <w:t>13</w:t>
          </w:r>
          <w:r>
            <w:fldChar w:fldCharType="end"/>
          </w:r>
          <w:r>
            <w:fldChar w:fldCharType="end"/>
          </w:r>
        </w:p>
        <w:p w14:paraId="642EFD1F">
          <w:pPr>
            <w:pStyle w:val="10"/>
            <w:tabs>
              <w:tab w:val="right" w:leader="dot" w:pos="8306"/>
            </w:tabs>
          </w:pPr>
          <w:r>
            <w:fldChar w:fldCharType="begin"/>
          </w:r>
          <w:r>
            <w:instrText xml:space="preserve"> HYPERLINK \l _Toc24745 </w:instrText>
          </w:r>
          <w:r>
            <w:fldChar w:fldCharType="separate"/>
          </w:r>
          <w:r>
            <w:rPr>
              <w:rFonts w:hint="eastAsia"/>
            </w:rPr>
            <w:t xml:space="preserve">4.5 </w:t>
          </w:r>
          <w:r>
            <w:t>管理人对宏观经济、证券市场及行业走势的简要展望</w:t>
          </w:r>
          <w:r>
            <w:tab/>
          </w:r>
          <w:r>
            <w:fldChar w:fldCharType="begin"/>
          </w:r>
          <w:r>
            <w:instrText xml:space="preserve"> PAGEREF _Toc24745 \h </w:instrText>
          </w:r>
          <w:r>
            <w:fldChar w:fldCharType="separate"/>
          </w:r>
          <w:r>
            <w:t>14</w:t>
          </w:r>
          <w:r>
            <w:fldChar w:fldCharType="end"/>
          </w:r>
          <w:r>
            <w:fldChar w:fldCharType="end"/>
          </w:r>
        </w:p>
        <w:p w14:paraId="57F2A5F3">
          <w:pPr>
            <w:pStyle w:val="10"/>
            <w:tabs>
              <w:tab w:val="right" w:leader="dot" w:pos="8306"/>
            </w:tabs>
          </w:pPr>
          <w:r>
            <w:fldChar w:fldCharType="begin"/>
          </w:r>
          <w:r>
            <w:instrText xml:space="preserve"> HYPERLINK \l _Toc16807 </w:instrText>
          </w:r>
          <w:r>
            <w:fldChar w:fldCharType="separate"/>
          </w:r>
          <w:r>
            <w:rPr>
              <w:rFonts w:hint="eastAsia"/>
            </w:rPr>
            <w:t xml:space="preserve">4.6 </w:t>
          </w:r>
          <w:r>
            <w:t>管理人内部有关本基金的监察稽核工作情况</w:t>
          </w:r>
          <w:r>
            <w:tab/>
          </w:r>
          <w:r>
            <w:fldChar w:fldCharType="begin"/>
          </w:r>
          <w:r>
            <w:instrText xml:space="preserve"> PAGEREF _Toc16807 \h </w:instrText>
          </w:r>
          <w:r>
            <w:fldChar w:fldCharType="separate"/>
          </w:r>
          <w:r>
            <w:t>14</w:t>
          </w:r>
          <w:r>
            <w:fldChar w:fldCharType="end"/>
          </w:r>
          <w:r>
            <w:fldChar w:fldCharType="end"/>
          </w:r>
        </w:p>
        <w:p w14:paraId="5B2B635C">
          <w:pPr>
            <w:pStyle w:val="10"/>
            <w:tabs>
              <w:tab w:val="right" w:leader="dot" w:pos="8306"/>
            </w:tabs>
          </w:pPr>
          <w:r>
            <w:fldChar w:fldCharType="begin"/>
          </w:r>
          <w:r>
            <w:instrText xml:space="preserve"> HYPERLINK \l _Toc17357 </w:instrText>
          </w:r>
          <w:r>
            <w:fldChar w:fldCharType="separate"/>
          </w:r>
          <w:r>
            <w:rPr>
              <w:rFonts w:hint="eastAsia"/>
            </w:rPr>
            <w:t xml:space="preserve">4.7 </w:t>
          </w:r>
          <w:r>
            <w:t>管理人对报告期内基金估值程序等事项的说明</w:t>
          </w:r>
          <w:r>
            <w:tab/>
          </w:r>
          <w:r>
            <w:fldChar w:fldCharType="begin"/>
          </w:r>
          <w:r>
            <w:instrText xml:space="preserve"> PAGEREF _Toc17357 \h </w:instrText>
          </w:r>
          <w:r>
            <w:fldChar w:fldCharType="separate"/>
          </w:r>
          <w:r>
            <w:t>15</w:t>
          </w:r>
          <w:r>
            <w:fldChar w:fldCharType="end"/>
          </w:r>
          <w:r>
            <w:fldChar w:fldCharType="end"/>
          </w:r>
        </w:p>
        <w:p w14:paraId="01B7125D">
          <w:pPr>
            <w:pStyle w:val="10"/>
            <w:tabs>
              <w:tab w:val="right" w:leader="dot" w:pos="8306"/>
            </w:tabs>
          </w:pPr>
          <w:r>
            <w:fldChar w:fldCharType="begin"/>
          </w:r>
          <w:r>
            <w:instrText xml:space="preserve"> HYPERLINK \l _Toc26020 </w:instrText>
          </w:r>
          <w:r>
            <w:fldChar w:fldCharType="separate"/>
          </w:r>
          <w:r>
            <w:rPr>
              <w:rFonts w:hint="eastAsia"/>
            </w:rPr>
            <w:t xml:space="preserve">4.8 </w:t>
          </w:r>
          <w:r>
            <w:t>管理人对报告期内基金利润分配情况的说明</w:t>
          </w:r>
          <w:r>
            <w:tab/>
          </w:r>
          <w:r>
            <w:fldChar w:fldCharType="begin"/>
          </w:r>
          <w:r>
            <w:instrText xml:space="preserve"> PAGEREF _Toc26020 \h </w:instrText>
          </w:r>
          <w:r>
            <w:fldChar w:fldCharType="separate"/>
          </w:r>
          <w:r>
            <w:t>16</w:t>
          </w:r>
          <w:r>
            <w:fldChar w:fldCharType="end"/>
          </w:r>
          <w:r>
            <w:fldChar w:fldCharType="end"/>
          </w:r>
        </w:p>
        <w:p w14:paraId="083A8E22">
          <w:pPr>
            <w:pStyle w:val="10"/>
            <w:tabs>
              <w:tab w:val="right" w:leader="dot" w:pos="8306"/>
            </w:tabs>
          </w:pPr>
          <w:r>
            <w:fldChar w:fldCharType="begin"/>
          </w:r>
          <w:r>
            <w:instrText xml:space="preserve"> HYPERLINK \l _Toc1405 </w:instrText>
          </w:r>
          <w:r>
            <w:fldChar w:fldCharType="separate"/>
          </w:r>
          <w:r>
            <w:rPr>
              <w:rFonts w:hint="eastAsia"/>
            </w:rPr>
            <w:t xml:space="preserve">4.9 </w:t>
          </w:r>
          <w:r>
            <w:t>报告期内基金持有人数或基金资产净值预警说明</w:t>
          </w:r>
          <w:r>
            <w:tab/>
          </w:r>
          <w:r>
            <w:fldChar w:fldCharType="begin"/>
          </w:r>
          <w:r>
            <w:instrText xml:space="preserve"> PAGEREF _Toc1405 \h </w:instrText>
          </w:r>
          <w:r>
            <w:fldChar w:fldCharType="separate"/>
          </w:r>
          <w:r>
            <w:t>16</w:t>
          </w:r>
          <w:r>
            <w:fldChar w:fldCharType="end"/>
          </w:r>
          <w:r>
            <w:fldChar w:fldCharType="end"/>
          </w:r>
        </w:p>
        <w:p w14:paraId="333DC39B">
          <w:pPr>
            <w:pStyle w:val="8"/>
            <w:tabs>
              <w:tab w:val="right" w:leader="dot" w:pos="8306"/>
            </w:tabs>
          </w:pPr>
          <w:r>
            <w:fldChar w:fldCharType="begin"/>
          </w:r>
          <w:r>
            <w:instrText xml:space="preserve"> HYPERLINK \l _Toc14128 </w:instrText>
          </w:r>
          <w:r>
            <w:fldChar w:fldCharType="separate"/>
          </w:r>
          <w:r>
            <w:rPr>
              <w:rFonts w:hint="eastAsia"/>
            </w:rPr>
            <w:t xml:space="preserve">§5 </w:t>
          </w:r>
          <w:r>
            <w:t>托管人报告</w:t>
          </w:r>
          <w:r>
            <w:tab/>
          </w:r>
          <w:r>
            <w:fldChar w:fldCharType="begin"/>
          </w:r>
          <w:r>
            <w:instrText xml:space="preserve"> PAGEREF _Toc14128 \h </w:instrText>
          </w:r>
          <w:r>
            <w:fldChar w:fldCharType="separate"/>
          </w:r>
          <w:r>
            <w:t>16</w:t>
          </w:r>
          <w:r>
            <w:fldChar w:fldCharType="end"/>
          </w:r>
          <w:r>
            <w:fldChar w:fldCharType="end"/>
          </w:r>
        </w:p>
        <w:p w14:paraId="36E3B70A">
          <w:pPr>
            <w:pStyle w:val="10"/>
            <w:tabs>
              <w:tab w:val="right" w:leader="dot" w:pos="8306"/>
            </w:tabs>
          </w:pPr>
          <w:r>
            <w:fldChar w:fldCharType="begin"/>
          </w:r>
          <w:r>
            <w:instrText xml:space="preserve"> HYPERLINK \l _Toc23573 </w:instrText>
          </w:r>
          <w:r>
            <w:fldChar w:fldCharType="separate"/>
          </w:r>
          <w:r>
            <w:rPr>
              <w:rFonts w:hint="eastAsia"/>
            </w:rPr>
            <w:t xml:space="preserve">5.1 </w:t>
          </w:r>
          <w:r>
            <w:t>报告期内本基金托管人遵规守信情况声明</w:t>
          </w:r>
          <w:r>
            <w:tab/>
          </w:r>
          <w:r>
            <w:fldChar w:fldCharType="begin"/>
          </w:r>
          <w:r>
            <w:instrText xml:space="preserve"> PAGEREF _Toc23573 \h </w:instrText>
          </w:r>
          <w:r>
            <w:fldChar w:fldCharType="separate"/>
          </w:r>
          <w:r>
            <w:t>16</w:t>
          </w:r>
          <w:r>
            <w:fldChar w:fldCharType="end"/>
          </w:r>
          <w:r>
            <w:fldChar w:fldCharType="end"/>
          </w:r>
        </w:p>
        <w:p w14:paraId="04C47074">
          <w:pPr>
            <w:pStyle w:val="10"/>
            <w:tabs>
              <w:tab w:val="right" w:leader="dot" w:pos="8306"/>
            </w:tabs>
          </w:pPr>
          <w:r>
            <w:fldChar w:fldCharType="begin"/>
          </w:r>
          <w:r>
            <w:instrText xml:space="preserve"> HYPERLINK \l _Toc853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_Toc853 \h </w:instrText>
          </w:r>
          <w:r>
            <w:fldChar w:fldCharType="separate"/>
          </w:r>
          <w:r>
            <w:t>16</w:t>
          </w:r>
          <w:r>
            <w:fldChar w:fldCharType="end"/>
          </w:r>
          <w:r>
            <w:fldChar w:fldCharType="end"/>
          </w:r>
        </w:p>
        <w:p w14:paraId="623F91FB">
          <w:pPr>
            <w:pStyle w:val="10"/>
            <w:tabs>
              <w:tab w:val="right" w:leader="dot" w:pos="8306"/>
            </w:tabs>
          </w:pPr>
          <w:r>
            <w:fldChar w:fldCharType="begin"/>
          </w:r>
          <w:r>
            <w:instrText xml:space="preserve"> HYPERLINK \l _Toc16376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_Toc16376 \h </w:instrText>
          </w:r>
          <w:r>
            <w:fldChar w:fldCharType="separate"/>
          </w:r>
          <w:r>
            <w:t>16</w:t>
          </w:r>
          <w:r>
            <w:fldChar w:fldCharType="end"/>
          </w:r>
          <w:r>
            <w:fldChar w:fldCharType="end"/>
          </w:r>
        </w:p>
        <w:p w14:paraId="270B3AF8">
          <w:pPr>
            <w:pStyle w:val="8"/>
            <w:tabs>
              <w:tab w:val="right" w:leader="dot" w:pos="8306"/>
            </w:tabs>
          </w:pPr>
          <w:r>
            <w:fldChar w:fldCharType="begin"/>
          </w:r>
          <w:r>
            <w:instrText xml:space="preserve"> HYPERLINK \l _Toc22104 </w:instrText>
          </w:r>
          <w:r>
            <w:fldChar w:fldCharType="separate"/>
          </w:r>
          <w:r>
            <w:rPr>
              <w:rFonts w:hint="eastAsia"/>
            </w:rPr>
            <w:t xml:space="preserve">§6 </w:t>
          </w:r>
          <w:r>
            <w:t>审计报告</w:t>
          </w:r>
          <w:r>
            <w:tab/>
          </w:r>
          <w:r>
            <w:fldChar w:fldCharType="begin"/>
          </w:r>
          <w:r>
            <w:instrText xml:space="preserve"> PAGEREF _Toc22104 \h </w:instrText>
          </w:r>
          <w:r>
            <w:fldChar w:fldCharType="separate"/>
          </w:r>
          <w:r>
            <w:t>16</w:t>
          </w:r>
          <w:r>
            <w:fldChar w:fldCharType="end"/>
          </w:r>
          <w:r>
            <w:fldChar w:fldCharType="end"/>
          </w:r>
        </w:p>
        <w:p w14:paraId="0053EA4C">
          <w:pPr>
            <w:pStyle w:val="10"/>
            <w:tabs>
              <w:tab w:val="right" w:leader="dot" w:pos="8306"/>
            </w:tabs>
          </w:pPr>
          <w:r>
            <w:fldChar w:fldCharType="begin"/>
          </w:r>
          <w:r>
            <w:instrText xml:space="preserve"> HYPERLINK \l _Toc17420 </w:instrText>
          </w:r>
          <w:r>
            <w:fldChar w:fldCharType="separate"/>
          </w:r>
          <w:r>
            <w:rPr>
              <w:rFonts w:hint="eastAsia"/>
            </w:rPr>
            <w:t xml:space="preserve">6.1 </w:t>
          </w:r>
          <w:r>
            <w:t>审计报告基本信息</w:t>
          </w:r>
          <w:r>
            <w:tab/>
          </w:r>
          <w:r>
            <w:fldChar w:fldCharType="begin"/>
          </w:r>
          <w:r>
            <w:instrText xml:space="preserve"> PAGEREF _Toc17420 \h </w:instrText>
          </w:r>
          <w:r>
            <w:fldChar w:fldCharType="separate"/>
          </w:r>
          <w:r>
            <w:t>17</w:t>
          </w:r>
          <w:r>
            <w:fldChar w:fldCharType="end"/>
          </w:r>
          <w:r>
            <w:fldChar w:fldCharType="end"/>
          </w:r>
        </w:p>
        <w:p w14:paraId="346FBB37">
          <w:pPr>
            <w:pStyle w:val="10"/>
            <w:tabs>
              <w:tab w:val="right" w:leader="dot" w:pos="8306"/>
            </w:tabs>
          </w:pPr>
          <w:r>
            <w:fldChar w:fldCharType="begin"/>
          </w:r>
          <w:r>
            <w:instrText xml:space="preserve"> HYPERLINK \l _Toc26472 </w:instrText>
          </w:r>
          <w:r>
            <w:fldChar w:fldCharType="separate"/>
          </w:r>
          <w:r>
            <w:rPr>
              <w:rFonts w:hint="eastAsia"/>
            </w:rPr>
            <w:t xml:space="preserve">6.2 </w:t>
          </w:r>
          <w:r>
            <w:t>审计报告的基本内容</w:t>
          </w:r>
          <w:r>
            <w:tab/>
          </w:r>
          <w:r>
            <w:fldChar w:fldCharType="begin"/>
          </w:r>
          <w:r>
            <w:instrText xml:space="preserve"> PAGEREF _Toc26472 \h </w:instrText>
          </w:r>
          <w:r>
            <w:fldChar w:fldCharType="separate"/>
          </w:r>
          <w:r>
            <w:t>17</w:t>
          </w:r>
          <w:r>
            <w:fldChar w:fldCharType="end"/>
          </w:r>
          <w:r>
            <w:fldChar w:fldCharType="end"/>
          </w:r>
        </w:p>
        <w:p w14:paraId="086B90E9">
          <w:pPr>
            <w:pStyle w:val="8"/>
            <w:tabs>
              <w:tab w:val="right" w:leader="dot" w:pos="8306"/>
            </w:tabs>
          </w:pPr>
          <w:r>
            <w:fldChar w:fldCharType="begin"/>
          </w:r>
          <w:r>
            <w:instrText xml:space="preserve"> HYPERLINK \l _Toc31519 </w:instrText>
          </w:r>
          <w:r>
            <w:fldChar w:fldCharType="separate"/>
          </w:r>
          <w:r>
            <w:rPr>
              <w:rFonts w:hint="eastAsia"/>
            </w:rPr>
            <w:t xml:space="preserve">§7 </w:t>
          </w:r>
          <w:r>
            <w:t>年度财务报表</w:t>
          </w:r>
          <w:r>
            <w:tab/>
          </w:r>
          <w:r>
            <w:fldChar w:fldCharType="begin"/>
          </w:r>
          <w:r>
            <w:instrText xml:space="preserve"> PAGEREF _Toc31519 \h </w:instrText>
          </w:r>
          <w:r>
            <w:fldChar w:fldCharType="separate"/>
          </w:r>
          <w:r>
            <w:t>19</w:t>
          </w:r>
          <w:r>
            <w:fldChar w:fldCharType="end"/>
          </w:r>
          <w:r>
            <w:fldChar w:fldCharType="end"/>
          </w:r>
        </w:p>
        <w:p w14:paraId="459E67B8">
          <w:pPr>
            <w:pStyle w:val="10"/>
            <w:tabs>
              <w:tab w:val="right" w:leader="dot" w:pos="8306"/>
            </w:tabs>
          </w:pPr>
          <w:r>
            <w:fldChar w:fldCharType="begin"/>
          </w:r>
          <w:r>
            <w:instrText xml:space="preserve"> HYPERLINK \l _Toc15625 </w:instrText>
          </w:r>
          <w:r>
            <w:fldChar w:fldCharType="separate"/>
          </w:r>
          <w:r>
            <w:rPr>
              <w:rFonts w:hint="eastAsia"/>
            </w:rPr>
            <w:t xml:space="preserve">7.1 </w:t>
          </w:r>
          <w:r>
            <w:t>资产负债表</w:t>
          </w:r>
          <w:r>
            <w:tab/>
          </w:r>
          <w:r>
            <w:fldChar w:fldCharType="begin"/>
          </w:r>
          <w:r>
            <w:instrText xml:space="preserve"> PAGEREF _Toc15625 \h </w:instrText>
          </w:r>
          <w:r>
            <w:fldChar w:fldCharType="separate"/>
          </w:r>
          <w:r>
            <w:t>19</w:t>
          </w:r>
          <w:r>
            <w:fldChar w:fldCharType="end"/>
          </w:r>
          <w:r>
            <w:fldChar w:fldCharType="end"/>
          </w:r>
        </w:p>
        <w:p w14:paraId="3D38A16A">
          <w:pPr>
            <w:pStyle w:val="10"/>
            <w:tabs>
              <w:tab w:val="right" w:leader="dot" w:pos="8306"/>
            </w:tabs>
          </w:pPr>
          <w:r>
            <w:fldChar w:fldCharType="begin"/>
          </w:r>
          <w:r>
            <w:instrText xml:space="preserve"> HYPERLINK \l _Toc23757 </w:instrText>
          </w:r>
          <w:r>
            <w:fldChar w:fldCharType="separate"/>
          </w:r>
          <w:r>
            <w:rPr>
              <w:rFonts w:hint="eastAsia"/>
            </w:rPr>
            <w:t xml:space="preserve">7.2 </w:t>
          </w:r>
          <w:r>
            <w:t>利润表</w:t>
          </w:r>
          <w:r>
            <w:tab/>
          </w:r>
          <w:r>
            <w:fldChar w:fldCharType="begin"/>
          </w:r>
          <w:r>
            <w:instrText xml:space="preserve"> PAGEREF _Toc23757 \h </w:instrText>
          </w:r>
          <w:r>
            <w:fldChar w:fldCharType="separate"/>
          </w:r>
          <w:r>
            <w:t>20</w:t>
          </w:r>
          <w:r>
            <w:fldChar w:fldCharType="end"/>
          </w:r>
          <w:r>
            <w:fldChar w:fldCharType="end"/>
          </w:r>
        </w:p>
        <w:p w14:paraId="4BC30E48">
          <w:pPr>
            <w:pStyle w:val="10"/>
            <w:tabs>
              <w:tab w:val="right" w:leader="dot" w:pos="8306"/>
            </w:tabs>
          </w:pPr>
          <w:r>
            <w:fldChar w:fldCharType="begin"/>
          </w:r>
          <w:r>
            <w:instrText xml:space="preserve"> HYPERLINK \l _Toc30442 </w:instrText>
          </w:r>
          <w:r>
            <w:fldChar w:fldCharType="separate"/>
          </w:r>
          <w:r>
            <w:rPr>
              <w:rFonts w:hint="eastAsia"/>
            </w:rPr>
            <w:t xml:space="preserve">7.3 </w:t>
          </w:r>
          <w:r>
            <w:t>净资产变动表</w:t>
          </w:r>
          <w:r>
            <w:tab/>
          </w:r>
          <w:r>
            <w:fldChar w:fldCharType="begin"/>
          </w:r>
          <w:r>
            <w:instrText xml:space="preserve"> PAGEREF _Toc30442 \h </w:instrText>
          </w:r>
          <w:r>
            <w:fldChar w:fldCharType="separate"/>
          </w:r>
          <w:r>
            <w:t>22</w:t>
          </w:r>
          <w:r>
            <w:fldChar w:fldCharType="end"/>
          </w:r>
          <w:r>
            <w:fldChar w:fldCharType="end"/>
          </w:r>
        </w:p>
        <w:p w14:paraId="612B547C">
          <w:pPr>
            <w:pStyle w:val="10"/>
            <w:tabs>
              <w:tab w:val="right" w:leader="dot" w:pos="8306"/>
            </w:tabs>
          </w:pPr>
          <w:r>
            <w:fldChar w:fldCharType="begin"/>
          </w:r>
          <w:r>
            <w:instrText xml:space="preserve"> HYPERLINK \l _Toc32389 </w:instrText>
          </w:r>
          <w:r>
            <w:fldChar w:fldCharType="separate"/>
          </w:r>
          <w:r>
            <w:rPr>
              <w:rFonts w:hint="eastAsia"/>
            </w:rPr>
            <w:t xml:space="preserve">7.4 </w:t>
          </w:r>
          <w:r>
            <w:t>报表附注</w:t>
          </w:r>
          <w:r>
            <w:tab/>
          </w:r>
          <w:r>
            <w:fldChar w:fldCharType="begin"/>
          </w:r>
          <w:r>
            <w:instrText xml:space="preserve"> PAGEREF _Toc32389 \h </w:instrText>
          </w:r>
          <w:r>
            <w:fldChar w:fldCharType="separate"/>
          </w:r>
          <w:r>
            <w:t>23</w:t>
          </w:r>
          <w:r>
            <w:fldChar w:fldCharType="end"/>
          </w:r>
          <w:r>
            <w:fldChar w:fldCharType="end"/>
          </w:r>
        </w:p>
        <w:p w14:paraId="0727B17E">
          <w:pPr>
            <w:pStyle w:val="8"/>
            <w:tabs>
              <w:tab w:val="right" w:leader="dot" w:pos="8306"/>
            </w:tabs>
          </w:pPr>
          <w:r>
            <w:fldChar w:fldCharType="begin"/>
          </w:r>
          <w:r>
            <w:instrText xml:space="preserve"> HYPERLINK \l _Toc24404 </w:instrText>
          </w:r>
          <w:r>
            <w:fldChar w:fldCharType="separate"/>
          </w:r>
          <w:r>
            <w:rPr>
              <w:rFonts w:hint="eastAsia"/>
            </w:rPr>
            <w:t xml:space="preserve">§8 </w:t>
          </w:r>
          <w:r>
            <w:t>投资组合报告</w:t>
          </w:r>
          <w:r>
            <w:tab/>
          </w:r>
          <w:r>
            <w:fldChar w:fldCharType="begin"/>
          </w:r>
          <w:r>
            <w:instrText xml:space="preserve"> PAGEREF _Toc24404 \h </w:instrText>
          </w:r>
          <w:r>
            <w:fldChar w:fldCharType="separate"/>
          </w:r>
          <w:r>
            <w:t>48</w:t>
          </w:r>
          <w:r>
            <w:fldChar w:fldCharType="end"/>
          </w:r>
          <w:r>
            <w:fldChar w:fldCharType="end"/>
          </w:r>
        </w:p>
        <w:p w14:paraId="063B2987">
          <w:pPr>
            <w:pStyle w:val="10"/>
            <w:tabs>
              <w:tab w:val="right" w:leader="dot" w:pos="8306"/>
            </w:tabs>
          </w:pPr>
          <w:r>
            <w:fldChar w:fldCharType="begin"/>
          </w:r>
          <w:r>
            <w:instrText xml:space="preserve"> HYPERLINK \l _Toc10674 </w:instrText>
          </w:r>
          <w:r>
            <w:fldChar w:fldCharType="separate"/>
          </w:r>
          <w:r>
            <w:rPr>
              <w:rFonts w:hint="eastAsia"/>
            </w:rPr>
            <w:t xml:space="preserve">8.1 </w:t>
          </w:r>
          <w:r>
            <w:t>期末基金资产组合情况</w:t>
          </w:r>
          <w:r>
            <w:tab/>
          </w:r>
          <w:r>
            <w:fldChar w:fldCharType="begin"/>
          </w:r>
          <w:r>
            <w:instrText xml:space="preserve"> PAGEREF _Toc10674 \h </w:instrText>
          </w:r>
          <w:r>
            <w:fldChar w:fldCharType="separate"/>
          </w:r>
          <w:r>
            <w:t>48</w:t>
          </w:r>
          <w:r>
            <w:fldChar w:fldCharType="end"/>
          </w:r>
          <w:r>
            <w:fldChar w:fldCharType="end"/>
          </w:r>
        </w:p>
        <w:p w14:paraId="177541A9">
          <w:pPr>
            <w:pStyle w:val="10"/>
            <w:tabs>
              <w:tab w:val="right" w:leader="dot" w:pos="8306"/>
            </w:tabs>
          </w:pPr>
          <w:r>
            <w:fldChar w:fldCharType="begin"/>
          </w:r>
          <w:r>
            <w:instrText xml:space="preserve"> HYPERLINK \l _Toc18722 </w:instrText>
          </w:r>
          <w:r>
            <w:fldChar w:fldCharType="separate"/>
          </w:r>
          <w:r>
            <w:rPr>
              <w:rFonts w:hint="eastAsia"/>
            </w:rPr>
            <w:t xml:space="preserve">8.2 </w:t>
          </w:r>
          <w:r>
            <w:t>报告期末按行业分类的股票投资组合</w:t>
          </w:r>
          <w:r>
            <w:tab/>
          </w:r>
          <w:r>
            <w:fldChar w:fldCharType="begin"/>
          </w:r>
          <w:r>
            <w:instrText xml:space="preserve"> PAGEREF _Toc18722 \h </w:instrText>
          </w:r>
          <w:r>
            <w:fldChar w:fldCharType="separate"/>
          </w:r>
          <w:r>
            <w:t>48</w:t>
          </w:r>
          <w:r>
            <w:fldChar w:fldCharType="end"/>
          </w:r>
          <w:r>
            <w:fldChar w:fldCharType="end"/>
          </w:r>
        </w:p>
        <w:p w14:paraId="22050A76">
          <w:pPr>
            <w:pStyle w:val="10"/>
            <w:tabs>
              <w:tab w:val="right" w:leader="dot" w:pos="8306"/>
            </w:tabs>
          </w:pPr>
          <w:r>
            <w:fldChar w:fldCharType="begin"/>
          </w:r>
          <w:r>
            <w:instrText xml:space="preserve"> HYPERLINK \l _Toc24675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_Toc24675 \h </w:instrText>
          </w:r>
          <w:r>
            <w:fldChar w:fldCharType="separate"/>
          </w:r>
          <w:r>
            <w:t>48</w:t>
          </w:r>
          <w:r>
            <w:fldChar w:fldCharType="end"/>
          </w:r>
          <w:r>
            <w:fldChar w:fldCharType="end"/>
          </w:r>
        </w:p>
        <w:p w14:paraId="1A11E340">
          <w:pPr>
            <w:pStyle w:val="10"/>
            <w:tabs>
              <w:tab w:val="right" w:leader="dot" w:pos="8306"/>
            </w:tabs>
          </w:pPr>
          <w:r>
            <w:fldChar w:fldCharType="begin"/>
          </w:r>
          <w:r>
            <w:instrText xml:space="preserve"> HYPERLINK \l _Toc9825 </w:instrText>
          </w:r>
          <w:r>
            <w:fldChar w:fldCharType="separate"/>
          </w:r>
          <w:r>
            <w:rPr>
              <w:rFonts w:hint="eastAsia"/>
            </w:rPr>
            <w:t xml:space="preserve">8.4 </w:t>
          </w:r>
          <w:r>
            <w:t>报告期内股票投资组合的重大变动</w:t>
          </w:r>
          <w:r>
            <w:tab/>
          </w:r>
          <w:r>
            <w:fldChar w:fldCharType="begin"/>
          </w:r>
          <w:r>
            <w:instrText xml:space="preserve"> PAGEREF _Toc9825 \h </w:instrText>
          </w:r>
          <w:r>
            <w:fldChar w:fldCharType="separate"/>
          </w:r>
          <w:r>
            <w:t>48</w:t>
          </w:r>
          <w:r>
            <w:fldChar w:fldCharType="end"/>
          </w:r>
          <w:r>
            <w:fldChar w:fldCharType="end"/>
          </w:r>
        </w:p>
        <w:p w14:paraId="6DDA85DB">
          <w:pPr>
            <w:pStyle w:val="10"/>
            <w:tabs>
              <w:tab w:val="right" w:leader="dot" w:pos="8306"/>
            </w:tabs>
          </w:pPr>
          <w:r>
            <w:fldChar w:fldCharType="begin"/>
          </w:r>
          <w:r>
            <w:instrText xml:space="preserve"> HYPERLINK \l _Toc11225 </w:instrText>
          </w:r>
          <w:r>
            <w:fldChar w:fldCharType="separate"/>
          </w:r>
          <w:r>
            <w:rPr>
              <w:rFonts w:hint="eastAsia"/>
            </w:rPr>
            <w:t xml:space="preserve">8.5 </w:t>
          </w:r>
          <w:r>
            <w:t>期末按债券品种分类的债券投资组合</w:t>
          </w:r>
          <w:r>
            <w:tab/>
          </w:r>
          <w:r>
            <w:fldChar w:fldCharType="begin"/>
          </w:r>
          <w:r>
            <w:instrText xml:space="preserve"> PAGEREF _Toc11225 \h </w:instrText>
          </w:r>
          <w:r>
            <w:fldChar w:fldCharType="separate"/>
          </w:r>
          <w:r>
            <w:t>49</w:t>
          </w:r>
          <w:r>
            <w:fldChar w:fldCharType="end"/>
          </w:r>
          <w:r>
            <w:fldChar w:fldCharType="end"/>
          </w:r>
        </w:p>
        <w:p w14:paraId="4492FD62">
          <w:pPr>
            <w:pStyle w:val="10"/>
            <w:tabs>
              <w:tab w:val="right" w:leader="dot" w:pos="8306"/>
            </w:tabs>
          </w:pPr>
          <w:r>
            <w:fldChar w:fldCharType="begin"/>
          </w:r>
          <w:r>
            <w:instrText xml:space="preserve"> HYPERLINK \l _Toc25863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_Toc25863 \h </w:instrText>
          </w:r>
          <w:r>
            <w:fldChar w:fldCharType="separate"/>
          </w:r>
          <w:r>
            <w:t>50</w:t>
          </w:r>
          <w:r>
            <w:fldChar w:fldCharType="end"/>
          </w:r>
          <w:r>
            <w:fldChar w:fldCharType="end"/>
          </w:r>
        </w:p>
        <w:p w14:paraId="02C790FC">
          <w:pPr>
            <w:pStyle w:val="10"/>
            <w:tabs>
              <w:tab w:val="right" w:leader="dot" w:pos="8306"/>
            </w:tabs>
          </w:pPr>
          <w:r>
            <w:fldChar w:fldCharType="begin"/>
          </w:r>
          <w:r>
            <w:instrText xml:space="preserve"> HYPERLINK \l _Toc11497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_Toc11497 \h </w:instrText>
          </w:r>
          <w:r>
            <w:fldChar w:fldCharType="separate"/>
          </w:r>
          <w:r>
            <w:t>50</w:t>
          </w:r>
          <w:r>
            <w:fldChar w:fldCharType="end"/>
          </w:r>
          <w:r>
            <w:fldChar w:fldCharType="end"/>
          </w:r>
        </w:p>
        <w:p w14:paraId="1245CC2E">
          <w:pPr>
            <w:pStyle w:val="10"/>
            <w:tabs>
              <w:tab w:val="right" w:leader="dot" w:pos="8306"/>
            </w:tabs>
          </w:pPr>
          <w:r>
            <w:fldChar w:fldCharType="begin"/>
          </w:r>
          <w:r>
            <w:instrText xml:space="preserve"> HYPERLINK \l _Toc19052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_Toc19052 \h </w:instrText>
          </w:r>
          <w:r>
            <w:fldChar w:fldCharType="separate"/>
          </w:r>
          <w:r>
            <w:t>50</w:t>
          </w:r>
          <w:r>
            <w:fldChar w:fldCharType="end"/>
          </w:r>
          <w:r>
            <w:fldChar w:fldCharType="end"/>
          </w:r>
        </w:p>
        <w:p w14:paraId="13BA0764">
          <w:pPr>
            <w:pStyle w:val="10"/>
            <w:tabs>
              <w:tab w:val="right" w:leader="dot" w:pos="8306"/>
            </w:tabs>
          </w:pPr>
          <w:r>
            <w:fldChar w:fldCharType="begin"/>
          </w:r>
          <w:r>
            <w:instrText xml:space="preserve"> HYPERLINK \l _Toc25626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_Toc25626 \h </w:instrText>
          </w:r>
          <w:r>
            <w:fldChar w:fldCharType="separate"/>
          </w:r>
          <w:r>
            <w:t>50</w:t>
          </w:r>
          <w:r>
            <w:fldChar w:fldCharType="end"/>
          </w:r>
          <w:r>
            <w:fldChar w:fldCharType="end"/>
          </w:r>
        </w:p>
        <w:p w14:paraId="12B2ECDD">
          <w:pPr>
            <w:pStyle w:val="10"/>
            <w:tabs>
              <w:tab w:val="right" w:leader="dot" w:pos="8306"/>
            </w:tabs>
          </w:pPr>
          <w:r>
            <w:fldChar w:fldCharType="begin"/>
          </w:r>
          <w:r>
            <w:instrText xml:space="preserve"> HYPERLINK \l _Toc2911 </w:instrText>
          </w:r>
          <w:r>
            <w:fldChar w:fldCharType="separate"/>
          </w:r>
          <w:r>
            <w:rPr>
              <w:rFonts w:hint="eastAsia"/>
            </w:rPr>
            <w:t xml:space="preserve">8.10 </w:t>
          </w:r>
          <w:r>
            <w:t>报告期末本基金投资的国债期货交易情况说明</w:t>
          </w:r>
          <w:r>
            <w:tab/>
          </w:r>
          <w:r>
            <w:fldChar w:fldCharType="begin"/>
          </w:r>
          <w:r>
            <w:instrText xml:space="preserve"> PAGEREF _Toc2911 \h </w:instrText>
          </w:r>
          <w:r>
            <w:fldChar w:fldCharType="separate"/>
          </w:r>
          <w:r>
            <w:t>50</w:t>
          </w:r>
          <w:r>
            <w:fldChar w:fldCharType="end"/>
          </w:r>
          <w:r>
            <w:fldChar w:fldCharType="end"/>
          </w:r>
        </w:p>
        <w:p w14:paraId="44D6096D">
          <w:pPr>
            <w:pStyle w:val="10"/>
            <w:tabs>
              <w:tab w:val="right" w:leader="dot" w:pos="8306"/>
            </w:tabs>
          </w:pPr>
          <w:r>
            <w:fldChar w:fldCharType="begin"/>
          </w:r>
          <w:r>
            <w:instrText xml:space="preserve"> HYPERLINK \l _Toc6102 </w:instrText>
          </w:r>
          <w:r>
            <w:fldChar w:fldCharType="separate"/>
          </w:r>
          <w:r>
            <w:rPr>
              <w:rFonts w:hint="eastAsia"/>
            </w:rPr>
            <w:t xml:space="preserve">8.11 </w:t>
          </w:r>
          <w:r>
            <w:t>本报告期投资基金情况</w:t>
          </w:r>
          <w:r>
            <w:tab/>
          </w:r>
          <w:r>
            <w:fldChar w:fldCharType="begin"/>
          </w:r>
          <w:r>
            <w:instrText xml:space="preserve"> PAGEREF _Toc6102 \h </w:instrText>
          </w:r>
          <w:r>
            <w:fldChar w:fldCharType="separate"/>
          </w:r>
          <w:r>
            <w:t>50</w:t>
          </w:r>
          <w:r>
            <w:fldChar w:fldCharType="end"/>
          </w:r>
          <w:r>
            <w:fldChar w:fldCharType="end"/>
          </w:r>
        </w:p>
        <w:p w14:paraId="38CFD500">
          <w:pPr>
            <w:pStyle w:val="10"/>
            <w:tabs>
              <w:tab w:val="right" w:leader="dot" w:pos="8306"/>
            </w:tabs>
          </w:pPr>
          <w:r>
            <w:fldChar w:fldCharType="begin"/>
          </w:r>
          <w:r>
            <w:instrText xml:space="preserve"> HYPERLINK \l _Toc3598 </w:instrText>
          </w:r>
          <w:r>
            <w:fldChar w:fldCharType="separate"/>
          </w:r>
          <w:r>
            <w:rPr>
              <w:rFonts w:hint="eastAsia"/>
            </w:rPr>
            <w:t xml:space="preserve">8.12 </w:t>
          </w:r>
          <w:r>
            <w:t>投资组合报告附注</w:t>
          </w:r>
          <w:r>
            <w:tab/>
          </w:r>
          <w:r>
            <w:fldChar w:fldCharType="begin"/>
          </w:r>
          <w:r>
            <w:instrText xml:space="preserve"> PAGEREF _Toc3598 \h </w:instrText>
          </w:r>
          <w:r>
            <w:fldChar w:fldCharType="separate"/>
          </w:r>
          <w:r>
            <w:t>51</w:t>
          </w:r>
          <w:r>
            <w:fldChar w:fldCharType="end"/>
          </w:r>
          <w:r>
            <w:fldChar w:fldCharType="end"/>
          </w:r>
        </w:p>
        <w:p w14:paraId="51FD4DFF">
          <w:pPr>
            <w:pStyle w:val="8"/>
            <w:tabs>
              <w:tab w:val="right" w:leader="dot" w:pos="8306"/>
            </w:tabs>
          </w:pPr>
          <w:r>
            <w:fldChar w:fldCharType="begin"/>
          </w:r>
          <w:r>
            <w:instrText xml:space="preserve"> HYPERLINK \l _Toc12604 </w:instrText>
          </w:r>
          <w:r>
            <w:fldChar w:fldCharType="separate"/>
          </w:r>
          <w:r>
            <w:rPr>
              <w:rFonts w:hint="eastAsia"/>
            </w:rPr>
            <w:t xml:space="preserve">§9 </w:t>
          </w:r>
          <w:r>
            <w:t>基金份额持有人信息</w:t>
          </w:r>
          <w:r>
            <w:tab/>
          </w:r>
          <w:r>
            <w:fldChar w:fldCharType="begin"/>
          </w:r>
          <w:r>
            <w:instrText xml:space="preserve"> PAGEREF _Toc12604 \h </w:instrText>
          </w:r>
          <w:r>
            <w:fldChar w:fldCharType="separate"/>
          </w:r>
          <w:r>
            <w:t>52</w:t>
          </w:r>
          <w:r>
            <w:fldChar w:fldCharType="end"/>
          </w:r>
          <w:r>
            <w:fldChar w:fldCharType="end"/>
          </w:r>
        </w:p>
        <w:p w14:paraId="338D9E30">
          <w:pPr>
            <w:pStyle w:val="10"/>
            <w:tabs>
              <w:tab w:val="right" w:leader="dot" w:pos="8306"/>
            </w:tabs>
          </w:pPr>
          <w:r>
            <w:fldChar w:fldCharType="begin"/>
          </w:r>
          <w:r>
            <w:instrText xml:space="preserve"> HYPERLINK \l _Toc27684 </w:instrText>
          </w:r>
          <w:r>
            <w:fldChar w:fldCharType="separate"/>
          </w:r>
          <w:r>
            <w:rPr>
              <w:rFonts w:hint="eastAsia"/>
            </w:rPr>
            <w:t xml:space="preserve">9.1 </w:t>
          </w:r>
          <w:r>
            <w:t>期末基金份额持有人户数及持有人结构</w:t>
          </w:r>
          <w:r>
            <w:tab/>
          </w:r>
          <w:r>
            <w:fldChar w:fldCharType="begin"/>
          </w:r>
          <w:r>
            <w:instrText xml:space="preserve"> PAGEREF _Toc27684 \h </w:instrText>
          </w:r>
          <w:r>
            <w:fldChar w:fldCharType="separate"/>
          </w:r>
          <w:r>
            <w:t>52</w:t>
          </w:r>
          <w:r>
            <w:fldChar w:fldCharType="end"/>
          </w:r>
          <w:r>
            <w:fldChar w:fldCharType="end"/>
          </w:r>
        </w:p>
        <w:p w14:paraId="79B64491">
          <w:pPr>
            <w:pStyle w:val="10"/>
            <w:tabs>
              <w:tab w:val="right" w:leader="dot" w:pos="8306"/>
            </w:tabs>
          </w:pPr>
          <w:r>
            <w:fldChar w:fldCharType="begin"/>
          </w:r>
          <w:r>
            <w:instrText xml:space="preserve"> HYPERLINK \l _Toc27719 </w:instrText>
          </w:r>
          <w:r>
            <w:fldChar w:fldCharType="separate"/>
          </w:r>
          <w:r>
            <w:rPr>
              <w:rFonts w:hint="eastAsia"/>
            </w:rPr>
            <w:t xml:space="preserve">9.2 </w:t>
          </w:r>
          <w:r>
            <w:t>期末基金管理人的从业人员持有本基金的情况</w:t>
          </w:r>
          <w:r>
            <w:tab/>
          </w:r>
          <w:r>
            <w:fldChar w:fldCharType="begin"/>
          </w:r>
          <w:r>
            <w:instrText xml:space="preserve"> PAGEREF _Toc27719 \h </w:instrText>
          </w:r>
          <w:r>
            <w:fldChar w:fldCharType="separate"/>
          </w:r>
          <w:r>
            <w:t>52</w:t>
          </w:r>
          <w:r>
            <w:fldChar w:fldCharType="end"/>
          </w:r>
          <w:r>
            <w:fldChar w:fldCharType="end"/>
          </w:r>
        </w:p>
        <w:p w14:paraId="503DC1ED">
          <w:pPr>
            <w:pStyle w:val="10"/>
            <w:tabs>
              <w:tab w:val="right" w:leader="dot" w:pos="8306"/>
            </w:tabs>
          </w:pPr>
          <w:r>
            <w:fldChar w:fldCharType="begin"/>
          </w:r>
          <w:r>
            <w:instrText xml:space="preserve"> HYPERLINK \l _Toc16062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_Toc16062 \h </w:instrText>
          </w:r>
          <w:r>
            <w:fldChar w:fldCharType="separate"/>
          </w:r>
          <w:r>
            <w:t>52</w:t>
          </w:r>
          <w:r>
            <w:fldChar w:fldCharType="end"/>
          </w:r>
          <w:r>
            <w:fldChar w:fldCharType="end"/>
          </w:r>
        </w:p>
        <w:p w14:paraId="23AEE1C8">
          <w:pPr>
            <w:pStyle w:val="8"/>
            <w:tabs>
              <w:tab w:val="right" w:leader="dot" w:pos="8306"/>
            </w:tabs>
          </w:pPr>
          <w:r>
            <w:fldChar w:fldCharType="begin"/>
          </w:r>
          <w:r>
            <w:instrText xml:space="preserve"> HYPERLINK \l _Toc24168 </w:instrText>
          </w:r>
          <w:r>
            <w:fldChar w:fldCharType="separate"/>
          </w:r>
          <w:r>
            <w:rPr>
              <w:rFonts w:hint="eastAsia"/>
            </w:rPr>
            <w:t xml:space="preserve">§10 </w:t>
          </w:r>
          <w:r>
            <w:t>开放式基金份额变动</w:t>
          </w:r>
          <w:r>
            <w:tab/>
          </w:r>
          <w:r>
            <w:fldChar w:fldCharType="begin"/>
          </w:r>
          <w:r>
            <w:instrText xml:space="preserve"> PAGEREF _Toc24168 \h </w:instrText>
          </w:r>
          <w:r>
            <w:fldChar w:fldCharType="separate"/>
          </w:r>
          <w:r>
            <w:t>53</w:t>
          </w:r>
          <w:r>
            <w:fldChar w:fldCharType="end"/>
          </w:r>
          <w:r>
            <w:fldChar w:fldCharType="end"/>
          </w:r>
        </w:p>
        <w:p w14:paraId="732D1E64">
          <w:pPr>
            <w:pStyle w:val="8"/>
            <w:tabs>
              <w:tab w:val="right" w:leader="dot" w:pos="8306"/>
            </w:tabs>
          </w:pPr>
          <w:r>
            <w:fldChar w:fldCharType="begin"/>
          </w:r>
          <w:r>
            <w:instrText xml:space="preserve"> HYPERLINK \l _Toc19243 </w:instrText>
          </w:r>
          <w:r>
            <w:fldChar w:fldCharType="separate"/>
          </w:r>
          <w:r>
            <w:rPr>
              <w:rFonts w:hint="eastAsia"/>
            </w:rPr>
            <w:t xml:space="preserve">§11 </w:t>
          </w:r>
          <w:r>
            <w:t>重大事件揭示</w:t>
          </w:r>
          <w:r>
            <w:tab/>
          </w:r>
          <w:r>
            <w:fldChar w:fldCharType="begin"/>
          </w:r>
          <w:r>
            <w:instrText xml:space="preserve"> PAGEREF _Toc19243 \h </w:instrText>
          </w:r>
          <w:r>
            <w:fldChar w:fldCharType="separate"/>
          </w:r>
          <w:r>
            <w:t>53</w:t>
          </w:r>
          <w:r>
            <w:fldChar w:fldCharType="end"/>
          </w:r>
          <w:r>
            <w:fldChar w:fldCharType="end"/>
          </w:r>
        </w:p>
        <w:p w14:paraId="78E87D93">
          <w:pPr>
            <w:pStyle w:val="10"/>
            <w:tabs>
              <w:tab w:val="right" w:leader="dot" w:pos="8306"/>
            </w:tabs>
          </w:pPr>
          <w:r>
            <w:fldChar w:fldCharType="begin"/>
          </w:r>
          <w:r>
            <w:instrText xml:space="preserve"> HYPERLINK \l _Toc11980 </w:instrText>
          </w:r>
          <w:r>
            <w:fldChar w:fldCharType="separate"/>
          </w:r>
          <w:r>
            <w:rPr>
              <w:rFonts w:hint="eastAsia"/>
            </w:rPr>
            <w:t xml:space="preserve">11.1 </w:t>
          </w:r>
          <w:r>
            <w:t>基金份额持有人大会决议</w:t>
          </w:r>
          <w:r>
            <w:tab/>
          </w:r>
          <w:r>
            <w:fldChar w:fldCharType="begin"/>
          </w:r>
          <w:r>
            <w:instrText xml:space="preserve"> PAGEREF _Toc11980 \h </w:instrText>
          </w:r>
          <w:r>
            <w:fldChar w:fldCharType="separate"/>
          </w:r>
          <w:r>
            <w:t>53</w:t>
          </w:r>
          <w:r>
            <w:fldChar w:fldCharType="end"/>
          </w:r>
          <w:r>
            <w:fldChar w:fldCharType="end"/>
          </w:r>
        </w:p>
        <w:p w14:paraId="1CBDBB56">
          <w:pPr>
            <w:pStyle w:val="10"/>
            <w:tabs>
              <w:tab w:val="right" w:leader="dot" w:pos="8306"/>
            </w:tabs>
          </w:pPr>
          <w:r>
            <w:fldChar w:fldCharType="begin"/>
          </w:r>
          <w:r>
            <w:instrText xml:space="preserve"> HYPERLINK \l _Toc7831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_Toc7831 \h </w:instrText>
          </w:r>
          <w:r>
            <w:fldChar w:fldCharType="separate"/>
          </w:r>
          <w:r>
            <w:t>53</w:t>
          </w:r>
          <w:r>
            <w:fldChar w:fldCharType="end"/>
          </w:r>
          <w:r>
            <w:fldChar w:fldCharType="end"/>
          </w:r>
        </w:p>
        <w:p w14:paraId="020A0BF4">
          <w:pPr>
            <w:pStyle w:val="10"/>
            <w:tabs>
              <w:tab w:val="right" w:leader="dot" w:pos="8306"/>
            </w:tabs>
          </w:pPr>
          <w:r>
            <w:fldChar w:fldCharType="begin"/>
          </w:r>
          <w:r>
            <w:instrText xml:space="preserve"> HYPERLINK \l _Toc30173 </w:instrText>
          </w:r>
          <w:r>
            <w:fldChar w:fldCharType="separate"/>
          </w:r>
          <w:r>
            <w:rPr>
              <w:rFonts w:hint="eastAsia"/>
            </w:rPr>
            <w:t xml:space="preserve">11.3 </w:t>
          </w:r>
          <w:r>
            <w:t>涉及基金管理人、基金财产、基金托管业务的诉讼</w:t>
          </w:r>
          <w:r>
            <w:tab/>
          </w:r>
          <w:r>
            <w:fldChar w:fldCharType="begin"/>
          </w:r>
          <w:r>
            <w:instrText xml:space="preserve"> PAGEREF _Toc30173 \h </w:instrText>
          </w:r>
          <w:r>
            <w:fldChar w:fldCharType="separate"/>
          </w:r>
          <w:r>
            <w:t>53</w:t>
          </w:r>
          <w:r>
            <w:fldChar w:fldCharType="end"/>
          </w:r>
          <w:r>
            <w:fldChar w:fldCharType="end"/>
          </w:r>
        </w:p>
        <w:p w14:paraId="4AC6A095">
          <w:pPr>
            <w:pStyle w:val="10"/>
            <w:tabs>
              <w:tab w:val="right" w:leader="dot" w:pos="8306"/>
            </w:tabs>
          </w:pPr>
          <w:r>
            <w:fldChar w:fldCharType="begin"/>
          </w:r>
          <w:r>
            <w:instrText xml:space="preserve"> HYPERLINK \l _Toc22536 </w:instrText>
          </w:r>
          <w:r>
            <w:fldChar w:fldCharType="separate"/>
          </w:r>
          <w:r>
            <w:rPr>
              <w:rFonts w:hint="eastAsia"/>
            </w:rPr>
            <w:t xml:space="preserve">11.4 </w:t>
          </w:r>
          <w:r>
            <w:t>基金投资策略的改变</w:t>
          </w:r>
          <w:r>
            <w:tab/>
          </w:r>
          <w:r>
            <w:fldChar w:fldCharType="begin"/>
          </w:r>
          <w:r>
            <w:instrText xml:space="preserve"> PAGEREF _Toc22536 \h </w:instrText>
          </w:r>
          <w:r>
            <w:fldChar w:fldCharType="separate"/>
          </w:r>
          <w:r>
            <w:t>54</w:t>
          </w:r>
          <w:r>
            <w:fldChar w:fldCharType="end"/>
          </w:r>
          <w:r>
            <w:fldChar w:fldCharType="end"/>
          </w:r>
        </w:p>
        <w:p w14:paraId="12072D4B">
          <w:pPr>
            <w:pStyle w:val="10"/>
            <w:tabs>
              <w:tab w:val="right" w:leader="dot" w:pos="8306"/>
            </w:tabs>
          </w:pPr>
          <w:r>
            <w:fldChar w:fldCharType="begin"/>
          </w:r>
          <w:r>
            <w:instrText xml:space="preserve"> HYPERLINK \l _Toc9665 </w:instrText>
          </w:r>
          <w:r>
            <w:fldChar w:fldCharType="separate"/>
          </w:r>
          <w:r>
            <w:rPr>
              <w:rFonts w:hint="eastAsia"/>
            </w:rPr>
            <w:t xml:space="preserve">11.5 </w:t>
          </w:r>
          <w:r>
            <w:t>为基金进行审计的会计师事务所情况</w:t>
          </w:r>
          <w:r>
            <w:tab/>
          </w:r>
          <w:r>
            <w:fldChar w:fldCharType="begin"/>
          </w:r>
          <w:r>
            <w:instrText xml:space="preserve"> PAGEREF _Toc9665 \h </w:instrText>
          </w:r>
          <w:r>
            <w:fldChar w:fldCharType="separate"/>
          </w:r>
          <w:r>
            <w:t>54</w:t>
          </w:r>
          <w:r>
            <w:fldChar w:fldCharType="end"/>
          </w:r>
          <w:r>
            <w:fldChar w:fldCharType="end"/>
          </w:r>
        </w:p>
        <w:p w14:paraId="4F469C16">
          <w:pPr>
            <w:pStyle w:val="10"/>
            <w:tabs>
              <w:tab w:val="right" w:leader="dot" w:pos="8306"/>
            </w:tabs>
          </w:pPr>
          <w:r>
            <w:fldChar w:fldCharType="begin"/>
          </w:r>
          <w:r>
            <w:instrText xml:space="preserve"> HYPERLINK \l _Toc7004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_Toc7004 \h </w:instrText>
          </w:r>
          <w:r>
            <w:fldChar w:fldCharType="separate"/>
          </w:r>
          <w:r>
            <w:t>54</w:t>
          </w:r>
          <w:r>
            <w:fldChar w:fldCharType="end"/>
          </w:r>
          <w:r>
            <w:fldChar w:fldCharType="end"/>
          </w:r>
        </w:p>
        <w:p w14:paraId="5CCAFFC8">
          <w:pPr>
            <w:pStyle w:val="10"/>
            <w:tabs>
              <w:tab w:val="right" w:leader="dot" w:pos="8306"/>
            </w:tabs>
          </w:pPr>
          <w:r>
            <w:fldChar w:fldCharType="begin"/>
          </w:r>
          <w:r>
            <w:instrText xml:space="preserve"> HYPERLINK \l _Toc11238 </w:instrText>
          </w:r>
          <w:r>
            <w:fldChar w:fldCharType="separate"/>
          </w:r>
          <w:r>
            <w:rPr>
              <w:rFonts w:hint="eastAsia"/>
            </w:rPr>
            <w:t xml:space="preserve">11.7 </w:t>
          </w:r>
          <w:r>
            <w:t>基金租用证券公司交易单元的有关情况</w:t>
          </w:r>
          <w:r>
            <w:tab/>
          </w:r>
          <w:r>
            <w:fldChar w:fldCharType="begin"/>
          </w:r>
          <w:r>
            <w:instrText xml:space="preserve"> PAGEREF _Toc11238 \h </w:instrText>
          </w:r>
          <w:r>
            <w:fldChar w:fldCharType="separate"/>
          </w:r>
          <w:r>
            <w:t>55</w:t>
          </w:r>
          <w:r>
            <w:fldChar w:fldCharType="end"/>
          </w:r>
          <w:r>
            <w:fldChar w:fldCharType="end"/>
          </w:r>
        </w:p>
        <w:p w14:paraId="49258CBC">
          <w:pPr>
            <w:pStyle w:val="10"/>
            <w:tabs>
              <w:tab w:val="right" w:leader="dot" w:pos="8306"/>
            </w:tabs>
          </w:pPr>
          <w:r>
            <w:fldChar w:fldCharType="begin"/>
          </w:r>
          <w:r>
            <w:instrText xml:space="preserve"> HYPERLINK \l _Toc15660 </w:instrText>
          </w:r>
          <w:r>
            <w:fldChar w:fldCharType="separate"/>
          </w:r>
          <w:r>
            <w:rPr>
              <w:rFonts w:hint="eastAsia"/>
            </w:rPr>
            <w:t xml:space="preserve">11.8 </w:t>
          </w:r>
          <w:r>
            <w:t>其他重大事件</w:t>
          </w:r>
          <w:r>
            <w:tab/>
          </w:r>
          <w:r>
            <w:fldChar w:fldCharType="begin"/>
          </w:r>
          <w:r>
            <w:instrText xml:space="preserve"> PAGEREF _Toc15660 \h </w:instrText>
          </w:r>
          <w:r>
            <w:fldChar w:fldCharType="separate"/>
          </w:r>
          <w:r>
            <w:t>56</w:t>
          </w:r>
          <w:r>
            <w:fldChar w:fldCharType="end"/>
          </w:r>
          <w:r>
            <w:fldChar w:fldCharType="end"/>
          </w:r>
        </w:p>
        <w:p w14:paraId="3084F459">
          <w:pPr>
            <w:pStyle w:val="8"/>
            <w:tabs>
              <w:tab w:val="right" w:leader="dot" w:pos="8306"/>
            </w:tabs>
          </w:pPr>
          <w:r>
            <w:fldChar w:fldCharType="begin"/>
          </w:r>
          <w:r>
            <w:instrText xml:space="preserve"> HYPERLINK \l _Toc15324 </w:instrText>
          </w:r>
          <w:r>
            <w:fldChar w:fldCharType="separate"/>
          </w:r>
          <w:r>
            <w:rPr>
              <w:rFonts w:hint="eastAsia"/>
            </w:rPr>
            <w:t xml:space="preserve">§12 </w:t>
          </w:r>
          <w:r>
            <w:t>影响投资者决策的其他重要信息</w:t>
          </w:r>
          <w:r>
            <w:tab/>
          </w:r>
          <w:r>
            <w:fldChar w:fldCharType="begin"/>
          </w:r>
          <w:r>
            <w:instrText xml:space="preserve"> PAGEREF _Toc15324 \h </w:instrText>
          </w:r>
          <w:r>
            <w:fldChar w:fldCharType="separate"/>
          </w:r>
          <w:r>
            <w:t>57</w:t>
          </w:r>
          <w:r>
            <w:fldChar w:fldCharType="end"/>
          </w:r>
          <w:r>
            <w:fldChar w:fldCharType="end"/>
          </w:r>
        </w:p>
        <w:p w14:paraId="791C24B9">
          <w:pPr>
            <w:pStyle w:val="10"/>
            <w:tabs>
              <w:tab w:val="right" w:leader="dot" w:pos="8306"/>
            </w:tabs>
          </w:pPr>
          <w:r>
            <w:fldChar w:fldCharType="begin"/>
          </w:r>
          <w:r>
            <w:instrText xml:space="preserve"> HYPERLINK \l _Toc30393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_Toc30393 \h </w:instrText>
          </w:r>
          <w:r>
            <w:fldChar w:fldCharType="separate"/>
          </w:r>
          <w:r>
            <w:t>57</w:t>
          </w:r>
          <w:r>
            <w:fldChar w:fldCharType="end"/>
          </w:r>
          <w:r>
            <w:fldChar w:fldCharType="end"/>
          </w:r>
        </w:p>
        <w:p w14:paraId="1A9E2235">
          <w:pPr>
            <w:pStyle w:val="10"/>
            <w:tabs>
              <w:tab w:val="right" w:leader="dot" w:pos="8306"/>
            </w:tabs>
          </w:pPr>
          <w:r>
            <w:fldChar w:fldCharType="begin"/>
          </w:r>
          <w:r>
            <w:instrText xml:space="preserve"> HYPERLINK \l _Toc30217 </w:instrText>
          </w:r>
          <w:r>
            <w:fldChar w:fldCharType="separate"/>
          </w:r>
          <w:r>
            <w:rPr>
              <w:rFonts w:hint="eastAsia"/>
            </w:rPr>
            <w:t xml:space="preserve">12.2 </w:t>
          </w:r>
          <w:r>
            <w:t>影响投资者决策的其他重要信息</w:t>
          </w:r>
          <w:r>
            <w:tab/>
          </w:r>
          <w:r>
            <w:fldChar w:fldCharType="begin"/>
          </w:r>
          <w:r>
            <w:instrText xml:space="preserve"> PAGEREF _Toc30217 \h </w:instrText>
          </w:r>
          <w:r>
            <w:fldChar w:fldCharType="separate"/>
          </w:r>
          <w:r>
            <w:t>57</w:t>
          </w:r>
          <w:r>
            <w:fldChar w:fldCharType="end"/>
          </w:r>
          <w:r>
            <w:fldChar w:fldCharType="end"/>
          </w:r>
        </w:p>
        <w:p w14:paraId="006507D3">
          <w:pPr>
            <w:pStyle w:val="8"/>
            <w:tabs>
              <w:tab w:val="right" w:leader="dot" w:pos="8306"/>
            </w:tabs>
          </w:pPr>
          <w:r>
            <w:fldChar w:fldCharType="begin"/>
          </w:r>
          <w:r>
            <w:instrText xml:space="preserve"> HYPERLINK \l _Toc10832 </w:instrText>
          </w:r>
          <w:r>
            <w:fldChar w:fldCharType="separate"/>
          </w:r>
          <w:r>
            <w:rPr>
              <w:rFonts w:hint="eastAsia"/>
            </w:rPr>
            <w:t xml:space="preserve">§13 </w:t>
          </w:r>
          <w:r>
            <w:t>备查文件目录</w:t>
          </w:r>
          <w:r>
            <w:tab/>
          </w:r>
          <w:r>
            <w:fldChar w:fldCharType="begin"/>
          </w:r>
          <w:r>
            <w:instrText xml:space="preserve"> PAGEREF _Toc10832 \h </w:instrText>
          </w:r>
          <w:r>
            <w:fldChar w:fldCharType="separate"/>
          </w:r>
          <w:r>
            <w:t>57</w:t>
          </w:r>
          <w:r>
            <w:fldChar w:fldCharType="end"/>
          </w:r>
          <w:r>
            <w:fldChar w:fldCharType="end"/>
          </w:r>
        </w:p>
        <w:p w14:paraId="1988A981">
          <w:pPr>
            <w:pStyle w:val="10"/>
            <w:tabs>
              <w:tab w:val="right" w:leader="dot" w:pos="8306"/>
            </w:tabs>
          </w:pPr>
          <w:r>
            <w:fldChar w:fldCharType="begin"/>
          </w:r>
          <w:r>
            <w:instrText xml:space="preserve"> HYPERLINK \l _Toc28930 </w:instrText>
          </w:r>
          <w:r>
            <w:fldChar w:fldCharType="separate"/>
          </w:r>
          <w:r>
            <w:rPr>
              <w:rFonts w:hint="eastAsia"/>
            </w:rPr>
            <w:t xml:space="preserve">13.1 </w:t>
          </w:r>
          <w:r>
            <w:t>备查文件目录</w:t>
          </w:r>
          <w:r>
            <w:tab/>
          </w:r>
          <w:r>
            <w:fldChar w:fldCharType="begin"/>
          </w:r>
          <w:r>
            <w:instrText xml:space="preserve"> PAGEREF _Toc28930 \h </w:instrText>
          </w:r>
          <w:r>
            <w:fldChar w:fldCharType="separate"/>
          </w:r>
          <w:r>
            <w:t>57</w:t>
          </w:r>
          <w:r>
            <w:fldChar w:fldCharType="end"/>
          </w:r>
          <w:r>
            <w:fldChar w:fldCharType="end"/>
          </w:r>
        </w:p>
        <w:p w14:paraId="6C4E4EF4">
          <w:pPr>
            <w:pStyle w:val="10"/>
            <w:tabs>
              <w:tab w:val="right" w:leader="dot" w:pos="8306"/>
            </w:tabs>
          </w:pPr>
          <w:r>
            <w:fldChar w:fldCharType="begin"/>
          </w:r>
          <w:r>
            <w:instrText xml:space="preserve"> HYPERLINK \l _Toc17355 </w:instrText>
          </w:r>
          <w:r>
            <w:fldChar w:fldCharType="separate"/>
          </w:r>
          <w:r>
            <w:rPr>
              <w:rFonts w:hint="eastAsia"/>
            </w:rPr>
            <w:t xml:space="preserve">13.2 </w:t>
          </w:r>
          <w:r>
            <w:t>存放地点</w:t>
          </w:r>
          <w:r>
            <w:tab/>
          </w:r>
          <w:r>
            <w:fldChar w:fldCharType="begin"/>
          </w:r>
          <w:r>
            <w:instrText xml:space="preserve"> PAGEREF _Toc17355 \h </w:instrText>
          </w:r>
          <w:r>
            <w:fldChar w:fldCharType="separate"/>
          </w:r>
          <w:r>
            <w:t>57</w:t>
          </w:r>
          <w:r>
            <w:fldChar w:fldCharType="end"/>
          </w:r>
          <w:r>
            <w:fldChar w:fldCharType="end"/>
          </w:r>
        </w:p>
        <w:p w14:paraId="25185DC1">
          <w:pPr>
            <w:pStyle w:val="10"/>
            <w:tabs>
              <w:tab w:val="right" w:leader="dot" w:pos="8306"/>
            </w:tabs>
          </w:pPr>
          <w:r>
            <w:fldChar w:fldCharType="begin"/>
          </w:r>
          <w:r>
            <w:instrText xml:space="preserve"> HYPERLINK \l _Toc8834 </w:instrText>
          </w:r>
          <w:r>
            <w:fldChar w:fldCharType="separate"/>
          </w:r>
          <w:r>
            <w:rPr>
              <w:rFonts w:hint="eastAsia"/>
            </w:rPr>
            <w:t xml:space="preserve">13.3 </w:t>
          </w:r>
          <w:r>
            <w:t>查阅方式</w:t>
          </w:r>
          <w:r>
            <w:tab/>
          </w:r>
          <w:r>
            <w:fldChar w:fldCharType="begin"/>
          </w:r>
          <w:r>
            <w:instrText xml:space="preserve"> PAGEREF _Toc8834 \h </w:instrText>
          </w:r>
          <w:r>
            <w:fldChar w:fldCharType="separate"/>
          </w:r>
          <w:r>
            <w:t>57</w:t>
          </w:r>
          <w:r>
            <w:fldChar w:fldCharType="end"/>
          </w:r>
          <w:r>
            <w:fldChar w:fldCharType="end"/>
          </w:r>
        </w:p>
        <w:p w14:paraId="7E38D308">
          <w:r>
            <w:fldChar w:fldCharType="end"/>
          </w:r>
        </w:p>
      </w:sdtContent>
    </w:sdt>
    <w:p w14:paraId="326CDF94">
      <w:pPr>
        <w:pStyle w:val="26"/>
        <w:pageBreakBefore/>
      </w:pPr>
      <w:r>
        <w:t xml:space="preserve">  </w:t>
      </w:r>
      <w:bookmarkStart w:id="5" w:name="_Toc26585"/>
      <w:r>
        <w:t>基金简介</w:t>
      </w:r>
      <w:bookmarkEnd w:id="5"/>
      <w:r>
        <w:t xml:space="preserve"> </w:t>
      </w:r>
    </w:p>
    <w:p w14:paraId="7D491206">
      <w:pPr>
        <w:pStyle w:val="23"/>
      </w:pPr>
      <w:bookmarkStart w:id="6" w:name="_Toc1680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1F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01AE4">
            <w:r>
              <w:rPr>
                <w:rFonts w:hint="eastAsia"/>
              </w:rPr>
              <w:t>基金名称</w:t>
            </w:r>
          </w:p>
        </w:tc>
        <w:tc>
          <w:tcPr>
            <w:tcW w:w="2768" w:type="dxa"/>
            <w:gridSpan w:val="2"/>
            <w:vAlign w:val="center"/>
          </w:tcPr>
          <w:p w14:paraId="574971E5">
            <w:r>
              <w:rPr>
                <w:rFonts w:hint="eastAsia"/>
              </w:rPr>
              <w:t>南方创业板人工智能交易型开放式指数证券投资基金联接基金</w:t>
            </w:r>
          </w:p>
        </w:tc>
      </w:tr>
      <w:tr w14:paraId="71DE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626B7">
            <w:r>
              <w:rPr>
                <w:rFonts w:hint="eastAsia"/>
              </w:rPr>
              <w:t>基金简称</w:t>
            </w:r>
          </w:p>
        </w:tc>
        <w:tc>
          <w:tcPr>
            <w:tcW w:w="2768" w:type="dxa"/>
            <w:gridSpan w:val="2"/>
            <w:vAlign w:val="center"/>
          </w:tcPr>
          <w:p w14:paraId="095D9D5D">
            <w:r>
              <w:rPr>
                <w:rFonts w:hint="eastAsia"/>
              </w:rPr>
              <w:t>南方创业板人工智能ETF联接</w:t>
            </w:r>
          </w:p>
        </w:tc>
      </w:tr>
      <w:tr w14:paraId="1A74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212D9">
            <w:r>
              <w:rPr>
                <w:rFonts w:hint="eastAsia"/>
              </w:rPr>
              <w:t>基金主代码</w:t>
            </w:r>
          </w:p>
        </w:tc>
        <w:tc>
          <w:tcPr>
            <w:tcW w:w="2768" w:type="dxa"/>
            <w:gridSpan w:val="2"/>
            <w:vAlign w:val="center"/>
          </w:tcPr>
          <w:p w14:paraId="3B9FB128">
            <w:r>
              <w:rPr>
                <w:rFonts w:hint="eastAsia"/>
              </w:rPr>
              <w:t>024725</w:t>
            </w:r>
          </w:p>
        </w:tc>
      </w:tr>
      <w:tr w14:paraId="4EC0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A10BC">
            <w:r>
              <w:rPr>
                <w:rFonts w:hint="eastAsia"/>
              </w:rPr>
              <w:t>交易代码</w:t>
            </w:r>
          </w:p>
        </w:tc>
        <w:tc>
          <w:tcPr>
            <w:tcW w:w="2768" w:type="dxa"/>
            <w:gridSpan w:val="2"/>
            <w:vAlign w:val="center"/>
          </w:tcPr>
          <w:p w14:paraId="6E8F7379">
            <w:r>
              <w:rPr>
                <w:rFonts w:hint="eastAsia"/>
              </w:rPr>
              <w:t>024725</w:t>
            </w:r>
          </w:p>
        </w:tc>
      </w:tr>
      <w:tr w14:paraId="3918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D4F96">
            <w:r>
              <w:rPr>
                <w:rFonts w:hint="eastAsia"/>
              </w:rPr>
              <w:t>基金运作方式</w:t>
            </w:r>
          </w:p>
        </w:tc>
        <w:tc>
          <w:tcPr>
            <w:tcW w:w="2768" w:type="dxa"/>
            <w:gridSpan w:val="2"/>
            <w:vAlign w:val="center"/>
          </w:tcPr>
          <w:p w14:paraId="3B03E337">
            <w:r>
              <w:rPr>
                <w:rFonts w:hint="eastAsia"/>
              </w:rPr>
              <w:t>契约型开放式</w:t>
            </w:r>
          </w:p>
        </w:tc>
      </w:tr>
      <w:tr w14:paraId="0BE6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535C7">
            <w:r>
              <w:rPr>
                <w:rFonts w:hint="eastAsia"/>
              </w:rPr>
              <w:t>基金合同生效日</w:t>
            </w:r>
          </w:p>
        </w:tc>
        <w:tc>
          <w:tcPr>
            <w:tcW w:w="2768" w:type="dxa"/>
            <w:gridSpan w:val="2"/>
            <w:vAlign w:val="center"/>
          </w:tcPr>
          <w:p w14:paraId="3CAE71A0">
            <w:r>
              <w:rPr>
                <w:rFonts w:hint="eastAsia"/>
              </w:rPr>
              <w:t>2025年10月30日</w:t>
            </w:r>
          </w:p>
        </w:tc>
      </w:tr>
      <w:tr w14:paraId="4746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65159">
            <w:r>
              <w:rPr>
                <w:rFonts w:hint="eastAsia"/>
              </w:rPr>
              <w:t>基金管理人</w:t>
            </w:r>
          </w:p>
        </w:tc>
        <w:tc>
          <w:tcPr>
            <w:tcW w:w="2768" w:type="dxa"/>
            <w:gridSpan w:val="2"/>
            <w:vAlign w:val="center"/>
          </w:tcPr>
          <w:p w14:paraId="1972B9A4">
            <w:r>
              <w:rPr>
                <w:rFonts w:hint="eastAsia"/>
              </w:rPr>
              <w:t>南方基金管理股份有限公司</w:t>
            </w:r>
          </w:p>
        </w:tc>
      </w:tr>
      <w:tr w14:paraId="38E5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7E6EE">
            <w:r>
              <w:rPr>
                <w:rFonts w:hint="eastAsia"/>
              </w:rPr>
              <w:t>基金托管人</w:t>
            </w:r>
          </w:p>
        </w:tc>
        <w:tc>
          <w:tcPr>
            <w:tcW w:w="2768" w:type="dxa"/>
            <w:gridSpan w:val="2"/>
            <w:vAlign w:val="center"/>
          </w:tcPr>
          <w:p w14:paraId="31EE1535">
            <w:r>
              <w:rPr>
                <w:rFonts w:hint="eastAsia"/>
              </w:rPr>
              <w:t>中国建设银行股份有限公司</w:t>
            </w:r>
          </w:p>
        </w:tc>
      </w:tr>
      <w:tr w14:paraId="3410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4E2C85">
            <w:r>
              <w:rPr>
                <w:rFonts w:hint="eastAsia"/>
              </w:rPr>
              <w:t>报告期末基金份额总额</w:t>
            </w:r>
          </w:p>
        </w:tc>
        <w:tc>
          <w:tcPr>
            <w:tcW w:w="2768" w:type="dxa"/>
            <w:gridSpan w:val="2"/>
            <w:vAlign w:val="center"/>
          </w:tcPr>
          <w:p w14:paraId="319B8EB4">
            <w:r>
              <w:rPr>
                <w:rFonts w:hint="eastAsia"/>
              </w:rPr>
              <w:t>1,357,824,840.29份</w:t>
            </w:r>
          </w:p>
        </w:tc>
      </w:tr>
      <w:tr w14:paraId="5998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36B1A">
            <w:r>
              <w:rPr>
                <w:rFonts w:hint="eastAsia"/>
              </w:rPr>
              <w:t>基金合同存续期</w:t>
            </w:r>
          </w:p>
        </w:tc>
        <w:tc>
          <w:tcPr>
            <w:tcW w:w="2768" w:type="dxa"/>
            <w:gridSpan w:val="2"/>
            <w:vAlign w:val="center"/>
          </w:tcPr>
          <w:p w14:paraId="3FB58FB6">
            <w:r>
              <w:rPr>
                <w:rFonts w:hint="eastAsia"/>
              </w:rPr>
              <w:t>不定期</w:t>
            </w:r>
          </w:p>
        </w:tc>
      </w:tr>
      <w:tr w14:paraId="2CC2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8FBC1">
            <w:r>
              <w:rPr>
                <w:rFonts w:hint="eastAsia"/>
              </w:rPr>
              <w:t>下属分级基金的基金简称</w:t>
            </w:r>
          </w:p>
        </w:tc>
        <w:tc>
          <w:tcPr>
            <w:tcW w:w="2768" w:type="dxa"/>
            <w:vAlign w:val="center"/>
          </w:tcPr>
          <w:p w14:paraId="030F2400">
            <w:r>
              <w:rPr>
                <w:rFonts w:hint="eastAsia"/>
              </w:rPr>
              <w:t>南方创业板人工智能ETF联接A</w:t>
            </w:r>
          </w:p>
        </w:tc>
        <w:tc>
          <w:tcPr>
            <w:tcW w:w="2768" w:type="dxa"/>
            <w:vAlign w:val="center"/>
          </w:tcPr>
          <w:p w14:paraId="45B5BFC3">
            <w:r>
              <w:rPr>
                <w:rFonts w:hint="eastAsia"/>
              </w:rPr>
              <w:t>南方创业板人工智能ETF联接C</w:t>
            </w:r>
          </w:p>
        </w:tc>
      </w:tr>
      <w:tr w14:paraId="5384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04160">
            <w:r>
              <w:rPr>
                <w:rFonts w:hint="eastAsia"/>
              </w:rPr>
              <w:t>下属分级基金的交易代码</w:t>
            </w:r>
          </w:p>
        </w:tc>
        <w:tc>
          <w:tcPr>
            <w:tcW w:w="2768" w:type="dxa"/>
            <w:vAlign w:val="center"/>
          </w:tcPr>
          <w:p w14:paraId="514376C7">
            <w:r>
              <w:rPr>
                <w:rFonts w:hint="eastAsia"/>
              </w:rPr>
              <w:t>024725</w:t>
            </w:r>
          </w:p>
        </w:tc>
        <w:tc>
          <w:tcPr>
            <w:tcW w:w="2768" w:type="dxa"/>
            <w:vAlign w:val="center"/>
          </w:tcPr>
          <w:p w14:paraId="7CF4D6CF">
            <w:r>
              <w:rPr>
                <w:rFonts w:hint="eastAsia"/>
              </w:rPr>
              <w:t>024726</w:t>
            </w:r>
          </w:p>
        </w:tc>
      </w:tr>
      <w:tr w14:paraId="20FD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65EBF">
            <w:r>
              <w:rPr>
                <w:rFonts w:hint="eastAsia"/>
              </w:rPr>
              <w:t>报告期末下属分级基金的份额总额</w:t>
            </w:r>
          </w:p>
        </w:tc>
        <w:tc>
          <w:tcPr>
            <w:tcW w:w="2768" w:type="dxa"/>
            <w:vAlign w:val="center"/>
          </w:tcPr>
          <w:p w14:paraId="0E959841">
            <w:r>
              <w:rPr>
                <w:rFonts w:hint="eastAsia"/>
              </w:rPr>
              <w:t>866,307,242.43份</w:t>
            </w:r>
          </w:p>
        </w:tc>
        <w:tc>
          <w:tcPr>
            <w:tcW w:w="2768" w:type="dxa"/>
            <w:vAlign w:val="center"/>
          </w:tcPr>
          <w:p w14:paraId="21964180">
            <w:r>
              <w:rPr>
                <w:rFonts w:hint="eastAsia"/>
              </w:rPr>
              <w:t>491,517,597.86份</w:t>
            </w:r>
          </w:p>
        </w:tc>
      </w:tr>
    </w:tbl>
    <w:p w14:paraId="1D1B791F">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54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E8A4F9">
            <w:r>
              <w:rPr>
                <w:rFonts w:hint="eastAsia"/>
              </w:rPr>
              <w:t>基金名称</w:t>
            </w:r>
          </w:p>
        </w:tc>
        <w:tc>
          <w:tcPr>
            <w:tcW w:w="4153" w:type="dxa"/>
            <w:vAlign w:val="center"/>
          </w:tcPr>
          <w:p w14:paraId="1663638A">
            <w:r>
              <w:rPr>
                <w:rFonts w:hint="eastAsia"/>
              </w:rPr>
              <w:t>南方创业板人工智能交易型开放式指数证券投资基金</w:t>
            </w:r>
          </w:p>
        </w:tc>
      </w:tr>
      <w:tr w14:paraId="257E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1ABA25">
            <w:r>
              <w:rPr>
                <w:rFonts w:hint="eastAsia"/>
              </w:rPr>
              <w:t>基金主代码</w:t>
            </w:r>
          </w:p>
        </w:tc>
        <w:tc>
          <w:tcPr>
            <w:tcW w:w="4153" w:type="dxa"/>
            <w:vAlign w:val="center"/>
          </w:tcPr>
          <w:p w14:paraId="1F4D8310">
            <w:r>
              <w:rPr>
                <w:rFonts w:hint="eastAsia"/>
              </w:rPr>
              <w:t>159382</w:t>
            </w:r>
          </w:p>
        </w:tc>
      </w:tr>
      <w:tr w14:paraId="1100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3252C6">
            <w:r>
              <w:rPr>
                <w:rFonts w:hint="eastAsia"/>
              </w:rPr>
              <w:t>基金运作方式</w:t>
            </w:r>
          </w:p>
        </w:tc>
        <w:tc>
          <w:tcPr>
            <w:tcW w:w="4153" w:type="dxa"/>
            <w:vAlign w:val="center"/>
          </w:tcPr>
          <w:p w14:paraId="520286F1">
            <w:r>
              <w:rPr>
                <w:rFonts w:hint="eastAsia"/>
              </w:rPr>
              <w:t>交易型开放式</w:t>
            </w:r>
          </w:p>
        </w:tc>
      </w:tr>
      <w:tr w14:paraId="25B3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FD5821">
            <w:r>
              <w:rPr>
                <w:rFonts w:hint="eastAsia"/>
              </w:rPr>
              <w:t>基金合同生效日</w:t>
            </w:r>
          </w:p>
        </w:tc>
        <w:tc>
          <w:tcPr>
            <w:tcW w:w="4153" w:type="dxa"/>
            <w:vAlign w:val="center"/>
          </w:tcPr>
          <w:p w14:paraId="1B89336A">
            <w:r>
              <w:rPr>
                <w:rFonts w:hint="eastAsia"/>
              </w:rPr>
              <w:t>2025年4月23日</w:t>
            </w:r>
          </w:p>
        </w:tc>
      </w:tr>
      <w:tr w14:paraId="1C59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906755">
            <w:r>
              <w:rPr>
                <w:rFonts w:hint="eastAsia"/>
              </w:rPr>
              <w:t>基金份额上市的证券交易所</w:t>
            </w:r>
          </w:p>
        </w:tc>
        <w:tc>
          <w:tcPr>
            <w:tcW w:w="4153" w:type="dxa"/>
            <w:vAlign w:val="center"/>
          </w:tcPr>
          <w:p w14:paraId="1569C48C">
            <w:r>
              <w:rPr>
                <w:rFonts w:hint="eastAsia"/>
              </w:rPr>
              <w:t>深圳证券交易所</w:t>
            </w:r>
          </w:p>
        </w:tc>
      </w:tr>
      <w:tr w14:paraId="43F4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626CA8">
            <w:r>
              <w:rPr>
                <w:rFonts w:hint="eastAsia"/>
              </w:rPr>
              <w:t>上市日期</w:t>
            </w:r>
          </w:p>
        </w:tc>
        <w:tc>
          <w:tcPr>
            <w:tcW w:w="4153" w:type="dxa"/>
            <w:vAlign w:val="center"/>
          </w:tcPr>
          <w:p w14:paraId="73E29727">
            <w:r>
              <w:rPr>
                <w:rFonts w:hint="eastAsia"/>
              </w:rPr>
              <w:t>2025年5月9日</w:t>
            </w:r>
          </w:p>
        </w:tc>
      </w:tr>
      <w:tr w14:paraId="5A36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9B00DA">
            <w:r>
              <w:rPr>
                <w:rFonts w:hint="eastAsia"/>
              </w:rPr>
              <w:t>基金管理人名称</w:t>
            </w:r>
          </w:p>
        </w:tc>
        <w:tc>
          <w:tcPr>
            <w:tcW w:w="4153" w:type="dxa"/>
            <w:vAlign w:val="center"/>
          </w:tcPr>
          <w:p w14:paraId="16E8F269">
            <w:r>
              <w:rPr>
                <w:rFonts w:hint="eastAsia"/>
              </w:rPr>
              <w:t>南方基金管理股份有限公司</w:t>
            </w:r>
          </w:p>
        </w:tc>
      </w:tr>
      <w:tr w14:paraId="7ACD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E24356">
            <w:r>
              <w:rPr>
                <w:rFonts w:hint="eastAsia"/>
              </w:rPr>
              <w:t>基金托管人名称</w:t>
            </w:r>
          </w:p>
        </w:tc>
        <w:tc>
          <w:tcPr>
            <w:tcW w:w="4153" w:type="dxa"/>
            <w:vAlign w:val="center"/>
          </w:tcPr>
          <w:p w14:paraId="13E885BB">
            <w:r>
              <w:rPr>
                <w:rFonts w:hint="eastAsia"/>
              </w:rPr>
              <w:t>中国建设银行股份有限公司</w:t>
            </w:r>
          </w:p>
        </w:tc>
      </w:tr>
    </w:tbl>
    <w:p w14:paraId="76BC8DBD">
      <w:pPr>
        <w:pStyle w:val="23"/>
      </w:pPr>
      <w:bookmarkStart w:id="8" w:name="_Toc19905"/>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218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F715FA">
            <w:r>
              <w:rPr>
                <w:rFonts w:hint="eastAsia"/>
              </w:rPr>
              <w:t>投资目标</w:t>
            </w:r>
          </w:p>
        </w:tc>
        <w:tc>
          <w:tcPr>
            <w:tcW w:w="6644" w:type="dxa"/>
            <w:vAlign w:val="center"/>
          </w:tcPr>
          <w:p w14:paraId="5FF7B7B2">
            <w:r>
              <w:rPr>
                <w:rFonts w:hint="eastAsia"/>
              </w:rPr>
              <w:t>本基金通过投资于目标ETF，紧密跟踪标的指数，追求与业绩比较基准相似的回报。</w:t>
            </w:r>
          </w:p>
        </w:tc>
      </w:tr>
      <w:tr w14:paraId="7872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C51509">
            <w:r>
              <w:rPr>
                <w:rFonts w:hint="eastAsia"/>
              </w:rPr>
              <w:t>投资策略</w:t>
            </w:r>
          </w:p>
        </w:tc>
        <w:tc>
          <w:tcPr>
            <w:tcW w:w="6644" w:type="dxa"/>
            <w:vAlign w:val="center"/>
          </w:tcPr>
          <w:p w14:paraId="1DC2D26B">
            <w:pPr>
              <w:jc w:val="both"/>
            </w:pPr>
            <w:r>
              <w:rPr>
                <w:rFonts w:hint="eastAsia"/>
              </w:rPr>
              <w:t>本基金为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0ACF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0DE251">
            <w:r>
              <w:rPr>
                <w:rFonts w:hint="eastAsia"/>
              </w:rPr>
              <w:t>业绩比较基准</w:t>
            </w:r>
          </w:p>
        </w:tc>
        <w:tc>
          <w:tcPr>
            <w:tcW w:w="6644" w:type="dxa"/>
            <w:vAlign w:val="center"/>
          </w:tcPr>
          <w:p w14:paraId="52F02BD2">
            <w:r>
              <w:rPr>
                <w:rFonts w:hint="eastAsia"/>
              </w:rPr>
              <w:t>创业板人工智能指数收益率×95%+银行活期存款利率（税后）×5%</w:t>
            </w:r>
          </w:p>
        </w:tc>
      </w:tr>
      <w:tr w14:paraId="3EB9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83AB1A">
            <w:r>
              <w:rPr>
                <w:rFonts w:hint="eastAsia"/>
              </w:rPr>
              <w:t>风险收益特征</w:t>
            </w:r>
          </w:p>
        </w:tc>
        <w:tc>
          <w:tcPr>
            <w:tcW w:w="6644" w:type="dxa"/>
            <w:vAlign w:val="center"/>
          </w:tcPr>
          <w:p w14:paraId="35C8F22C">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本基金投资创业板股票，会面临创业板机制下因投资标的、市场制度以及交易规则等差异带来的特有风险，包括流动性风险、退市风险和投资集中风险等。</w:t>
            </w:r>
          </w:p>
        </w:tc>
      </w:tr>
    </w:tbl>
    <w:p w14:paraId="6DAFA499">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0575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CA401">
            <w:r>
              <w:rPr>
                <w:rFonts w:hint="eastAsia"/>
              </w:rPr>
              <w:t>投资目标</w:t>
            </w:r>
          </w:p>
        </w:tc>
        <w:tc>
          <w:tcPr>
            <w:tcW w:w="6921" w:type="dxa"/>
            <w:vAlign w:val="center"/>
          </w:tcPr>
          <w:p w14:paraId="24E280C3">
            <w:r>
              <w:rPr>
                <w:rFonts w:hint="eastAsia"/>
              </w:rPr>
              <w:t>紧密跟踪标的指数，追求跟踪偏离度和跟踪误差最小化。</w:t>
            </w:r>
          </w:p>
        </w:tc>
      </w:tr>
      <w:tr w14:paraId="72E8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936E4">
            <w:r>
              <w:rPr>
                <w:rFonts w:hint="eastAsia"/>
              </w:rPr>
              <w:t>投资策略</w:t>
            </w:r>
          </w:p>
        </w:tc>
        <w:tc>
          <w:tcPr>
            <w:tcW w:w="6921" w:type="dxa"/>
            <w:vAlign w:val="center"/>
          </w:tcPr>
          <w:p w14:paraId="60EB59BB">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650A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8DCF1">
            <w:r>
              <w:rPr>
                <w:rFonts w:hint="eastAsia"/>
              </w:rPr>
              <w:t>业绩比较基准</w:t>
            </w:r>
          </w:p>
        </w:tc>
        <w:tc>
          <w:tcPr>
            <w:tcW w:w="6921" w:type="dxa"/>
            <w:vAlign w:val="center"/>
          </w:tcPr>
          <w:p w14:paraId="54705F74">
            <w:r>
              <w:rPr>
                <w:rFonts w:hint="eastAsia"/>
              </w:rPr>
              <w:t>本基金的业绩比较基准为标的指数收益率。本基金标的指数为创业板人工智能指数，及其未来可能发生的变更。</w:t>
            </w:r>
          </w:p>
        </w:tc>
      </w:tr>
      <w:tr w14:paraId="035B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035B9">
            <w:r>
              <w:rPr>
                <w:rFonts w:hint="eastAsia"/>
              </w:rPr>
              <w:t>风险收益特征</w:t>
            </w:r>
          </w:p>
        </w:tc>
        <w:tc>
          <w:tcPr>
            <w:tcW w:w="6921" w:type="dxa"/>
            <w:vAlign w:val="center"/>
          </w:tcPr>
          <w:p w14:paraId="461666F7">
            <w:pPr>
              <w:jc w:val="both"/>
            </w:pPr>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创业板股票，会面临创业板机制下因投资标的、市场制度以及交易规则等差异带来的特有风险，包括流动性风险、退市风险和投资集中风险等。</w:t>
            </w:r>
          </w:p>
        </w:tc>
      </w:tr>
    </w:tbl>
    <w:p w14:paraId="0B6FA699">
      <w:pPr>
        <w:pStyle w:val="23"/>
      </w:pPr>
      <w:bookmarkStart w:id="10" w:name="_Toc2516"/>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DE3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3E4116">
            <w:r>
              <w:rPr>
                <w:rFonts w:hint="eastAsia"/>
              </w:rPr>
              <w:t>项目</w:t>
            </w:r>
          </w:p>
        </w:tc>
        <w:tc>
          <w:tcPr>
            <w:tcW w:w="2270" w:type="dxa"/>
            <w:vAlign w:val="center"/>
          </w:tcPr>
          <w:p w14:paraId="5450B777">
            <w:r>
              <w:rPr>
                <w:rFonts w:hint="eastAsia"/>
              </w:rPr>
              <w:t>基金管理人</w:t>
            </w:r>
          </w:p>
        </w:tc>
        <w:tc>
          <w:tcPr>
            <w:tcW w:w="2990" w:type="dxa"/>
            <w:vAlign w:val="center"/>
          </w:tcPr>
          <w:p w14:paraId="6F355218">
            <w:r>
              <w:rPr>
                <w:rFonts w:hint="eastAsia"/>
              </w:rPr>
              <w:t>基金托管人</w:t>
            </w:r>
          </w:p>
        </w:tc>
      </w:tr>
      <w:tr w14:paraId="0A45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E0891A">
            <w:r>
              <w:rPr>
                <w:rFonts w:hint="eastAsia"/>
              </w:rPr>
              <w:t>名称</w:t>
            </w:r>
          </w:p>
        </w:tc>
        <w:tc>
          <w:tcPr>
            <w:tcW w:w="2270" w:type="dxa"/>
            <w:vAlign w:val="center"/>
          </w:tcPr>
          <w:p w14:paraId="66BA610A">
            <w:r>
              <w:rPr>
                <w:rFonts w:hint="eastAsia"/>
              </w:rPr>
              <w:t>南方基金管理股份有限公司</w:t>
            </w:r>
          </w:p>
        </w:tc>
        <w:tc>
          <w:tcPr>
            <w:tcW w:w="2990" w:type="dxa"/>
            <w:vAlign w:val="center"/>
          </w:tcPr>
          <w:p w14:paraId="177AB53E">
            <w:r>
              <w:rPr>
                <w:rFonts w:hint="eastAsia"/>
              </w:rPr>
              <w:t>中国建设银行股份有限公司</w:t>
            </w:r>
          </w:p>
        </w:tc>
      </w:tr>
      <w:tr w14:paraId="44BA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2C5A3AC">
            <w:r>
              <w:rPr>
                <w:rFonts w:hint="eastAsia"/>
              </w:rPr>
              <w:t>信息披露负责人</w:t>
            </w:r>
          </w:p>
        </w:tc>
        <w:tc>
          <w:tcPr>
            <w:tcW w:w="1384" w:type="dxa"/>
            <w:vAlign w:val="center"/>
          </w:tcPr>
          <w:p w14:paraId="346ED82A">
            <w:r>
              <w:rPr>
                <w:rFonts w:hint="eastAsia"/>
              </w:rPr>
              <w:t>姓名</w:t>
            </w:r>
          </w:p>
        </w:tc>
        <w:tc>
          <w:tcPr>
            <w:tcW w:w="2270" w:type="dxa"/>
            <w:vAlign w:val="center"/>
          </w:tcPr>
          <w:p w14:paraId="116FA3BC">
            <w:r>
              <w:rPr>
                <w:rFonts w:hint="eastAsia"/>
              </w:rPr>
              <w:t>鲍文革</w:t>
            </w:r>
          </w:p>
        </w:tc>
        <w:tc>
          <w:tcPr>
            <w:tcW w:w="2990" w:type="dxa"/>
            <w:vAlign w:val="center"/>
          </w:tcPr>
          <w:p w14:paraId="5926D3A3">
            <w:r>
              <w:rPr>
                <w:rFonts w:hint="eastAsia"/>
              </w:rPr>
              <w:t>王小飞</w:t>
            </w:r>
          </w:p>
        </w:tc>
      </w:tr>
      <w:tr w14:paraId="3B75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F8D4E9"/>
        </w:tc>
        <w:tc>
          <w:tcPr>
            <w:tcW w:w="1384" w:type="dxa"/>
            <w:vAlign w:val="center"/>
          </w:tcPr>
          <w:p w14:paraId="25A9B3CD">
            <w:r>
              <w:rPr>
                <w:rFonts w:hint="eastAsia"/>
              </w:rPr>
              <w:t>联系电话</w:t>
            </w:r>
          </w:p>
        </w:tc>
        <w:tc>
          <w:tcPr>
            <w:tcW w:w="2270" w:type="dxa"/>
            <w:vAlign w:val="center"/>
          </w:tcPr>
          <w:p w14:paraId="33C110B4">
            <w:r>
              <w:rPr>
                <w:rFonts w:hint="eastAsia"/>
              </w:rPr>
              <w:t>0755-82763888</w:t>
            </w:r>
          </w:p>
        </w:tc>
        <w:tc>
          <w:tcPr>
            <w:tcW w:w="2990" w:type="dxa"/>
            <w:vAlign w:val="center"/>
          </w:tcPr>
          <w:p w14:paraId="547271CA">
            <w:r>
              <w:rPr>
                <w:rFonts w:hint="eastAsia"/>
              </w:rPr>
              <w:t>021-60637103</w:t>
            </w:r>
          </w:p>
        </w:tc>
      </w:tr>
      <w:tr w14:paraId="397D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2B0368"/>
        </w:tc>
        <w:tc>
          <w:tcPr>
            <w:tcW w:w="1384" w:type="dxa"/>
            <w:vAlign w:val="center"/>
          </w:tcPr>
          <w:p w14:paraId="3B57C5CD">
            <w:r>
              <w:rPr>
                <w:rFonts w:hint="eastAsia"/>
              </w:rPr>
              <w:t>电子邮箱</w:t>
            </w:r>
          </w:p>
        </w:tc>
        <w:tc>
          <w:tcPr>
            <w:tcW w:w="2270" w:type="dxa"/>
            <w:vAlign w:val="center"/>
          </w:tcPr>
          <w:p w14:paraId="4F9D77E1">
            <w:r>
              <w:rPr>
                <w:rFonts w:hint="eastAsia"/>
              </w:rPr>
              <w:t>manager@southernfund.com</w:t>
            </w:r>
          </w:p>
        </w:tc>
        <w:tc>
          <w:tcPr>
            <w:tcW w:w="2990" w:type="dxa"/>
            <w:vAlign w:val="center"/>
          </w:tcPr>
          <w:p w14:paraId="6E37B381">
            <w:r>
              <w:rPr>
                <w:rFonts w:hint="eastAsia"/>
              </w:rPr>
              <w:t>wangxiaofei.zh@ccb.com</w:t>
            </w:r>
          </w:p>
        </w:tc>
      </w:tr>
      <w:tr w14:paraId="626A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642BB8">
            <w:r>
              <w:rPr>
                <w:rFonts w:hint="eastAsia"/>
              </w:rPr>
              <w:t>客户服务电话</w:t>
            </w:r>
          </w:p>
        </w:tc>
        <w:tc>
          <w:tcPr>
            <w:tcW w:w="2270" w:type="dxa"/>
            <w:vAlign w:val="center"/>
          </w:tcPr>
          <w:p w14:paraId="68A86066">
            <w:r>
              <w:rPr>
                <w:rFonts w:hint="eastAsia"/>
              </w:rPr>
              <w:t>400-889-8899</w:t>
            </w:r>
          </w:p>
        </w:tc>
        <w:tc>
          <w:tcPr>
            <w:tcW w:w="2990" w:type="dxa"/>
            <w:vAlign w:val="center"/>
          </w:tcPr>
          <w:p w14:paraId="391DC27C">
            <w:r>
              <w:rPr>
                <w:rFonts w:hint="eastAsia"/>
              </w:rPr>
              <w:t>021-60637228</w:t>
            </w:r>
          </w:p>
        </w:tc>
      </w:tr>
      <w:tr w14:paraId="7224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926EC4">
            <w:r>
              <w:rPr>
                <w:rFonts w:hint="eastAsia"/>
              </w:rPr>
              <w:t>传真</w:t>
            </w:r>
          </w:p>
        </w:tc>
        <w:tc>
          <w:tcPr>
            <w:tcW w:w="2270" w:type="dxa"/>
            <w:vAlign w:val="center"/>
          </w:tcPr>
          <w:p w14:paraId="6BF2459D">
            <w:r>
              <w:rPr>
                <w:rFonts w:hint="eastAsia"/>
              </w:rPr>
              <w:t>0755-82763889</w:t>
            </w:r>
          </w:p>
        </w:tc>
        <w:tc>
          <w:tcPr>
            <w:tcW w:w="2990" w:type="dxa"/>
            <w:vAlign w:val="center"/>
          </w:tcPr>
          <w:p w14:paraId="6CC81772">
            <w:r>
              <w:rPr>
                <w:rFonts w:hint="eastAsia"/>
              </w:rPr>
              <w:t>021-60635778</w:t>
            </w:r>
          </w:p>
        </w:tc>
      </w:tr>
      <w:tr w14:paraId="4759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7F7026">
            <w:r>
              <w:rPr>
                <w:rFonts w:hint="eastAsia"/>
              </w:rPr>
              <w:t>注册地址</w:t>
            </w:r>
          </w:p>
        </w:tc>
        <w:tc>
          <w:tcPr>
            <w:tcW w:w="2270" w:type="dxa"/>
            <w:vAlign w:val="center"/>
          </w:tcPr>
          <w:p w14:paraId="6B668D44">
            <w:r>
              <w:rPr>
                <w:rFonts w:hint="eastAsia"/>
              </w:rPr>
              <w:t>深圳市福田区莲花街道益田路5999号基金大厦32-42楼</w:t>
            </w:r>
          </w:p>
        </w:tc>
        <w:tc>
          <w:tcPr>
            <w:tcW w:w="2990" w:type="dxa"/>
            <w:vAlign w:val="center"/>
          </w:tcPr>
          <w:p w14:paraId="3897C4E7">
            <w:r>
              <w:rPr>
                <w:rFonts w:hint="eastAsia"/>
              </w:rPr>
              <w:t>北京市西城区金融大街25号</w:t>
            </w:r>
          </w:p>
        </w:tc>
      </w:tr>
      <w:tr w14:paraId="28C4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7B13BE9">
            <w:r>
              <w:rPr>
                <w:rFonts w:hint="eastAsia"/>
              </w:rPr>
              <w:t>办公地址</w:t>
            </w:r>
          </w:p>
        </w:tc>
        <w:tc>
          <w:tcPr>
            <w:tcW w:w="2270" w:type="dxa"/>
            <w:vAlign w:val="center"/>
          </w:tcPr>
          <w:p w14:paraId="79FB954A">
            <w:r>
              <w:rPr>
                <w:rFonts w:hint="eastAsia"/>
              </w:rPr>
              <w:t>深圳市福田区莲花街道益田路5999号基金大厦32-42楼</w:t>
            </w:r>
          </w:p>
        </w:tc>
        <w:tc>
          <w:tcPr>
            <w:tcW w:w="2990" w:type="dxa"/>
            <w:vAlign w:val="center"/>
          </w:tcPr>
          <w:p w14:paraId="112393AF">
            <w:r>
              <w:rPr>
                <w:rFonts w:hint="eastAsia"/>
              </w:rPr>
              <w:t>北京市西城区闹市口大街1号院1号楼</w:t>
            </w:r>
          </w:p>
        </w:tc>
      </w:tr>
      <w:tr w14:paraId="7AA0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3090A6">
            <w:r>
              <w:rPr>
                <w:rFonts w:hint="eastAsia"/>
              </w:rPr>
              <w:t>邮政编码</w:t>
            </w:r>
          </w:p>
        </w:tc>
        <w:tc>
          <w:tcPr>
            <w:tcW w:w="2270" w:type="dxa"/>
            <w:vAlign w:val="center"/>
          </w:tcPr>
          <w:p w14:paraId="309C83CC">
            <w:r>
              <w:rPr>
                <w:rFonts w:hint="eastAsia"/>
              </w:rPr>
              <w:t>518017</w:t>
            </w:r>
          </w:p>
        </w:tc>
        <w:tc>
          <w:tcPr>
            <w:tcW w:w="2990" w:type="dxa"/>
            <w:vAlign w:val="center"/>
          </w:tcPr>
          <w:p w14:paraId="4875168D">
            <w:r>
              <w:rPr>
                <w:rFonts w:hint="eastAsia"/>
              </w:rPr>
              <w:t>100033</w:t>
            </w:r>
          </w:p>
        </w:tc>
      </w:tr>
      <w:tr w14:paraId="01CA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A9AD61">
            <w:r>
              <w:rPr>
                <w:rFonts w:hint="eastAsia"/>
              </w:rPr>
              <w:t>法定代表人</w:t>
            </w:r>
          </w:p>
        </w:tc>
        <w:tc>
          <w:tcPr>
            <w:tcW w:w="2270" w:type="dxa"/>
            <w:vAlign w:val="center"/>
          </w:tcPr>
          <w:p w14:paraId="760BA9AF">
            <w:r>
              <w:rPr>
                <w:rFonts w:hint="eastAsia"/>
              </w:rPr>
              <w:t>周易</w:t>
            </w:r>
          </w:p>
        </w:tc>
        <w:tc>
          <w:tcPr>
            <w:tcW w:w="2990" w:type="dxa"/>
            <w:vAlign w:val="center"/>
          </w:tcPr>
          <w:p w14:paraId="7D9FA0A4">
            <w:r>
              <w:rPr>
                <w:rFonts w:hint="eastAsia"/>
              </w:rPr>
              <w:t>张金良</w:t>
            </w:r>
          </w:p>
        </w:tc>
      </w:tr>
    </w:tbl>
    <w:p w14:paraId="3839502D">
      <w:pPr>
        <w:pStyle w:val="23"/>
      </w:pPr>
      <w:bookmarkStart w:id="11" w:name="_Toc28085"/>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D66C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22C442">
            <w:r>
              <w:rPr>
                <w:rFonts w:hint="eastAsia"/>
              </w:rPr>
              <w:t>本基金选定的信息披露报纸名称</w:t>
            </w:r>
          </w:p>
        </w:tc>
        <w:tc>
          <w:tcPr>
            <w:tcW w:w="3322" w:type="dxa"/>
            <w:vAlign w:val="center"/>
          </w:tcPr>
          <w:p w14:paraId="18C157A3">
            <w:r>
              <w:rPr>
                <w:rFonts w:hint="eastAsia"/>
              </w:rPr>
              <w:t>上海证券报</w:t>
            </w:r>
          </w:p>
        </w:tc>
      </w:tr>
      <w:tr w14:paraId="2384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50DB6E">
            <w:r>
              <w:rPr>
                <w:rFonts w:hint="eastAsia"/>
              </w:rPr>
              <w:t>登载基金年度报告正文的管理人互联网网址</w:t>
            </w:r>
          </w:p>
        </w:tc>
        <w:tc>
          <w:tcPr>
            <w:tcW w:w="3322" w:type="dxa"/>
            <w:vAlign w:val="center"/>
          </w:tcPr>
          <w:p w14:paraId="0CC606E4">
            <w:r>
              <w:rPr>
                <w:rFonts w:hint="eastAsia"/>
              </w:rPr>
              <w:t>http://www.nffund.com</w:t>
            </w:r>
          </w:p>
        </w:tc>
      </w:tr>
      <w:tr w14:paraId="4F887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085CFC">
            <w:r>
              <w:rPr>
                <w:rFonts w:hint="eastAsia"/>
              </w:rPr>
              <w:t>基金年度报告备置地点</w:t>
            </w:r>
          </w:p>
        </w:tc>
        <w:tc>
          <w:tcPr>
            <w:tcW w:w="3322" w:type="dxa"/>
            <w:vAlign w:val="center"/>
          </w:tcPr>
          <w:p w14:paraId="33D5CAEA">
            <w:r>
              <w:rPr>
                <w:rFonts w:hint="eastAsia"/>
              </w:rPr>
              <w:t>基金管理人、基金托管人的办公地址、基金上市交易的证券交易所（如有）</w:t>
            </w:r>
          </w:p>
        </w:tc>
      </w:tr>
    </w:tbl>
    <w:p w14:paraId="6E88D04C">
      <w:pPr>
        <w:pStyle w:val="23"/>
      </w:pPr>
      <w:r>
        <w:t xml:space="preserve"> </w:t>
      </w:r>
      <w:bookmarkStart w:id="12" w:name="_Toc3635"/>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57C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CCF2713">
            <w:pPr>
              <w:jc w:val="center"/>
            </w:pPr>
            <w:r>
              <w:rPr>
                <w:rFonts w:hint="eastAsia"/>
                <w:b/>
              </w:rPr>
              <w:t>项目</w:t>
            </w:r>
          </w:p>
        </w:tc>
        <w:tc>
          <w:tcPr>
            <w:tcW w:w="2907" w:type="dxa"/>
            <w:shd w:val="clear" w:color="auto" w:fill="BFBFBF"/>
            <w:vAlign w:val="center"/>
          </w:tcPr>
          <w:p w14:paraId="26959896">
            <w:pPr>
              <w:jc w:val="center"/>
            </w:pPr>
            <w:r>
              <w:rPr>
                <w:rFonts w:hint="eastAsia"/>
                <w:b/>
              </w:rPr>
              <w:t>名称</w:t>
            </w:r>
          </w:p>
        </w:tc>
        <w:tc>
          <w:tcPr>
            <w:tcW w:w="3876" w:type="dxa"/>
            <w:shd w:val="clear" w:color="auto" w:fill="BFBFBF"/>
            <w:vAlign w:val="center"/>
          </w:tcPr>
          <w:p w14:paraId="047B31A5">
            <w:pPr>
              <w:jc w:val="center"/>
            </w:pPr>
            <w:r>
              <w:rPr>
                <w:rFonts w:hint="eastAsia"/>
                <w:b/>
              </w:rPr>
              <w:t>办公地址</w:t>
            </w:r>
          </w:p>
        </w:tc>
      </w:tr>
      <w:tr w14:paraId="49D3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B9490B7">
            <w:r>
              <w:rPr>
                <w:rFonts w:hint="eastAsia"/>
              </w:rPr>
              <w:t>会计师事务所</w:t>
            </w:r>
          </w:p>
        </w:tc>
        <w:tc>
          <w:tcPr>
            <w:tcW w:w="2907" w:type="dxa"/>
            <w:vAlign w:val="center"/>
          </w:tcPr>
          <w:p w14:paraId="35B60AD1">
            <w:r>
              <w:rPr>
                <w:rFonts w:hint="eastAsia"/>
              </w:rPr>
              <w:t>安永华明会计师事务所（特殊普通合伙）</w:t>
            </w:r>
          </w:p>
        </w:tc>
        <w:tc>
          <w:tcPr>
            <w:tcW w:w="3876" w:type="dxa"/>
            <w:vAlign w:val="center"/>
          </w:tcPr>
          <w:p w14:paraId="1FEA887C">
            <w:r>
              <w:rPr>
                <w:rFonts w:hint="eastAsia"/>
              </w:rPr>
              <w:t>北京市东城区东长安街1号东方广场安永大楼17层</w:t>
            </w:r>
          </w:p>
        </w:tc>
      </w:tr>
      <w:tr w14:paraId="1C7E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96DF0FF">
            <w:r>
              <w:rPr>
                <w:rFonts w:hint="eastAsia"/>
              </w:rPr>
              <w:t>注册登记机构</w:t>
            </w:r>
          </w:p>
        </w:tc>
        <w:tc>
          <w:tcPr>
            <w:tcW w:w="2907" w:type="dxa"/>
            <w:vAlign w:val="center"/>
          </w:tcPr>
          <w:p w14:paraId="47FC4F45">
            <w:r>
              <w:rPr>
                <w:rFonts w:hint="eastAsia"/>
              </w:rPr>
              <w:t>南方基金管理股份有限公司</w:t>
            </w:r>
          </w:p>
        </w:tc>
        <w:tc>
          <w:tcPr>
            <w:tcW w:w="3876" w:type="dxa"/>
            <w:vAlign w:val="center"/>
          </w:tcPr>
          <w:p w14:paraId="14B141A5">
            <w:r>
              <w:rPr>
                <w:rFonts w:hint="eastAsia"/>
              </w:rPr>
              <w:t>深圳市福田区莲花街道益田路5999号基金大厦32-42楼</w:t>
            </w:r>
          </w:p>
        </w:tc>
      </w:tr>
    </w:tbl>
    <w:p w14:paraId="7DD3EED0">
      <w:pPr>
        <w:pStyle w:val="26"/>
        <w:pageBreakBefore/>
      </w:pPr>
      <w:bookmarkStart w:id="13" w:name="_Toc19206"/>
      <w:r>
        <w:t>主要财务指标、基金净值表现及利润分配情况</w:t>
      </w:r>
      <w:bookmarkEnd w:id="13"/>
    </w:p>
    <w:p w14:paraId="460ABC61">
      <w:pPr>
        <w:pStyle w:val="23"/>
      </w:pPr>
      <w:bookmarkStart w:id="14" w:name="_Toc29079"/>
      <w:r>
        <w:t>主要会计数据和财务指标</w:t>
      </w:r>
      <w:bookmarkEnd w:id="14"/>
    </w:p>
    <w:p w14:paraId="3E518259">
      <w:pPr>
        <w:jc w:val="right"/>
        <w:rPr>
          <w:rFonts w:hint="eastAsia"/>
        </w:rPr>
      </w:pPr>
      <w:r>
        <w:rPr>
          <w:rFonts w:hint="eastAsia"/>
        </w:rPr>
        <w:t>单位：人民币元</w:t>
      </w:r>
    </w:p>
    <w:p w14:paraId="44D1894A">
      <w:pPr>
        <w:pStyle w:val="18"/>
        <w:rPr>
          <w:rFonts w:hint="eastAsia"/>
        </w:rPr>
      </w:pPr>
      <w:r>
        <w:rPr>
          <w:rFonts w:hint="eastAsia"/>
        </w:rPr>
        <w:t>1、南方创业板人工智能ETF联接A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D41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968C5B">
            <w:r>
              <w:rPr>
                <w:rFonts w:hint="eastAsia"/>
              </w:rPr>
              <w:t>3.1.1 期间数据和指标</w:t>
            </w:r>
          </w:p>
        </w:tc>
        <w:tc>
          <w:tcPr>
            <w:tcW w:w="4153" w:type="dxa"/>
            <w:vAlign w:val="center"/>
          </w:tcPr>
          <w:p w14:paraId="257B7CFC">
            <w:r>
              <w:rPr>
                <w:rFonts w:hint="eastAsia"/>
              </w:rPr>
              <w:t>2025年10月30日-2025年12月31日</w:t>
            </w:r>
          </w:p>
        </w:tc>
      </w:tr>
      <w:tr w14:paraId="4DBE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B5438B">
            <w:r>
              <w:rPr>
                <w:rFonts w:hint="eastAsia"/>
              </w:rPr>
              <w:t>本期已实现收益</w:t>
            </w:r>
          </w:p>
        </w:tc>
        <w:tc>
          <w:tcPr>
            <w:tcW w:w="4153" w:type="dxa"/>
            <w:vAlign w:val="center"/>
          </w:tcPr>
          <w:p w14:paraId="50A031E8">
            <w:pPr>
              <w:jc w:val="right"/>
            </w:pPr>
            <w:r>
              <w:rPr>
                <w:rFonts w:hint="eastAsia"/>
              </w:rPr>
              <w:t>150,489,415.99</w:t>
            </w:r>
          </w:p>
        </w:tc>
      </w:tr>
      <w:tr w14:paraId="1A73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8CEA92">
            <w:r>
              <w:rPr>
                <w:rFonts w:hint="eastAsia"/>
              </w:rPr>
              <w:t>本期利润</w:t>
            </w:r>
          </w:p>
        </w:tc>
        <w:tc>
          <w:tcPr>
            <w:tcW w:w="4153" w:type="dxa"/>
            <w:vAlign w:val="center"/>
          </w:tcPr>
          <w:p w14:paraId="5C587CE6">
            <w:pPr>
              <w:jc w:val="right"/>
            </w:pPr>
            <w:r>
              <w:rPr>
                <w:rFonts w:hint="eastAsia"/>
              </w:rPr>
              <w:t>324,300,246.50</w:t>
            </w:r>
          </w:p>
        </w:tc>
      </w:tr>
      <w:tr w14:paraId="3284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D0541C">
            <w:r>
              <w:rPr>
                <w:rFonts w:hint="eastAsia"/>
              </w:rPr>
              <w:t>加权平均基金份额本期利润</w:t>
            </w:r>
          </w:p>
        </w:tc>
        <w:tc>
          <w:tcPr>
            <w:tcW w:w="4153" w:type="dxa"/>
            <w:vAlign w:val="center"/>
          </w:tcPr>
          <w:p w14:paraId="6E33E923">
            <w:pPr>
              <w:jc w:val="right"/>
            </w:pPr>
            <w:r>
              <w:rPr>
                <w:rFonts w:hint="eastAsia"/>
              </w:rPr>
              <w:t>0.1550</w:t>
            </w:r>
          </w:p>
        </w:tc>
      </w:tr>
      <w:tr w14:paraId="3CE3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651CF3">
            <w:r>
              <w:rPr>
                <w:rFonts w:hint="eastAsia"/>
              </w:rPr>
              <w:t>本期加权平均净值利润率</w:t>
            </w:r>
          </w:p>
        </w:tc>
        <w:tc>
          <w:tcPr>
            <w:tcW w:w="4153" w:type="dxa"/>
            <w:vAlign w:val="center"/>
          </w:tcPr>
          <w:p w14:paraId="7718F7A8">
            <w:pPr>
              <w:jc w:val="right"/>
            </w:pPr>
            <w:r>
              <w:rPr>
                <w:rFonts w:hint="eastAsia"/>
              </w:rPr>
              <w:t>14.95%</w:t>
            </w:r>
          </w:p>
        </w:tc>
      </w:tr>
      <w:tr w14:paraId="022D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B53822">
            <w:r>
              <w:rPr>
                <w:rFonts w:hint="eastAsia"/>
              </w:rPr>
              <w:t>本期基金份额净值增长率</w:t>
            </w:r>
          </w:p>
        </w:tc>
        <w:tc>
          <w:tcPr>
            <w:tcW w:w="4153" w:type="dxa"/>
            <w:vAlign w:val="center"/>
          </w:tcPr>
          <w:p w14:paraId="273EA539">
            <w:pPr>
              <w:jc w:val="right"/>
            </w:pPr>
            <w:r>
              <w:rPr>
                <w:rFonts w:hint="eastAsia"/>
              </w:rPr>
              <w:t>17.14%</w:t>
            </w:r>
          </w:p>
        </w:tc>
      </w:tr>
      <w:tr w14:paraId="195A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2451A1">
            <w:r>
              <w:rPr>
                <w:rFonts w:hint="eastAsia"/>
              </w:rPr>
              <w:t>3.1.2 期末数据和指标</w:t>
            </w:r>
          </w:p>
        </w:tc>
        <w:tc>
          <w:tcPr>
            <w:tcW w:w="4153" w:type="dxa"/>
            <w:vAlign w:val="center"/>
          </w:tcPr>
          <w:p w14:paraId="501401BC">
            <w:r>
              <w:rPr>
                <w:rFonts w:hint="eastAsia"/>
              </w:rPr>
              <w:t>2025年末</w:t>
            </w:r>
          </w:p>
        </w:tc>
      </w:tr>
      <w:tr w14:paraId="4287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27DA45">
            <w:r>
              <w:rPr>
                <w:rFonts w:hint="eastAsia"/>
              </w:rPr>
              <w:t>期末可供分配利润</w:t>
            </w:r>
          </w:p>
        </w:tc>
        <w:tc>
          <w:tcPr>
            <w:tcW w:w="4153" w:type="dxa"/>
            <w:vAlign w:val="center"/>
          </w:tcPr>
          <w:p w14:paraId="7084FE2B">
            <w:pPr>
              <w:jc w:val="right"/>
            </w:pPr>
            <w:r>
              <w:rPr>
                <w:rFonts w:hint="eastAsia"/>
              </w:rPr>
              <w:t>93,277,763.47</w:t>
            </w:r>
          </w:p>
        </w:tc>
      </w:tr>
      <w:tr w14:paraId="11EB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F2F382">
            <w:r>
              <w:rPr>
                <w:rFonts w:hint="eastAsia"/>
              </w:rPr>
              <w:t>期末可供分配基金份额利润</w:t>
            </w:r>
          </w:p>
        </w:tc>
        <w:tc>
          <w:tcPr>
            <w:tcW w:w="4153" w:type="dxa"/>
            <w:vAlign w:val="center"/>
          </w:tcPr>
          <w:p w14:paraId="6AD735BC">
            <w:pPr>
              <w:jc w:val="right"/>
            </w:pPr>
            <w:r>
              <w:rPr>
                <w:rFonts w:hint="eastAsia"/>
              </w:rPr>
              <w:t>0.1076</w:t>
            </w:r>
          </w:p>
        </w:tc>
      </w:tr>
      <w:tr w14:paraId="2578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2EB506">
            <w:r>
              <w:rPr>
                <w:rFonts w:hint="eastAsia"/>
              </w:rPr>
              <w:t>期末基金资产净值</w:t>
            </w:r>
          </w:p>
        </w:tc>
        <w:tc>
          <w:tcPr>
            <w:tcW w:w="4153" w:type="dxa"/>
            <w:vAlign w:val="center"/>
          </w:tcPr>
          <w:p w14:paraId="085187F8">
            <w:pPr>
              <w:jc w:val="right"/>
            </w:pPr>
            <w:r>
              <w:rPr>
                <w:rFonts w:hint="eastAsia"/>
              </w:rPr>
              <w:t>1,014,834,942.22</w:t>
            </w:r>
          </w:p>
        </w:tc>
      </w:tr>
      <w:tr w14:paraId="1130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2AFBA0">
            <w:r>
              <w:rPr>
                <w:rFonts w:hint="eastAsia"/>
              </w:rPr>
              <w:t>期末基金份额净值</w:t>
            </w:r>
          </w:p>
        </w:tc>
        <w:tc>
          <w:tcPr>
            <w:tcW w:w="4153" w:type="dxa"/>
            <w:vAlign w:val="center"/>
          </w:tcPr>
          <w:p w14:paraId="5B62C646">
            <w:pPr>
              <w:jc w:val="right"/>
            </w:pPr>
            <w:r>
              <w:rPr>
                <w:rFonts w:hint="eastAsia"/>
              </w:rPr>
              <w:t>1.1714</w:t>
            </w:r>
          </w:p>
        </w:tc>
      </w:tr>
      <w:tr w14:paraId="1C65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4050C6">
            <w:r>
              <w:rPr>
                <w:rFonts w:hint="eastAsia"/>
              </w:rPr>
              <w:t>3.1.3 累计期末指标</w:t>
            </w:r>
          </w:p>
        </w:tc>
        <w:tc>
          <w:tcPr>
            <w:tcW w:w="4153" w:type="dxa"/>
            <w:vAlign w:val="center"/>
          </w:tcPr>
          <w:p w14:paraId="4A3BE998">
            <w:r>
              <w:rPr>
                <w:rFonts w:hint="eastAsia"/>
              </w:rPr>
              <w:t>2025年末</w:t>
            </w:r>
          </w:p>
        </w:tc>
      </w:tr>
      <w:tr w14:paraId="2DB9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FB7D15">
            <w:r>
              <w:rPr>
                <w:rFonts w:hint="eastAsia"/>
              </w:rPr>
              <w:t>基金份额累计净值增长率</w:t>
            </w:r>
          </w:p>
        </w:tc>
        <w:tc>
          <w:tcPr>
            <w:tcW w:w="4153" w:type="dxa"/>
            <w:vAlign w:val="center"/>
          </w:tcPr>
          <w:p w14:paraId="347BB05E">
            <w:pPr>
              <w:jc w:val="right"/>
            </w:pPr>
            <w:r>
              <w:rPr>
                <w:rFonts w:hint="eastAsia"/>
              </w:rPr>
              <w:t>17.14%</w:t>
            </w:r>
          </w:p>
        </w:tc>
      </w:tr>
    </w:tbl>
    <w:p w14:paraId="0615C039">
      <w:pPr>
        <w:pStyle w:val="18"/>
        <w:rPr>
          <w:rFonts w:hint="eastAsia"/>
        </w:rPr>
      </w:pPr>
      <w:r>
        <w:rPr>
          <w:rFonts w:hint="eastAsia"/>
        </w:rPr>
        <w:t>2、南方创业板人工智能ETF联接C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97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36ADB57D">
            <w:r>
              <w:rPr>
                <w:rFonts w:hint="eastAsia"/>
              </w:rPr>
              <w:t>3.1.1 期间数据和指标</w:t>
            </w:r>
          </w:p>
        </w:tc>
        <w:tc>
          <w:tcPr>
            <w:tcW w:w="4153" w:type="dxa"/>
            <w:vAlign w:val="center"/>
          </w:tcPr>
          <w:p w14:paraId="396392A4">
            <w:r>
              <w:rPr>
                <w:rFonts w:hint="eastAsia"/>
              </w:rPr>
              <w:t>2025年10月30日-2025年12月31日</w:t>
            </w:r>
          </w:p>
        </w:tc>
      </w:tr>
      <w:tr w14:paraId="3DC5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0C7B96">
            <w:r>
              <w:rPr>
                <w:rFonts w:hint="eastAsia"/>
              </w:rPr>
              <w:t>本期已实现收益</w:t>
            </w:r>
          </w:p>
        </w:tc>
        <w:tc>
          <w:tcPr>
            <w:tcW w:w="4153" w:type="dxa"/>
            <w:vAlign w:val="center"/>
          </w:tcPr>
          <w:p w14:paraId="00DEFC36">
            <w:pPr>
              <w:jc w:val="right"/>
            </w:pPr>
            <w:r>
              <w:rPr>
                <w:rFonts w:hint="eastAsia"/>
              </w:rPr>
              <w:t>58,110,175.08</w:t>
            </w:r>
          </w:p>
        </w:tc>
      </w:tr>
      <w:tr w14:paraId="4CAA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D34C32">
            <w:r>
              <w:rPr>
                <w:rFonts w:hint="eastAsia"/>
              </w:rPr>
              <w:t>本期利润</w:t>
            </w:r>
          </w:p>
        </w:tc>
        <w:tc>
          <w:tcPr>
            <w:tcW w:w="4153" w:type="dxa"/>
            <w:vAlign w:val="center"/>
          </w:tcPr>
          <w:p w14:paraId="65C00763">
            <w:pPr>
              <w:jc w:val="right"/>
            </w:pPr>
            <w:r>
              <w:rPr>
                <w:rFonts w:hint="eastAsia"/>
              </w:rPr>
              <w:t>110,978,337.39</w:t>
            </w:r>
          </w:p>
        </w:tc>
      </w:tr>
      <w:tr w14:paraId="464F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C324E1">
            <w:r>
              <w:rPr>
                <w:rFonts w:hint="eastAsia"/>
              </w:rPr>
              <w:t>加权平均基金份额本期利润</w:t>
            </w:r>
          </w:p>
        </w:tc>
        <w:tc>
          <w:tcPr>
            <w:tcW w:w="4153" w:type="dxa"/>
            <w:vAlign w:val="center"/>
          </w:tcPr>
          <w:p w14:paraId="35822B25">
            <w:pPr>
              <w:jc w:val="right"/>
            </w:pPr>
            <w:r>
              <w:rPr>
                <w:rFonts w:hint="eastAsia"/>
              </w:rPr>
              <w:t>0.1516</w:t>
            </w:r>
          </w:p>
        </w:tc>
      </w:tr>
      <w:tr w14:paraId="6FC1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9383F9">
            <w:r>
              <w:rPr>
                <w:rFonts w:hint="eastAsia"/>
              </w:rPr>
              <w:t>本期加权平均净值利润率</w:t>
            </w:r>
          </w:p>
        </w:tc>
        <w:tc>
          <w:tcPr>
            <w:tcW w:w="4153" w:type="dxa"/>
            <w:vAlign w:val="center"/>
          </w:tcPr>
          <w:p w14:paraId="4E61E0CE">
            <w:pPr>
              <w:jc w:val="right"/>
            </w:pPr>
            <w:r>
              <w:rPr>
                <w:rFonts w:hint="eastAsia"/>
              </w:rPr>
              <w:t>14.47%</w:t>
            </w:r>
          </w:p>
        </w:tc>
      </w:tr>
      <w:tr w14:paraId="763C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9919F8">
            <w:r>
              <w:rPr>
                <w:rFonts w:hint="eastAsia"/>
              </w:rPr>
              <w:t>本期基金份额净值增长率</w:t>
            </w:r>
          </w:p>
        </w:tc>
        <w:tc>
          <w:tcPr>
            <w:tcW w:w="4153" w:type="dxa"/>
            <w:vAlign w:val="center"/>
          </w:tcPr>
          <w:p w14:paraId="5F62CDDF">
            <w:pPr>
              <w:jc w:val="right"/>
            </w:pPr>
            <w:r>
              <w:rPr>
                <w:rFonts w:hint="eastAsia"/>
              </w:rPr>
              <w:t>17.09%</w:t>
            </w:r>
          </w:p>
        </w:tc>
      </w:tr>
      <w:tr w14:paraId="3AC9A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2A1F25">
            <w:r>
              <w:rPr>
                <w:rFonts w:hint="eastAsia"/>
              </w:rPr>
              <w:t>3.1.2 期末数据和指标</w:t>
            </w:r>
          </w:p>
        </w:tc>
        <w:tc>
          <w:tcPr>
            <w:tcW w:w="4153" w:type="dxa"/>
            <w:vAlign w:val="center"/>
          </w:tcPr>
          <w:p w14:paraId="12115E69">
            <w:r>
              <w:rPr>
                <w:rFonts w:hint="eastAsia"/>
              </w:rPr>
              <w:t>2025年末</w:t>
            </w:r>
          </w:p>
        </w:tc>
      </w:tr>
      <w:tr w14:paraId="10E5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B2B090">
            <w:r>
              <w:rPr>
                <w:rFonts w:hint="eastAsia"/>
              </w:rPr>
              <w:t>期末可供分配利润</w:t>
            </w:r>
          </w:p>
        </w:tc>
        <w:tc>
          <w:tcPr>
            <w:tcW w:w="4153" w:type="dxa"/>
            <w:vAlign w:val="center"/>
          </w:tcPr>
          <w:p w14:paraId="6F54D7D4">
            <w:pPr>
              <w:jc w:val="right"/>
            </w:pPr>
            <w:r>
              <w:rPr>
                <w:rFonts w:hint="eastAsia"/>
              </w:rPr>
              <w:t>52,640,351.83</w:t>
            </w:r>
          </w:p>
        </w:tc>
      </w:tr>
      <w:tr w14:paraId="6256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96731D">
            <w:r>
              <w:rPr>
                <w:rFonts w:hint="eastAsia"/>
              </w:rPr>
              <w:t>期末可供分配基金份额利润</w:t>
            </w:r>
          </w:p>
        </w:tc>
        <w:tc>
          <w:tcPr>
            <w:tcW w:w="4153" w:type="dxa"/>
            <w:vAlign w:val="center"/>
          </w:tcPr>
          <w:p w14:paraId="76811F1F">
            <w:pPr>
              <w:jc w:val="right"/>
            </w:pPr>
            <w:r>
              <w:rPr>
                <w:rFonts w:hint="eastAsia"/>
              </w:rPr>
              <w:t>0.1070</w:t>
            </w:r>
          </w:p>
        </w:tc>
      </w:tr>
      <w:tr w14:paraId="4446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3A6C2F">
            <w:r>
              <w:rPr>
                <w:rFonts w:hint="eastAsia"/>
              </w:rPr>
              <w:t>期末基金资产净值</w:t>
            </w:r>
          </w:p>
        </w:tc>
        <w:tc>
          <w:tcPr>
            <w:tcW w:w="4153" w:type="dxa"/>
            <w:vAlign w:val="center"/>
          </w:tcPr>
          <w:p w14:paraId="5AFB6B6F">
            <w:pPr>
              <w:jc w:val="right"/>
            </w:pPr>
            <w:r>
              <w:rPr>
                <w:rFonts w:hint="eastAsia"/>
              </w:rPr>
              <w:t>575,496,935.47</w:t>
            </w:r>
          </w:p>
        </w:tc>
      </w:tr>
      <w:tr w14:paraId="111D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38B6EC">
            <w:r>
              <w:rPr>
                <w:rFonts w:hint="eastAsia"/>
              </w:rPr>
              <w:t>期末基金份额净值</w:t>
            </w:r>
          </w:p>
        </w:tc>
        <w:tc>
          <w:tcPr>
            <w:tcW w:w="4153" w:type="dxa"/>
            <w:vAlign w:val="center"/>
          </w:tcPr>
          <w:p w14:paraId="490074B5">
            <w:pPr>
              <w:jc w:val="right"/>
            </w:pPr>
            <w:r>
              <w:rPr>
                <w:rFonts w:hint="eastAsia"/>
              </w:rPr>
              <w:t>1.1709</w:t>
            </w:r>
          </w:p>
        </w:tc>
      </w:tr>
      <w:tr w14:paraId="136E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F386AD">
            <w:r>
              <w:rPr>
                <w:rFonts w:hint="eastAsia"/>
              </w:rPr>
              <w:t>3.1.3 累计期末指标</w:t>
            </w:r>
          </w:p>
        </w:tc>
        <w:tc>
          <w:tcPr>
            <w:tcW w:w="4153" w:type="dxa"/>
            <w:vAlign w:val="center"/>
          </w:tcPr>
          <w:p w14:paraId="786CFB80">
            <w:r>
              <w:rPr>
                <w:rFonts w:hint="eastAsia"/>
              </w:rPr>
              <w:t>2025年末</w:t>
            </w:r>
          </w:p>
        </w:tc>
      </w:tr>
      <w:tr w14:paraId="1B99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90D444">
            <w:r>
              <w:rPr>
                <w:rFonts w:hint="eastAsia"/>
              </w:rPr>
              <w:t>基金份额累计净值增长率</w:t>
            </w:r>
          </w:p>
        </w:tc>
        <w:tc>
          <w:tcPr>
            <w:tcW w:w="4153" w:type="dxa"/>
            <w:vAlign w:val="center"/>
          </w:tcPr>
          <w:p w14:paraId="0C0E4214">
            <w:pPr>
              <w:jc w:val="right"/>
            </w:pPr>
            <w:r>
              <w:rPr>
                <w:rFonts w:hint="eastAsia"/>
              </w:rPr>
              <w:t>17.09%</w:t>
            </w:r>
          </w:p>
        </w:tc>
      </w:tr>
    </w:tbl>
    <w:p w14:paraId="01FF44B7">
      <w:pPr>
        <w:pStyle w:val="47"/>
        <w:rPr>
          <w:rFonts w:hint="eastAsia"/>
        </w:rPr>
      </w:pPr>
      <w:r>
        <w:rPr>
          <w:rFonts w:hint="eastAsia"/>
        </w:rPr>
        <w:t>注：基金业绩指标不包括持有人认（申）购或交易基金的各项费用，计入费用后实际收益水平要低于所列数字；</w:t>
      </w:r>
    </w:p>
    <w:p w14:paraId="7E4B007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E0E757B">
      <w:pPr>
        <w:pStyle w:val="47"/>
        <w:rPr>
          <w:rFonts w:hint="eastAsia"/>
        </w:rPr>
      </w:pPr>
      <w:r>
        <w:tab/>
      </w:r>
      <w:r>
        <w:rPr>
          <w:rFonts w:hint="eastAsia"/>
        </w:rPr>
        <w:t>对期末可供分配利润，采用期末资产负债表中未分配利润与未分配利润中已实现部分的孰低数；</w:t>
      </w:r>
    </w:p>
    <w:p w14:paraId="4B6E4A81">
      <w:pPr>
        <w:pStyle w:val="47"/>
        <w:rPr>
          <w:rFonts w:hint="eastAsia"/>
        </w:rPr>
      </w:pPr>
      <w:r>
        <w:tab/>
      </w:r>
      <w:r>
        <w:rPr>
          <w:rFonts w:hint="eastAsia"/>
        </w:rPr>
        <w:t>本基金合同生效日为2025年10月30日，基金合同生效日至本报告期末，本基金运作时间未满一年。</w:t>
      </w:r>
    </w:p>
    <w:p w14:paraId="7FFE4EEA">
      <w:pPr>
        <w:pStyle w:val="23"/>
      </w:pPr>
      <w:bookmarkStart w:id="15" w:name="_Toc32505"/>
      <w:r>
        <w:t>基金净值表现</w:t>
      </w:r>
      <w:bookmarkEnd w:id="15"/>
      <w:r>
        <w:t xml:space="preserve"> </w:t>
      </w:r>
    </w:p>
    <w:p w14:paraId="007338DD">
      <w:pPr>
        <w:pStyle w:val="28"/>
      </w:pPr>
      <w:bookmarkStart w:id="16" w:name="_Toc16"/>
      <w:r>
        <w:t xml:space="preserve">基金份额净值增长率及其与同期业绩比较基准收益率的比较 </w:t>
      </w:r>
      <w:bookmarkEnd w:id="16"/>
    </w:p>
    <w:p w14:paraId="2CA6E07C">
      <w:pPr>
        <w:pStyle w:val="18"/>
        <w:rPr>
          <w:rFonts w:hint="eastAsia"/>
        </w:rPr>
      </w:pPr>
      <w:r>
        <w:rPr>
          <w:rFonts w:hint="eastAsia"/>
        </w:rPr>
        <w:t>南方创业板人工智能ETF联接A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322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50BB52F">
            <w:pPr>
              <w:jc w:val="center"/>
            </w:pPr>
            <w:r>
              <w:rPr>
                <w:rFonts w:hint="eastAsia"/>
                <w:b/>
              </w:rPr>
              <w:t>阶段</w:t>
            </w:r>
          </w:p>
        </w:tc>
        <w:tc>
          <w:tcPr>
            <w:tcW w:w="1101" w:type="dxa"/>
            <w:shd w:val="clear" w:color="auto" w:fill="BFBFBF"/>
            <w:vAlign w:val="center"/>
          </w:tcPr>
          <w:p w14:paraId="2E0361CB">
            <w:pPr>
              <w:jc w:val="center"/>
            </w:pPr>
            <w:r>
              <w:rPr>
                <w:rFonts w:hint="eastAsia"/>
                <w:b/>
              </w:rPr>
              <w:t>份额净值增长率①</w:t>
            </w:r>
          </w:p>
        </w:tc>
        <w:tc>
          <w:tcPr>
            <w:tcW w:w="1101" w:type="dxa"/>
            <w:shd w:val="clear" w:color="auto" w:fill="BFBFBF"/>
            <w:vAlign w:val="center"/>
          </w:tcPr>
          <w:p w14:paraId="0A5F880D">
            <w:pPr>
              <w:jc w:val="center"/>
            </w:pPr>
            <w:r>
              <w:rPr>
                <w:rFonts w:hint="eastAsia"/>
                <w:b/>
              </w:rPr>
              <w:t>份额净值增长率标准差②</w:t>
            </w:r>
          </w:p>
        </w:tc>
        <w:tc>
          <w:tcPr>
            <w:tcW w:w="1101" w:type="dxa"/>
            <w:shd w:val="clear" w:color="auto" w:fill="BFBFBF"/>
            <w:vAlign w:val="center"/>
          </w:tcPr>
          <w:p w14:paraId="33113EB4">
            <w:pPr>
              <w:jc w:val="center"/>
            </w:pPr>
            <w:r>
              <w:rPr>
                <w:rFonts w:hint="eastAsia"/>
                <w:b/>
              </w:rPr>
              <w:t>业绩比较基准收益率③</w:t>
            </w:r>
          </w:p>
        </w:tc>
        <w:tc>
          <w:tcPr>
            <w:tcW w:w="1207" w:type="dxa"/>
            <w:shd w:val="clear" w:color="auto" w:fill="BFBFBF"/>
            <w:vAlign w:val="center"/>
          </w:tcPr>
          <w:p w14:paraId="0C6CB9E2">
            <w:pPr>
              <w:jc w:val="center"/>
            </w:pPr>
            <w:r>
              <w:rPr>
                <w:rFonts w:hint="eastAsia"/>
                <w:b/>
              </w:rPr>
              <w:t>业绩比较基准收益率标准差④</w:t>
            </w:r>
          </w:p>
        </w:tc>
        <w:tc>
          <w:tcPr>
            <w:tcW w:w="1251" w:type="dxa"/>
            <w:shd w:val="clear" w:color="auto" w:fill="BFBFBF"/>
            <w:vAlign w:val="center"/>
          </w:tcPr>
          <w:p w14:paraId="46929312">
            <w:pPr>
              <w:jc w:val="center"/>
            </w:pPr>
            <w:r>
              <w:rPr>
                <w:rFonts w:hint="eastAsia"/>
                <w:b/>
              </w:rPr>
              <w:t>①-③</w:t>
            </w:r>
          </w:p>
        </w:tc>
        <w:tc>
          <w:tcPr>
            <w:tcW w:w="1218" w:type="dxa"/>
            <w:shd w:val="clear" w:color="auto" w:fill="BFBFBF"/>
            <w:vAlign w:val="center"/>
          </w:tcPr>
          <w:p w14:paraId="41B2E40D">
            <w:pPr>
              <w:jc w:val="center"/>
            </w:pPr>
            <w:r>
              <w:rPr>
                <w:rFonts w:hint="eastAsia"/>
                <w:b/>
              </w:rPr>
              <w:t>②-④</w:t>
            </w:r>
          </w:p>
        </w:tc>
      </w:tr>
      <w:tr w14:paraId="6179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8E3B5E">
            <w:r>
              <w:rPr>
                <w:rFonts w:hint="eastAsia"/>
              </w:rPr>
              <w:t>自基金合同生效起至今</w:t>
            </w:r>
          </w:p>
        </w:tc>
        <w:tc>
          <w:tcPr>
            <w:tcW w:w="1101" w:type="dxa"/>
            <w:vAlign w:val="center"/>
          </w:tcPr>
          <w:p w14:paraId="61B9A11C">
            <w:pPr>
              <w:jc w:val="right"/>
            </w:pPr>
            <w:r>
              <w:rPr>
                <w:rFonts w:hint="eastAsia"/>
              </w:rPr>
              <w:t>17.14%</w:t>
            </w:r>
          </w:p>
        </w:tc>
        <w:tc>
          <w:tcPr>
            <w:tcW w:w="1101" w:type="dxa"/>
            <w:vAlign w:val="center"/>
          </w:tcPr>
          <w:p w14:paraId="7E699427">
            <w:pPr>
              <w:jc w:val="right"/>
            </w:pPr>
            <w:r>
              <w:rPr>
                <w:rFonts w:hint="eastAsia"/>
              </w:rPr>
              <w:t>1.88%</w:t>
            </w:r>
          </w:p>
        </w:tc>
        <w:tc>
          <w:tcPr>
            <w:tcW w:w="1101" w:type="dxa"/>
            <w:vAlign w:val="center"/>
          </w:tcPr>
          <w:p w14:paraId="2A35570F">
            <w:pPr>
              <w:jc w:val="right"/>
            </w:pPr>
            <w:r>
              <w:rPr>
                <w:rFonts w:hint="eastAsia"/>
              </w:rPr>
              <w:t>6.09%</w:t>
            </w:r>
          </w:p>
        </w:tc>
        <w:tc>
          <w:tcPr>
            <w:tcW w:w="1207" w:type="dxa"/>
            <w:vAlign w:val="center"/>
          </w:tcPr>
          <w:p w14:paraId="26D3944C">
            <w:pPr>
              <w:jc w:val="right"/>
            </w:pPr>
            <w:r>
              <w:rPr>
                <w:rFonts w:hint="eastAsia"/>
              </w:rPr>
              <w:t>2.23%</w:t>
            </w:r>
          </w:p>
        </w:tc>
        <w:tc>
          <w:tcPr>
            <w:tcW w:w="1251" w:type="dxa"/>
            <w:vAlign w:val="center"/>
          </w:tcPr>
          <w:p w14:paraId="5A2C0225">
            <w:pPr>
              <w:jc w:val="right"/>
            </w:pPr>
            <w:r>
              <w:rPr>
                <w:rFonts w:hint="eastAsia"/>
              </w:rPr>
              <w:t>11.05%</w:t>
            </w:r>
          </w:p>
        </w:tc>
        <w:tc>
          <w:tcPr>
            <w:tcW w:w="1218" w:type="dxa"/>
            <w:vAlign w:val="center"/>
          </w:tcPr>
          <w:p w14:paraId="00398202">
            <w:pPr>
              <w:jc w:val="right"/>
            </w:pPr>
            <w:r>
              <w:rPr>
                <w:rFonts w:hint="eastAsia"/>
              </w:rPr>
              <w:t>-0.35%</w:t>
            </w:r>
          </w:p>
        </w:tc>
      </w:tr>
    </w:tbl>
    <w:p w14:paraId="29FC6B0C">
      <w:pPr>
        <w:pStyle w:val="18"/>
        <w:rPr>
          <w:rFonts w:hint="eastAsia"/>
        </w:rPr>
      </w:pPr>
      <w:r>
        <w:rPr>
          <w:rFonts w:hint="eastAsia"/>
        </w:rPr>
        <w:t>南方创业板人工智能ETF联接C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281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D1A3D71">
            <w:pPr>
              <w:jc w:val="center"/>
            </w:pPr>
            <w:r>
              <w:rPr>
                <w:rFonts w:hint="eastAsia"/>
                <w:b/>
              </w:rPr>
              <w:t>阶段</w:t>
            </w:r>
          </w:p>
        </w:tc>
        <w:tc>
          <w:tcPr>
            <w:tcW w:w="1101" w:type="dxa"/>
            <w:shd w:val="clear" w:color="auto" w:fill="BFBFBF"/>
            <w:vAlign w:val="center"/>
          </w:tcPr>
          <w:p w14:paraId="2F8A6802">
            <w:pPr>
              <w:jc w:val="center"/>
            </w:pPr>
            <w:r>
              <w:rPr>
                <w:rFonts w:hint="eastAsia"/>
                <w:b/>
              </w:rPr>
              <w:t>份额净值增长率①</w:t>
            </w:r>
          </w:p>
        </w:tc>
        <w:tc>
          <w:tcPr>
            <w:tcW w:w="1101" w:type="dxa"/>
            <w:shd w:val="clear" w:color="auto" w:fill="BFBFBF"/>
            <w:vAlign w:val="center"/>
          </w:tcPr>
          <w:p w14:paraId="43DC43E8">
            <w:pPr>
              <w:jc w:val="center"/>
            </w:pPr>
            <w:r>
              <w:rPr>
                <w:rFonts w:hint="eastAsia"/>
                <w:b/>
              </w:rPr>
              <w:t>份额净值增长率标准差②</w:t>
            </w:r>
          </w:p>
        </w:tc>
        <w:tc>
          <w:tcPr>
            <w:tcW w:w="1101" w:type="dxa"/>
            <w:shd w:val="clear" w:color="auto" w:fill="BFBFBF"/>
            <w:vAlign w:val="center"/>
          </w:tcPr>
          <w:p w14:paraId="7E14FB2F">
            <w:pPr>
              <w:jc w:val="center"/>
            </w:pPr>
            <w:r>
              <w:rPr>
                <w:rFonts w:hint="eastAsia"/>
                <w:b/>
              </w:rPr>
              <w:t>业绩比较基准收益率③</w:t>
            </w:r>
          </w:p>
        </w:tc>
        <w:tc>
          <w:tcPr>
            <w:tcW w:w="1207" w:type="dxa"/>
            <w:shd w:val="clear" w:color="auto" w:fill="BFBFBF"/>
            <w:vAlign w:val="center"/>
          </w:tcPr>
          <w:p w14:paraId="6BC360E7">
            <w:pPr>
              <w:jc w:val="center"/>
            </w:pPr>
            <w:r>
              <w:rPr>
                <w:rFonts w:hint="eastAsia"/>
                <w:b/>
              </w:rPr>
              <w:t>业绩比较基准收益率标准差④</w:t>
            </w:r>
          </w:p>
        </w:tc>
        <w:tc>
          <w:tcPr>
            <w:tcW w:w="1251" w:type="dxa"/>
            <w:shd w:val="clear" w:color="auto" w:fill="BFBFBF"/>
            <w:vAlign w:val="center"/>
          </w:tcPr>
          <w:p w14:paraId="39D3AA2E">
            <w:pPr>
              <w:jc w:val="center"/>
            </w:pPr>
            <w:r>
              <w:rPr>
                <w:rFonts w:hint="eastAsia"/>
                <w:b/>
              </w:rPr>
              <w:t>①-③</w:t>
            </w:r>
          </w:p>
        </w:tc>
        <w:tc>
          <w:tcPr>
            <w:tcW w:w="1218" w:type="dxa"/>
            <w:shd w:val="clear" w:color="auto" w:fill="BFBFBF"/>
            <w:vAlign w:val="center"/>
          </w:tcPr>
          <w:p w14:paraId="4A3F0FFC">
            <w:pPr>
              <w:jc w:val="center"/>
            </w:pPr>
            <w:r>
              <w:rPr>
                <w:rFonts w:hint="eastAsia"/>
                <w:b/>
              </w:rPr>
              <w:t>②-④</w:t>
            </w:r>
          </w:p>
        </w:tc>
      </w:tr>
      <w:tr w14:paraId="25AD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DEDE85">
            <w:r>
              <w:rPr>
                <w:rFonts w:hint="eastAsia"/>
              </w:rPr>
              <w:t>自基金合同生效起至今</w:t>
            </w:r>
          </w:p>
        </w:tc>
        <w:tc>
          <w:tcPr>
            <w:tcW w:w="1101" w:type="dxa"/>
            <w:vAlign w:val="center"/>
          </w:tcPr>
          <w:p w14:paraId="7400BA39">
            <w:pPr>
              <w:jc w:val="right"/>
            </w:pPr>
            <w:r>
              <w:rPr>
                <w:rFonts w:hint="eastAsia"/>
              </w:rPr>
              <w:t>17.09%</w:t>
            </w:r>
          </w:p>
        </w:tc>
        <w:tc>
          <w:tcPr>
            <w:tcW w:w="1101" w:type="dxa"/>
            <w:vAlign w:val="center"/>
          </w:tcPr>
          <w:p w14:paraId="57E2F772">
            <w:pPr>
              <w:jc w:val="right"/>
            </w:pPr>
            <w:r>
              <w:rPr>
                <w:rFonts w:hint="eastAsia"/>
              </w:rPr>
              <w:t>1.88%</w:t>
            </w:r>
          </w:p>
        </w:tc>
        <w:tc>
          <w:tcPr>
            <w:tcW w:w="1101" w:type="dxa"/>
            <w:vAlign w:val="center"/>
          </w:tcPr>
          <w:p w14:paraId="1D72F7C9">
            <w:pPr>
              <w:jc w:val="right"/>
            </w:pPr>
            <w:r>
              <w:rPr>
                <w:rFonts w:hint="eastAsia"/>
              </w:rPr>
              <w:t>6.09%</w:t>
            </w:r>
          </w:p>
        </w:tc>
        <w:tc>
          <w:tcPr>
            <w:tcW w:w="1207" w:type="dxa"/>
            <w:vAlign w:val="center"/>
          </w:tcPr>
          <w:p w14:paraId="5A8E07E0">
            <w:pPr>
              <w:jc w:val="right"/>
            </w:pPr>
            <w:r>
              <w:rPr>
                <w:rFonts w:hint="eastAsia"/>
              </w:rPr>
              <w:t>2.23%</w:t>
            </w:r>
          </w:p>
        </w:tc>
        <w:tc>
          <w:tcPr>
            <w:tcW w:w="1251" w:type="dxa"/>
            <w:vAlign w:val="center"/>
          </w:tcPr>
          <w:p w14:paraId="3916102D">
            <w:pPr>
              <w:jc w:val="right"/>
            </w:pPr>
            <w:r>
              <w:rPr>
                <w:rFonts w:hint="eastAsia"/>
              </w:rPr>
              <w:t>11.00%</w:t>
            </w:r>
          </w:p>
        </w:tc>
        <w:tc>
          <w:tcPr>
            <w:tcW w:w="1218" w:type="dxa"/>
            <w:vAlign w:val="center"/>
          </w:tcPr>
          <w:p w14:paraId="2F85468F">
            <w:pPr>
              <w:jc w:val="right"/>
            </w:pPr>
            <w:r>
              <w:rPr>
                <w:rFonts w:hint="eastAsia"/>
              </w:rPr>
              <w:t>-0.35%</w:t>
            </w:r>
          </w:p>
        </w:tc>
      </w:tr>
    </w:tbl>
    <w:p w14:paraId="5F6BBDC6">
      <w:pPr>
        <w:pStyle w:val="28"/>
      </w:pPr>
      <w:bookmarkStart w:id="17" w:name="_Toc17"/>
      <w:r>
        <w:t>自基金合同生效以来基金份额累计净值增长率变动及其与同期业绩比较基准收益率变动的比较</w:t>
      </w:r>
      <w:bookmarkEnd w:id="17"/>
    </w:p>
    <w:p w14:paraId="7DAD08D3">
      <w:pPr>
        <w:jc w:val="center"/>
      </w:pPr>
      <w:r>
        <w:drawing>
          <wp:inline distT="0" distB="0" distL="114300" distR="114300">
            <wp:extent cx="5274310" cy="354076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40796"/>
                    </a:xfrm>
                    <a:prstGeom prst="rect">
                      <a:avLst/>
                    </a:prstGeom>
                  </pic:spPr>
                </pic:pic>
              </a:graphicData>
            </a:graphic>
          </wp:inline>
        </w:drawing>
      </w:r>
    </w:p>
    <w:p w14:paraId="31E3CCA3">
      <w:pPr>
        <w:jc w:val="center"/>
      </w:pPr>
      <w:r>
        <w:drawing>
          <wp:inline distT="0" distB="0" distL="114300" distR="114300">
            <wp:extent cx="5274310" cy="3545205"/>
            <wp:effectExtent l="0" t="0" r="2540"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45755"/>
                    </a:xfrm>
                    <a:prstGeom prst="rect">
                      <a:avLst/>
                    </a:prstGeom>
                  </pic:spPr>
                </pic:pic>
              </a:graphicData>
            </a:graphic>
          </wp:inline>
        </w:drawing>
      </w:r>
    </w:p>
    <w:p w14:paraId="73C86111">
      <w:pPr>
        <w:pStyle w:val="47"/>
        <w:rPr>
          <w:rFonts w:hint="eastAsia"/>
        </w:rPr>
      </w:pPr>
      <w:r>
        <w:rPr>
          <w:rFonts w:hint="eastAsia"/>
        </w:rPr>
        <w:t>注：本基金合同于2025年10月30日生效，截至本报告期末基金成立未满一年；自基金成立日起6个月内为建仓期，截至报告期末建仓期尚未结束。</w:t>
      </w:r>
    </w:p>
    <w:p w14:paraId="51D94FD1">
      <w:pPr>
        <w:pStyle w:val="28"/>
      </w:pPr>
      <w:bookmarkStart w:id="18" w:name="_Toc18"/>
      <w:r>
        <w:t>自基金合同生效以来基金每年净值增长率及其与同期业绩比较基准收益率的比较</w:t>
      </w:r>
      <w:bookmarkEnd w:id="18"/>
    </w:p>
    <w:p w14:paraId="2346D556">
      <w:pPr>
        <w:jc w:val="center"/>
      </w:pPr>
      <w:r>
        <w:drawing>
          <wp:inline distT="0" distB="0" distL="114300" distR="114300">
            <wp:extent cx="5274310" cy="36220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22511"/>
                    </a:xfrm>
                    <a:prstGeom prst="rect">
                      <a:avLst/>
                    </a:prstGeom>
                  </pic:spPr>
                </pic:pic>
              </a:graphicData>
            </a:graphic>
          </wp:inline>
        </w:drawing>
      </w:r>
    </w:p>
    <w:p w14:paraId="4930A564">
      <w:pPr>
        <w:jc w:val="center"/>
      </w:pPr>
      <w:r>
        <w:drawing>
          <wp:inline distT="0" distB="0" distL="114300" distR="114300">
            <wp:extent cx="5274310" cy="36220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22511"/>
                    </a:xfrm>
                    <a:prstGeom prst="rect">
                      <a:avLst/>
                    </a:prstGeom>
                  </pic:spPr>
                </pic:pic>
              </a:graphicData>
            </a:graphic>
          </wp:inline>
        </w:drawing>
      </w:r>
    </w:p>
    <w:p w14:paraId="56898565">
      <w:pPr>
        <w:pStyle w:val="47"/>
        <w:rPr>
          <w:rFonts w:hint="eastAsia"/>
        </w:rPr>
      </w:pPr>
      <w:r>
        <w:rPr>
          <w:rFonts w:hint="eastAsia"/>
        </w:rPr>
        <w:t>注：基金合同生效当年按实际存续期计算，不按整个自然年度进行折算。</w:t>
      </w:r>
    </w:p>
    <w:p w14:paraId="3DA7CD1B">
      <w:pPr>
        <w:pStyle w:val="23"/>
      </w:pPr>
      <w:bookmarkStart w:id="19" w:name="_Toc19198"/>
      <w:r>
        <w:t>过去三年基金的利润分配情况</w:t>
      </w:r>
      <w:bookmarkEnd w:id="19"/>
    </w:p>
    <w:p w14:paraId="3494B438">
      <w:pPr>
        <w:pStyle w:val="18"/>
        <w:rPr>
          <w:rFonts w:hint="eastAsia"/>
        </w:rPr>
      </w:pPr>
      <w:r>
        <w:rPr>
          <w:rFonts w:hint="eastAsia"/>
        </w:rPr>
        <w:t>本基金于2025年10月30日成立，自基金合同生效日以来未进行利润分配。</w:t>
      </w:r>
    </w:p>
    <w:p w14:paraId="6B5AB03B">
      <w:pPr>
        <w:pStyle w:val="26"/>
      </w:pPr>
      <w:bookmarkStart w:id="20" w:name="_Toc25631"/>
      <w:r>
        <w:t>管理人报告</w:t>
      </w:r>
      <w:bookmarkEnd w:id="20"/>
    </w:p>
    <w:p w14:paraId="2E1ADE9B">
      <w:pPr>
        <w:pStyle w:val="23"/>
      </w:pPr>
      <w:bookmarkStart w:id="21" w:name="_Toc21534"/>
      <w:r>
        <w:t>基金管理人及基金经理情况</w:t>
      </w:r>
      <w:bookmarkEnd w:id="21"/>
    </w:p>
    <w:p w14:paraId="362E2B62">
      <w:pPr>
        <w:pStyle w:val="28"/>
      </w:pPr>
      <w:bookmarkStart w:id="22" w:name="_Toc22"/>
      <w:r>
        <w:t>基金管理人及其管理基金的经验</w:t>
      </w:r>
      <w:bookmarkEnd w:id="22"/>
    </w:p>
    <w:p w14:paraId="13B100F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979E49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C732A7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F4FAA84">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64C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133588B">
            <w:pPr>
              <w:jc w:val="center"/>
            </w:pPr>
            <w:r>
              <w:rPr>
                <w:rFonts w:hint="eastAsia"/>
                <w:b/>
              </w:rPr>
              <w:t>姓名</w:t>
            </w:r>
          </w:p>
        </w:tc>
        <w:tc>
          <w:tcPr>
            <w:tcW w:w="830" w:type="dxa"/>
            <w:vMerge w:val="restart"/>
            <w:shd w:val="clear" w:color="auto" w:fill="BFBFBF"/>
            <w:vAlign w:val="center"/>
          </w:tcPr>
          <w:p w14:paraId="427D9FD9">
            <w:pPr>
              <w:jc w:val="center"/>
            </w:pPr>
            <w:r>
              <w:rPr>
                <w:rFonts w:hint="eastAsia"/>
                <w:b/>
              </w:rPr>
              <w:t>职务</w:t>
            </w:r>
          </w:p>
        </w:tc>
        <w:tc>
          <w:tcPr>
            <w:tcW w:w="1090" w:type="dxa"/>
            <w:gridSpan w:val="2"/>
            <w:shd w:val="clear" w:color="auto" w:fill="BFBFBF"/>
            <w:vAlign w:val="center"/>
          </w:tcPr>
          <w:p w14:paraId="41CECA17">
            <w:pPr>
              <w:jc w:val="center"/>
            </w:pPr>
            <w:r>
              <w:rPr>
                <w:rFonts w:hint="eastAsia"/>
                <w:b/>
              </w:rPr>
              <w:t>任本基金的基金经理（助理）期限</w:t>
            </w:r>
          </w:p>
        </w:tc>
        <w:tc>
          <w:tcPr>
            <w:tcW w:w="686" w:type="dxa"/>
            <w:vMerge w:val="restart"/>
            <w:shd w:val="clear" w:color="auto" w:fill="BFBFBF"/>
            <w:vAlign w:val="center"/>
          </w:tcPr>
          <w:p w14:paraId="49C71355">
            <w:pPr>
              <w:jc w:val="center"/>
            </w:pPr>
            <w:r>
              <w:rPr>
                <w:rFonts w:hint="eastAsia"/>
                <w:b/>
              </w:rPr>
              <w:t>证券从业年限</w:t>
            </w:r>
          </w:p>
        </w:tc>
        <w:tc>
          <w:tcPr>
            <w:tcW w:w="3765" w:type="dxa"/>
            <w:vMerge w:val="restart"/>
            <w:shd w:val="clear" w:color="auto" w:fill="BFBFBF"/>
            <w:vAlign w:val="center"/>
          </w:tcPr>
          <w:p w14:paraId="1E89C939">
            <w:pPr>
              <w:jc w:val="center"/>
            </w:pPr>
            <w:r>
              <w:rPr>
                <w:rFonts w:hint="eastAsia"/>
                <w:b/>
              </w:rPr>
              <w:t>说明</w:t>
            </w:r>
          </w:p>
        </w:tc>
      </w:tr>
      <w:tr w14:paraId="4592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DF40C52"/>
        </w:tc>
        <w:tc>
          <w:tcPr>
            <w:tcW w:w="830" w:type="dxa"/>
            <w:vMerge w:val="continue"/>
            <w:vAlign w:val="center"/>
          </w:tcPr>
          <w:p w14:paraId="57D6CADC"/>
        </w:tc>
        <w:tc>
          <w:tcPr>
            <w:tcW w:w="1090" w:type="dxa"/>
            <w:shd w:val="clear" w:color="auto" w:fill="BFBFBF"/>
            <w:vAlign w:val="center"/>
          </w:tcPr>
          <w:p w14:paraId="408F7A17">
            <w:pPr>
              <w:jc w:val="center"/>
            </w:pPr>
            <w:r>
              <w:rPr>
                <w:rFonts w:hint="eastAsia"/>
                <w:b/>
              </w:rPr>
              <w:t>任职日期</w:t>
            </w:r>
          </w:p>
        </w:tc>
        <w:tc>
          <w:tcPr>
            <w:tcW w:w="1090" w:type="dxa"/>
            <w:shd w:val="clear" w:color="auto" w:fill="BFBFBF"/>
            <w:vAlign w:val="center"/>
          </w:tcPr>
          <w:p w14:paraId="22371CE1">
            <w:pPr>
              <w:jc w:val="center"/>
            </w:pPr>
            <w:r>
              <w:rPr>
                <w:rFonts w:hint="eastAsia"/>
                <w:b/>
              </w:rPr>
              <w:t>离任日期</w:t>
            </w:r>
          </w:p>
        </w:tc>
        <w:tc>
          <w:tcPr>
            <w:tcW w:w="686" w:type="dxa"/>
            <w:vMerge w:val="continue"/>
            <w:vAlign w:val="center"/>
          </w:tcPr>
          <w:p w14:paraId="2B3F96B6"/>
        </w:tc>
        <w:tc>
          <w:tcPr>
            <w:tcW w:w="3765" w:type="dxa"/>
            <w:vMerge w:val="continue"/>
            <w:vAlign w:val="center"/>
          </w:tcPr>
          <w:p w14:paraId="24F29B15"/>
        </w:tc>
      </w:tr>
      <w:tr w14:paraId="2B65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5523F5E">
            <w:r>
              <w:rPr>
                <w:rFonts w:hint="eastAsia"/>
              </w:rPr>
              <w:t>潘水洋</w:t>
            </w:r>
          </w:p>
        </w:tc>
        <w:tc>
          <w:tcPr>
            <w:tcW w:w="830" w:type="dxa"/>
            <w:vAlign w:val="center"/>
          </w:tcPr>
          <w:p w14:paraId="07D12E40">
            <w:r>
              <w:rPr>
                <w:rFonts w:hint="eastAsia"/>
              </w:rPr>
              <w:t>本基金基金经理</w:t>
            </w:r>
          </w:p>
        </w:tc>
        <w:tc>
          <w:tcPr>
            <w:tcW w:w="1090" w:type="dxa"/>
            <w:vAlign w:val="center"/>
          </w:tcPr>
          <w:p w14:paraId="7D65F735">
            <w:r>
              <w:rPr>
                <w:rFonts w:hint="eastAsia"/>
              </w:rPr>
              <w:t>2025年10月30日</w:t>
            </w:r>
          </w:p>
        </w:tc>
        <w:tc>
          <w:tcPr>
            <w:tcW w:w="1090" w:type="dxa"/>
            <w:vAlign w:val="center"/>
          </w:tcPr>
          <w:p w14:paraId="433F7923">
            <w:pPr>
              <w:jc w:val="right"/>
            </w:pPr>
            <w:r>
              <w:rPr>
                <w:rFonts w:hint="eastAsia"/>
              </w:rPr>
              <w:t>-</w:t>
            </w:r>
          </w:p>
        </w:tc>
        <w:tc>
          <w:tcPr>
            <w:tcW w:w="686" w:type="dxa"/>
            <w:vAlign w:val="center"/>
          </w:tcPr>
          <w:p w14:paraId="03DFDC19">
            <w:r>
              <w:rPr>
                <w:rFonts w:hint="eastAsia"/>
              </w:rPr>
              <w:t>8年</w:t>
            </w:r>
          </w:p>
        </w:tc>
        <w:tc>
          <w:tcPr>
            <w:tcW w:w="3765" w:type="dxa"/>
            <w:vAlign w:val="center"/>
          </w:tcPr>
          <w:p w14:paraId="27ACDC3E">
            <w:pPr>
              <w:jc w:val="both"/>
            </w:pPr>
            <w:r>
              <w:rPr>
                <w:rFonts w:hint="eastAsia"/>
              </w:rPr>
              <w:t>中国国籍，北京大学金融学专业博士，具有基金从业资格。曾就职于深圳迈瑞生物医疗电子股份有限公司，任系统研究员。2017年7月加入南方基金，历任数量化投资部量化研究员、宏观策略部策略研究员、指数投资部研究员；2021年6月4日至2024年3月7日，任投资经理；2024年7月5日至2025年7月25日，任南方基金南方东英沙特阿拉伯ETF（QDII）基金经理；2024年3月7日至今，任南方中证全指计算机ETF基金经理；2024年3月13日至今，任南方中证机器人ETF发起联接（原：南方中证机器人指数发起）基金经理；2024年6月26日至今，任南方中证国新港股通央企红利ETF基金经理；2024年7月23日至今，任南方中证全指计算机ETF发起联接基金经理；2024年9月3日至今，任南方中证全指汽车指数发起基金经理；2024年9月12日至今，任南方中证国新港股通央企红利ETF发起联接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4月23日至今，任南方创业板人工智能ETF、南方中证全指自由现金流ETF基金经理；2025年7月24日至今，任南方中证机器人ETF基金经理；2025年10月30日至今，任南方创业板人工智能ETF联接基金经理；2025年12月2日至今，任南方中证全指自由现金流ETF联接基金经理。</w:t>
            </w:r>
          </w:p>
        </w:tc>
      </w:tr>
    </w:tbl>
    <w:p w14:paraId="7931646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58363A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6F1D078">
      <w:pPr>
        <w:pStyle w:val="28"/>
      </w:pPr>
      <w:bookmarkStart w:id="24" w:name="_Toc24"/>
      <w:r>
        <w:t>基金经理薪酬机制</w:t>
      </w:r>
      <w:bookmarkEnd w:id="24"/>
    </w:p>
    <w:p w14:paraId="619D634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67C2823">
      <w:pPr>
        <w:pStyle w:val="23"/>
      </w:pPr>
      <w:bookmarkStart w:id="25" w:name="_Toc31025"/>
      <w:r>
        <w:t>管理人对报告期内本基金运作遵规守信情况的说明</w:t>
      </w:r>
      <w:bookmarkEnd w:id="25"/>
      <w:r>
        <w:t xml:space="preserve"> </w:t>
      </w:r>
    </w:p>
    <w:p w14:paraId="126F896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2572D41">
      <w:pPr>
        <w:pStyle w:val="23"/>
      </w:pPr>
      <w:bookmarkStart w:id="26" w:name="_Toc30008"/>
      <w:r>
        <w:t>管理人对报告期内公平交易情况的专项说明</w:t>
      </w:r>
      <w:bookmarkEnd w:id="26"/>
    </w:p>
    <w:p w14:paraId="7CCD2132">
      <w:pPr>
        <w:pStyle w:val="28"/>
      </w:pPr>
      <w:bookmarkStart w:id="27" w:name="_Toc27"/>
      <w:r>
        <w:t>公平交易制度和控制方法</w:t>
      </w:r>
      <w:bookmarkEnd w:id="27"/>
    </w:p>
    <w:p w14:paraId="1D16DB7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4464EDE">
      <w:pPr>
        <w:pStyle w:val="28"/>
      </w:pPr>
      <w:bookmarkStart w:id="28" w:name="_Toc28"/>
      <w:r>
        <w:t>公平交易制度的执行情况</w:t>
      </w:r>
      <w:bookmarkEnd w:id="28"/>
    </w:p>
    <w:p w14:paraId="133BE02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50AD44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3665CC8">
      <w:pPr>
        <w:pStyle w:val="35"/>
      </w:pPr>
      <w:bookmarkStart w:id="29" w:name="_Toc29"/>
      <w:r>
        <w:t>增加执行的基金经理公平交易制度执行情况及公平交易管理情况</w:t>
      </w:r>
      <w:bookmarkEnd w:id="29"/>
    </w:p>
    <w:p w14:paraId="08FEB6A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DA381A5">
      <w:pPr>
        <w:pStyle w:val="28"/>
      </w:pPr>
      <w:bookmarkStart w:id="30" w:name="_Toc30"/>
      <w:r>
        <w:t>异常交易行为的专项说明</w:t>
      </w:r>
      <w:bookmarkEnd w:id="30"/>
    </w:p>
    <w:p w14:paraId="1640229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7BD7B9E">
      <w:pPr>
        <w:pStyle w:val="23"/>
      </w:pPr>
      <w:bookmarkStart w:id="31" w:name="_Toc8209"/>
      <w:r>
        <w:t>管理人对报告期内基金的投资策略和业绩表现的说明</w:t>
      </w:r>
      <w:bookmarkEnd w:id="31"/>
    </w:p>
    <w:p w14:paraId="0D614B40">
      <w:pPr>
        <w:pStyle w:val="28"/>
      </w:pPr>
      <w:bookmarkStart w:id="32" w:name="_Toc32"/>
      <w:r>
        <w:t>报告期内基金投资策略和运作分析</w:t>
      </w:r>
      <w:bookmarkEnd w:id="32"/>
    </w:p>
    <w:p w14:paraId="48A243FA">
      <w:pPr>
        <w:pStyle w:val="18"/>
        <w:rPr>
          <w:rFonts w:hint="eastAsia"/>
        </w:rPr>
      </w:pPr>
      <w:r>
        <w:rPr>
          <w:rFonts w:hint="eastAsia"/>
        </w:rPr>
        <w:t>本基金于2025年10月30日成立，成立以来创业板人工智能指数上涨6.36%。期间我们通过自建的“指数化交易系统”、“日内择时交易模型”、“跟踪误差归因分析系统”等，将本基金的跟踪误差指标控制在较好水平，并通过严格的风险管理流程，确保了本基金的安全运作。</w:t>
      </w:r>
    </w:p>
    <w:p w14:paraId="452D1CAD">
      <w:pPr>
        <w:pStyle w:val="18"/>
        <w:rPr>
          <w:rFonts w:hint="eastAsia"/>
        </w:rPr>
      </w:pPr>
      <w:r>
        <w:rPr>
          <w:rFonts w:hint="eastAsia"/>
        </w:rPr>
        <w:t>我们对本基金报告期内跟踪误差归因分析如下：</w:t>
      </w:r>
    </w:p>
    <w:p w14:paraId="79E40116">
      <w:pPr>
        <w:pStyle w:val="18"/>
        <w:rPr>
          <w:rFonts w:hint="eastAsia"/>
        </w:rPr>
      </w:pPr>
      <w:r>
        <w:rPr>
          <w:rFonts w:hint="eastAsia"/>
        </w:rPr>
        <w:t>大额申购赎回带来的成份股权重偏差，对此我们通过日内择时交易争取跟踪误差最小化。</w:t>
      </w:r>
    </w:p>
    <w:p w14:paraId="7712F008">
      <w:pPr>
        <w:pStyle w:val="28"/>
      </w:pPr>
      <w:bookmarkStart w:id="33" w:name="_Toc33"/>
      <w:r>
        <w:t>报告期内基金的业绩表现</w:t>
      </w:r>
      <w:bookmarkEnd w:id="33"/>
    </w:p>
    <w:p w14:paraId="7B105F36">
      <w:pPr>
        <w:pStyle w:val="18"/>
        <w:rPr>
          <w:rFonts w:hint="eastAsia"/>
        </w:rPr>
      </w:pPr>
      <w:r>
        <w:rPr>
          <w:rFonts w:hint="eastAsia"/>
        </w:rPr>
        <w:t>截至报告期末，本基金A份额净值为1.1714元，报告期内，份额净值增长率为17.14%，同期业绩基准增长率为6.09%；本基金C份额净值为1.1709元，报告期内，份额净值增长率为17.09%，同期业绩基准增长率为6.09%。</w:t>
      </w:r>
    </w:p>
    <w:p w14:paraId="6F374205">
      <w:pPr>
        <w:pStyle w:val="23"/>
      </w:pPr>
      <w:bookmarkStart w:id="34" w:name="_Toc24745"/>
      <w:r>
        <w:t>管理人对宏观经济、证券市场及行业走势的简要展望</w:t>
      </w:r>
      <w:bookmarkEnd w:id="34"/>
    </w:p>
    <w:p w14:paraId="7CF1EAC0">
      <w:pPr>
        <w:pStyle w:val="18"/>
        <w:rPr>
          <w:rFonts w:hint="eastAsia"/>
        </w:rPr>
      </w:pPr>
      <w:r>
        <w:rPr>
          <w:rFonts w:hint="eastAsia"/>
        </w:rPr>
        <w:t>报告期内，人工智能产业在"人工智能+"行动纲领的引领下，正在从核心技术的攻关突破期，全面迈入赋能千行百业、塑造新质生产力的价值实现阶段。宏观层面，国内"人工智能+"升格为创新驱动核心战略，中央经济工作会议明确其作为培育新质生产力、驱动经济增长的核心引擎地位，为大规模商业化应用扫清制度障碍，海外流动性预期边际改善，共同为科技成长板块奠定了有利的政策与资金环境。产业层面，光模块赛道迎来确定性机遇，全球算力基建进入规模化扩张周期，从国际巨头到国内大厂的资本开支为上游算力硬件尤其是高速光模块带来了高度确定的需求牵引，行业景气度持续攀升并得到龙头企业亮眼财报的验证。AI应用从技术验证期全面迈入商业化落地期，垂直场景渗透加速，AI+营销、AI+医疗、AI+工业软件等结构性机会凸显，应用端价值实现路径逐步清晰，为板块提供了多元增长引擎。在此背景下，板块凝聚了明确的产业趋势与基本面支撑，光模块行业将持续享受速率迭代与需求爆发的双重红利，AI应用商业化为产业链带来持续成长动能，吸引了市场的持续关注，展现出较大的投资潜力与配置价值。</w:t>
      </w:r>
    </w:p>
    <w:p w14:paraId="3189A756">
      <w:pPr>
        <w:pStyle w:val="23"/>
      </w:pPr>
      <w:bookmarkStart w:id="35" w:name="_Toc16807"/>
      <w:r>
        <w:t>管理人内部有关本基金的监察稽核工作情况</w:t>
      </w:r>
      <w:bookmarkEnd w:id="35"/>
      <w:r>
        <w:t xml:space="preserve"> </w:t>
      </w:r>
    </w:p>
    <w:p w14:paraId="6FF2E86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B27A16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8D8584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92E168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A230A2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539CB9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F14AC5B">
      <w:pPr>
        <w:pStyle w:val="23"/>
      </w:pPr>
      <w:bookmarkStart w:id="36" w:name="_Toc17357"/>
      <w:r>
        <w:t>管理人对报告期内基金估值程序等事项的说明</w:t>
      </w:r>
      <w:bookmarkEnd w:id="36"/>
    </w:p>
    <w:p w14:paraId="5452DA3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8805943">
      <w:pPr>
        <w:pStyle w:val="23"/>
      </w:pPr>
      <w:bookmarkStart w:id="37" w:name="_Toc26020"/>
      <w:r>
        <w:t>管理人对报告期内基金利润分配情况的说明</w:t>
      </w:r>
      <w:bookmarkEnd w:id="37"/>
      <w:r>
        <w:t xml:space="preserve"> </w:t>
      </w:r>
    </w:p>
    <w:p w14:paraId="48F34B20">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58BC00F">
      <w:pPr>
        <w:pStyle w:val="23"/>
      </w:pPr>
      <w:bookmarkStart w:id="38" w:name="_Toc1405"/>
      <w:r>
        <w:t>报告期内基金持有人数或基金资产净值预警说明</w:t>
      </w:r>
      <w:bookmarkEnd w:id="38"/>
    </w:p>
    <w:p w14:paraId="72D51FCF">
      <w:pPr>
        <w:pStyle w:val="18"/>
        <w:rPr>
          <w:rFonts w:hint="eastAsia"/>
        </w:rPr>
      </w:pPr>
      <w:r>
        <w:rPr>
          <w:rFonts w:hint="eastAsia"/>
        </w:rPr>
        <w:t>报告期内，本基金未出现连续二十个交易日基金份额持有人数量不满二百人或者基金资产净值低于五千万元的情形。</w:t>
      </w:r>
    </w:p>
    <w:p w14:paraId="79C20DB5">
      <w:pPr>
        <w:pStyle w:val="26"/>
      </w:pPr>
      <w:r>
        <w:t xml:space="preserve"> </w:t>
      </w:r>
      <w:bookmarkStart w:id="39" w:name="_Toc14128"/>
      <w:r>
        <w:t>托管人报告</w:t>
      </w:r>
      <w:bookmarkEnd w:id="39"/>
    </w:p>
    <w:p w14:paraId="22C9D11A">
      <w:pPr>
        <w:pStyle w:val="23"/>
      </w:pPr>
      <w:bookmarkStart w:id="40" w:name="_Toc23573"/>
      <w:r>
        <w:t>报告期内本基金托管人遵规守信情况声明</w:t>
      </w:r>
      <w:bookmarkEnd w:id="40"/>
    </w:p>
    <w:p w14:paraId="1492B8AD">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7C9C1F4C">
      <w:pPr>
        <w:pStyle w:val="23"/>
      </w:pPr>
      <w:bookmarkStart w:id="41" w:name="_Toc853"/>
      <w:r>
        <w:t>托管人对报告期内本基金投资运作遵规守信、净值计算、利润分配等情况的说明</w:t>
      </w:r>
      <w:bookmarkEnd w:id="41"/>
      <w:r>
        <w:t xml:space="preserve"> </w:t>
      </w:r>
    </w:p>
    <w:p w14:paraId="4F0C08DF">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41EBCEA6">
      <w:pPr>
        <w:pStyle w:val="18"/>
        <w:rPr>
          <w:rFonts w:hint="eastAsia"/>
        </w:rPr>
      </w:pPr>
      <w:r>
        <w:rPr>
          <w:rFonts w:hint="eastAsia"/>
        </w:rPr>
        <w:t>报告期内，本基金利润分配情况符合法律法规和基金合同的相关约定。</w:t>
      </w:r>
    </w:p>
    <w:p w14:paraId="13153900">
      <w:pPr>
        <w:pStyle w:val="23"/>
      </w:pPr>
      <w:bookmarkStart w:id="42" w:name="_Toc16376"/>
      <w:r>
        <w:t>托管人对本年度报告中财务信息等内容的真实、准确和完整发表意见</w:t>
      </w:r>
      <w:bookmarkEnd w:id="42"/>
    </w:p>
    <w:p w14:paraId="1E2FDD28">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71EFB368">
      <w:pPr>
        <w:pStyle w:val="26"/>
      </w:pPr>
      <w:r>
        <w:t xml:space="preserve"> </w:t>
      </w:r>
      <w:bookmarkStart w:id="43" w:name="_Toc22104"/>
      <w:r>
        <w:t>审计报告</w:t>
      </w:r>
      <w:bookmarkEnd w:id="43"/>
      <w:r>
        <w:t xml:space="preserve"> </w:t>
      </w:r>
    </w:p>
    <w:p w14:paraId="06A07D53">
      <w:pPr>
        <w:pStyle w:val="23"/>
      </w:pPr>
      <w:bookmarkStart w:id="44" w:name="_Toc17420"/>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A57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418AA2">
            <w:r>
              <w:rPr>
                <w:rFonts w:hint="eastAsia"/>
              </w:rPr>
              <w:t>财务报表是否经过审计</w:t>
            </w:r>
          </w:p>
        </w:tc>
        <w:tc>
          <w:tcPr>
            <w:tcW w:w="4153" w:type="dxa"/>
            <w:vAlign w:val="center"/>
          </w:tcPr>
          <w:p w14:paraId="788EDC8C">
            <w:r>
              <w:rPr>
                <w:rFonts w:hint="eastAsia"/>
              </w:rPr>
              <w:t>是</w:t>
            </w:r>
          </w:p>
        </w:tc>
      </w:tr>
      <w:tr w14:paraId="6E68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D12988">
            <w:r>
              <w:rPr>
                <w:rFonts w:hint="eastAsia"/>
              </w:rPr>
              <w:t>审计意见类型</w:t>
            </w:r>
          </w:p>
        </w:tc>
        <w:tc>
          <w:tcPr>
            <w:tcW w:w="4153" w:type="dxa"/>
            <w:vAlign w:val="center"/>
          </w:tcPr>
          <w:p w14:paraId="161AC82B">
            <w:r>
              <w:rPr>
                <w:rFonts w:hint="eastAsia"/>
              </w:rPr>
              <w:t>标准无保留意见</w:t>
            </w:r>
          </w:p>
        </w:tc>
      </w:tr>
      <w:tr w14:paraId="177A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D36A08">
            <w:r>
              <w:rPr>
                <w:rFonts w:hint="eastAsia"/>
              </w:rPr>
              <w:t>审计报告编号</w:t>
            </w:r>
          </w:p>
        </w:tc>
        <w:tc>
          <w:tcPr>
            <w:tcW w:w="4153" w:type="dxa"/>
            <w:vAlign w:val="center"/>
          </w:tcPr>
          <w:p w14:paraId="083E8FAE">
            <w:r>
              <w:rPr>
                <w:rFonts w:hint="eastAsia"/>
              </w:rPr>
              <w:t>安永华明（2026）审字第70027797_H144号</w:t>
            </w:r>
          </w:p>
        </w:tc>
      </w:tr>
    </w:tbl>
    <w:p w14:paraId="3CD7C92E">
      <w:pPr>
        <w:pStyle w:val="23"/>
      </w:pPr>
      <w:bookmarkStart w:id="45" w:name="_Toc26472"/>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260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6DBFDA1">
            <w:pPr>
              <w:jc w:val="center"/>
            </w:pPr>
            <w:r>
              <w:rPr>
                <w:rFonts w:hint="eastAsia"/>
                <w:b/>
              </w:rPr>
              <w:t>审计报告标题</w:t>
            </w:r>
          </w:p>
        </w:tc>
        <w:tc>
          <w:tcPr>
            <w:tcW w:w="2491" w:type="dxa"/>
            <w:gridSpan w:val="2"/>
            <w:shd w:val="clear" w:color="auto" w:fill="BFBFBF"/>
            <w:vAlign w:val="center"/>
          </w:tcPr>
          <w:p w14:paraId="1CA8BD43">
            <w:pPr>
              <w:jc w:val="center"/>
            </w:pPr>
            <w:r>
              <w:rPr>
                <w:rFonts w:hint="eastAsia"/>
                <w:b/>
              </w:rPr>
              <w:t>审计报告</w:t>
            </w:r>
          </w:p>
        </w:tc>
      </w:tr>
      <w:tr w14:paraId="55B6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331CFB">
            <w:r>
              <w:rPr>
                <w:rFonts w:hint="eastAsia"/>
              </w:rPr>
              <w:t>审计报告收件人</w:t>
            </w:r>
          </w:p>
        </w:tc>
        <w:tc>
          <w:tcPr>
            <w:tcW w:w="2491" w:type="dxa"/>
            <w:gridSpan w:val="2"/>
            <w:vAlign w:val="center"/>
          </w:tcPr>
          <w:p w14:paraId="2BE1B5EB">
            <w:r>
              <w:rPr>
                <w:rFonts w:hint="eastAsia"/>
              </w:rPr>
              <w:t>南方创业板人工智能交易型开放式指数证券投资基金联接基金全体基金份额持有人</w:t>
            </w:r>
          </w:p>
        </w:tc>
      </w:tr>
      <w:tr w14:paraId="2BB7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BE73E6">
            <w:r>
              <w:rPr>
                <w:rFonts w:hint="eastAsia"/>
              </w:rPr>
              <w:t>审计意见</w:t>
            </w:r>
          </w:p>
        </w:tc>
        <w:tc>
          <w:tcPr>
            <w:tcW w:w="2491" w:type="dxa"/>
            <w:gridSpan w:val="2"/>
            <w:vAlign w:val="center"/>
          </w:tcPr>
          <w:p w14:paraId="62FDBE23">
            <w:pPr>
              <w:jc w:val="both"/>
              <w:rPr>
                <w:rFonts w:hint="eastAsia"/>
              </w:rPr>
            </w:pPr>
            <w:r>
              <w:rPr>
                <w:rFonts w:hint="eastAsia"/>
              </w:rPr>
              <w:t>我们审计了南方创业板人工智能交易型开放式指数证券投资基金联接基金的财务报表，包括2025年12月31日的资产负债表，2025年10月30日（基金合同生效日）至2025年12月31日止期间的利润表、净资产变动表以及相关财务报表附注。
</w:t>
            </w:r>
            <w:r>
              <w:rPr>
                <w:rFonts w:hint="eastAsia"/>
              </w:rPr>
              <w:br w:type="textWrapping"/>
            </w:r>
            <w:r>
              <w:rPr>
                <w:rFonts w:hint="eastAsia"/>
              </w:rPr>
              <w:t>我们认为，后附的南方创业板人工智能交易型开放式指数证券投资基金联接基金的财务报表在所有重大方面按照企业会计准则的规定编制，公允反映了南方创业板人工智能交易型开放式指数证券投资基金联接基金2025年12月31日的财务状况以及2025年10月30日（基金合同生效日）至2025年12月31日止期间的经营成果和净资产变动情况。</w:t>
            </w:r>
          </w:p>
        </w:tc>
      </w:tr>
      <w:tr w14:paraId="7B9B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D48736">
            <w:r>
              <w:rPr>
                <w:rFonts w:hint="eastAsia"/>
              </w:rPr>
              <w:t>形成审计意见的基础</w:t>
            </w:r>
          </w:p>
        </w:tc>
        <w:tc>
          <w:tcPr>
            <w:tcW w:w="2491" w:type="dxa"/>
            <w:gridSpan w:val="2"/>
            <w:vAlign w:val="center"/>
          </w:tcPr>
          <w:p w14:paraId="27FA3E1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创业板人工智能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2DC2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90A8C3">
            <w:r>
              <w:rPr>
                <w:rFonts w:hint="eastAsia"/>
              </w:rPr>
              <w:t>强调事项</w:t>
            </w:r>
          </w:p>
        </w:tc>
        <w:tc>
          <w:tcPr>
            <w:tcW w:w="2491" w:type="dxa"/>
            <w:gridSpan w:val="2"/>
            <w:vAlign w:val="center"/>
          </w:tcPr>
          <w:p w14:paraId="36EF8317">
            <w:pPr>
              <w:jc w:val="right"/>
            </w:pPr>
            <w:r>
              <w:rPr>
                <w:rFonts w:hint="eastAsia"/>
              </w:rPr>
              <w:t>-</w:t>
            </w:r>
          </w:p>
        </w:tc>
      </w:tr>
      <w:tr w14:paraId="355D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9CEE14">
            <w:r>
              <w:rPr>
                <w:rFonts w:hint="eastAsia"/>
              </w:rPr>
              <w:t>其他事项</w:t>
            </w:r>
          </w:p>
        </w:tc>
        <w:tc>
          <w:tcPr>
            <w:tcW w:w="2491" w:type="dxa"/>
            <w:gridSpan w:val="2"/>
            <w:vAlign w:val="center"/>
          </w:tcPr>
          <w:p w14:paraId="43F74306">
            <w:pPr>
              <w:jc w:val="right"/>
            </w:pPr>
            <w:r>
              <w:rPr>
                <w:rFonts w:hint="eastAsia"/>
              </w:rPr>
              <w:t>-</w:t>
            </w:r>
          </w:p>
        </w:tc>
      </w:tr>
      <w:tr w14:paraId="5A39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3D711B">
            <w:r>
              <w:rPr>
                <w:rFonts w:hint="eastAsia"/>
              </w:rPr>
              <w:t>其他信息</w:t>
            </w:r>
          </w:p>
        </w:tc>
        <w:tc>
          <w:tcPr>
            <w:tcW w:w="2491" w:type="dxa"/>
            <w:gridSpan w:val="2"/>
            <w:vAlign w:val="center"/>
          </w:tcPr>
          <w:p w14:paraId="5406F92F">
            <w:pPr>
              <w:jc w:val="both"/>
              <w:rPr>
                <w:rFonts w:hint="eastAsia"/>
              </w:rPr>
            </w:pPr>
            <w:r>
              <w:rPr>
                <w:rFonts w:hint="eastAsia"/>
              </w:rPr>
              <w:t>南方创业板人工智能交易型开放式指数证券投资基金联接基金管理层对其他信息负责。其他信息包括年度报告中涵盖的信息，但不包括财务报表和我们的审计报告。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91B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852EE7">
            <w:r>
              <w:rPr>
                <w:rFonts w:hint="eastAsia"/>
              </w:rPr>
              <w:t>管理层和治理层对财务报表的责任</w:t>
            </w:r>
          </w:p>
        </w:tc>
        <w:tc>
          <w:tcPr>
            <w:tcW w:w="2491" w:type="dxa"/>
            <w:gridSpan w:val="2"/>
            <w:vAlign w:val="center"/>
          </w:tcPr>
          <w:p w14:paraId="60037541">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创业板人工智能交易型开放式指数证券投资基金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治理层负责监督南方创业板人工智能交易型开放式指数证券投资基金联接基金的财务报告过程。</w:t>
            </w:r>
          </w:p>
        </w:tc>
      </w:tr>
      <w:tr w14:paraId="14F0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9F6166">
            <w:r>
              <w:rPr>
                <w:rFonts w:hint="eastAsia"/>
              </w:rPr>
              <w:t>注册会计师对财务报表审计的责任</w:t>
            </w:r>
          </w:p>
        </w:tc>
        <w:tc>
          <w:tcPr>
            <w:tcW w:w="2491" w:type="dxa"/>
            <w:gridSpan w:val="2"/>
            <w:vAlign w:val="center"/>
          </w:tcPr>
          <w:p w14:paraId="49E21E1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创业板人工智能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创业板人工智能交易型开放式指数证券投资基金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5244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1DB989">
            <w:r>
              <w:rPr>
                <w:rFonts w:hint="eastAsia"/>
              </w:rPr>
              <w:t>会计师事务所的名称</w:t>
            </w:r>
          </w:p>
        </w:tc>
        <w:tc>
          <w:tcPr>
            <w:tcW w:w="2491" w:type="dxa"/>
            <w:gridSpan w:val="2"/>
            <w:vAlign w:val="center"/>
          </w:tcPr>
          <w:p w14:paraId="4BB3833A">
            <w:r>
              <w:rPr>
                <w:rFonts w:hint="eastAsia"/>
              </w:rPr>
              <w:t>安永华明会计师事务所（特殊普通合伙）</w:t>
            </w:r>
          </w:p>
        </w:tc>
      </w:tr>
      <w:tr w14:paraId="36A1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0C4847">
            <w:r>
              <w:rPr>
                <w:rFonts w:hint="eastAsia"/>
              </w:rPr>
              <w:t>注册会计师的姓名</w:t>
            </w:r>
          </w:p>
        </w:tc>
        <w:tc>
          <w:tcPr>
            <w:tcW w:w="2491" w:type="dxa"/>
            <w:vAlign w:val="center"/>
          </w:tcPr>
          <w:p w14:paraId="4C776332">
            <w:r>
              <w:rPr>
                <w:rFonts w:hint="eastAsia"/>
              </w:rPr>
              <w:t>高  鹤</w:t>
            </w:r>
          </w:p>
        </w:tc>
        <w:tc>
          <w:tcPr>
            <w:tcW w:w="2768" w:type="dxa"/>
            <w:vAlign w:val="center"/>
          </w:tcPr>
          <w:p w14:paraId="520BBB8C">
            <w:r>
              <w:rPr>
                <w:rFonts w:hint="eastAsia"/>
              </w:rPr>
              <w:t>邓  雯</w:t>
            </w:r>
          </w:p>
        </w:tc>
      </w:tr>
      <w:tr w14:paraId="19AB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89BAD0">
            <w:r>
              <w:rPr>
                <w:rFonts w:hint="eastAsia"/>
              </w:rPr>
              <w:t>会计师事务所的地址</w:t>
            </w:r>
          </w:p>
        </w:tc>
        <w:tc>
          <w:tcPr>
            <w:tcW w:w="2491" w:type="dxa"/>
            <w:gridSpan w:val="2"/>
            <w:vAlign w:val="center"/>
          </w:tcPr>
          <w:p w14:paraId="3E383C39">
            <w:r>
              <w:rPr>
                <w:rFonts w:hint="eastAsia"/>
              </w:rPr>
              <w:t>北京市东城区东长安街1号东方广场安永大楼17层</w:t>
            </w:r>
          </w:p>
        </w:tc>
      </w:tr>
      <w:tr w14:paraId="1871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C3CE38">
            <w:r>
              <w:rPr>
                <w:rFonts w:hint="eastAsia"/>
              </w:rPr>
              <w:t>审计报告日期</w:t>
            </w:r>
          </w:p>
        </w:tc>
        <w:tc>
          <w:tcPr>
            <w:tcW w:w="2491" w:type="dxa"/>
            <w:gridSpan w:val="2"/>
            <w:vAlign w:val="center"/>
          </w:tcPr>
          <w:p w14:paraId="22F25591">
            <w:r>
              <w:rPr>
                <w:rFonts w:hint="eastAsia"/>
              </w:rPr>
              <w:t>2026年3月27日</w:t>
            </w:r>
          </w:p>
        </w:tc>
      </w:tr>
    </w:tbl>
    <w:p w14:paraId="120009E7">
      <w:pPr>
        <w:pStyle w:val="26"/>
      </w:pPr>
      <w:bookmarkStart w:id="46" w:name="_Toc31519"/>
      <w:r>
        <w:t>年度财务报表</w:t>
      </w:r>
      <w:bookmarkEnd w:id="46"/>
      <w:r>
        <w:t xml:space="preserve"> </w:t>
      </w:r>
    </w:p>
    <w:p w14:paraId="63693492">
      <w:pPr>
        <w:pStyle w:val="23"/>
      </w:pPr>
      <w:bookmarkStart w:id="47" w:name="_Toc15625"/>
      <w:r>
        <w:t>资产负债表</w:t>
      </w:r>
      <w:bookmarkEnd w:id="47"/>
    </w:p>
    <w:p w14:paraId="13F2AC1C">
      <w:pPr>
        <w:pStyle w:val="18"/>
        <w:rPr>
          <w:rFonts w:hint="eastAsia"/>
        </w:rPr>
      </w:pPr>
      <w:r>
        <w:rPr>
          <w:rFonts w:hint="eastAsia"/>
        </w:rPr>
        <w:t>会计主体：南方创业板人工智能交易型开放式指数证券投资基金联接基金</w:t>
      </w:r>
    </w:p>
    <w:p w14:paraId="372CF137">
      <w:pPr>
        <w:pStyle w:val="18"/>
        <w:rPr>
          <w:rFonts w:hint="eastAsia"/>
        </w:rPr>
      </w:pPr>
      <w:r>
        <w:rPr>
          <w:rFonts w:hint="eastAsia"/>
        </w:rPr>
        <w:t>报告截止日：2025年12月31日</w:t>
      </w:r>
    </w:p>
    <w:p w14:paraId="6C2A495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DA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B81D8B">
            <w:r>
              <w:rPr>
                <w:rFonts w:hint="eastAsia"/>
              </w:rPr>
              <w:t>资产</w:t>
            </w:r>
          </w:p>
        </w:tc>
        <w:tc>
          <w:tcPr>
            <w:tcW w:w="2768" w:type="dxa"/>
            <w:vAlign w:val="center"/>
          </w:tcPr>
          <w:p w14:paraId="2121C1C2">
            <w:r>
              <w:rPr>
                <w:rFonts w:hint="eastAsia"/>
              </w:rPr>
              <w:t>附注号</w:t>
            </w:r>
          </w:p>
        </w:tc>
        <w:tc>
          <w:tcPr>
            <w:tcW w:w="2768" w:type="dxa"/>
            <w:vAlign w:val="center"/>
          </w:tcPr>
          <w:p w14:paraId="2D065374">
            <w:r>
              <w:rPr>
                <w:rFonts w:hint="eastAsia"/>
              </w:rPr>
              <w:t>本期末2025年12月31日</w:t>
            </w:r>
          </w:p>
        </w:tc>
      </w:tr>
      <w:tr w14:paraId="3CA9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2B69E">
            <w:r>
              <w:rPr>
                <w:rFonts w:hint="eastAsia"/>
              </w:rPr>
              <w:t>资产：</w:t>
            </w:r>
          </w:p>
        </w:tc>
        <w:tc>
          <w:tcPr>
            <w:tcW w:w="2768" w:type="dxa"/>
            <w:vAlign w:val="center"/>
          </w:tcPr>
          <w:p w14:paraId="0A37CFE5"/>
        </w:tc>
        <w:tc>
          <w:tcPr>
            <w:tcW w:w="2768" w:type="dxa"/>
            <w:vAlign w:val="center"/>
          </w:tcPr>
          <w:p w14:paraId="43888187"/>
        </w:tc>
      </w:tr>
      <w:tr w14:paraId="3F1E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B704C">
            <w:r>
              <w:rPr>
                <w:rFonts w:hint="eastAsia"/>
              </w:rPr>
              <w:t>货币资金</w:t>
            </w:r>
          </w:p>
        </w:tc>
        <w:tc>
          <w:tcPr>
            <w:tcW w:w="2768" w:type="dxa"/>
            <w:vAlign w:val="center"/>
          </w:tcPr>
          <w:p w14:paraId="44FF3553">
            <w:r>
              <w:rPr>
                <w:rFonts w:hint="eastAsia"/>
              </w:rPr>
              <w:t>7.4.7.1</w:t>
            </w:r>
          </w:p>
        </w:tc>
        <w:tc>
          <w:tcPr>
            <w:tcW w:w="2768" w:type="dxa"/>
            <w:vAlign w:val="center"/>
          </w:tcPr>
          <w:p w14:paraId="57A2CE36">
            <w:pPr>
              <w:jc w:val="right"/>
            </w:pPr>
            <w:r>
              <w:rPr>
                <w:rFonts w:hint="eastAsia"/>
              </w:rPr>
              <w:t>151,810,894.52</w:t>
            </w:r>
          </w:p>
        </w:tc>
      </w:tr>
      <w:tr w14:paraId="1519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DB88E">
            <w:r>
              <w:rPr>
                <w:rFonts w:hint="eastAsia"/>
              </w:rPr>
              <w:t>结算备付金</w:t>
            </w:r>
          </w:p>
        </w:tc>
        <w:tc>
          <w:tcPr>
            <w:tcW w:w="2768" w:type="dxa"/>
            <w:vAlign w:val="center"/>
          </w:tcPr>
          <w:p w14:paraId="5C9EE15A"/>
        </w:tc>
        <w:tc>
          <w:tcPr>
            <w:tcW w:w="2768" w:type="dxa"/>
            <w:vAlign w:val="center"/>
          </w:tcPr>
          <w:p w14:paraId="57A63D97">
            <w:pPr>
              <w:jc w:val="right"/>
            </w:pPr>
            <w:r>
              <w:rPr>
                <w:rFonts w:hint="eastAsia"/>
              </w:rPr>
              <w:t>-</w:t>
            </w:r>
          </w:p>
        </w:tc>
      </w:tr>
      <w:tr w14:paraId="6347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B9DBF">
            <w:r>
              <w:rPr>
                <w:rFonts w:hint="eastAsia"/>
              </w:rPr>
              <w:t>存出保证金</w:t>
            </w:r>
          </w:p>
        </w:tc>
        <w:tc>
          <w:tcPr>
            <w:tcW w:w="2768" w:type="dxa"/>
            <w:vAlign w:val="center"/>
          </w:tcPr>
          <w:p w14:paraId="4584035E"/>
        </w:tc>
        <w:tc>
          <w:tcPr>
            <w:tcW w:w="2768" w:type="dxa"/>
            <w:vAlign w:val="center"/>
          </w:tcPr>
          <w:p w14:paraId="5DFA83D2">
            <w:pPr>
              <w:jc w:val="right"/>
            </w:pPr>
            <w:r>
              <w:rPr>
                <w:rFonts w:hint="eastAsia"/>
              </w:rPr>
              <w:t>-</w:t>
            </w:r>
          </w:p>
        </w:tc>
      </w:tr>
      <w:tr w14:paraId="22B5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9AB29">
            <w:r>
              <w:rPr>
                <w:rFonts w:hint="eastAsia"/>
              </w:rPr>
              <w:t>交易性金融资产</w:t>
            </w:r>
          </w:p>
        </w:tc>
        <w:tc>
          <w:tcPr>
            <w:tcW w:w="2768" w:type="dxa"/>
            <w:vAlign w:val="center"/>
          </w:tcPr>
          <w:p w14:paraId="781D94D5">
            <w:r>
              <w:rPr>
                <w:rFonts w:hint="eastAsia"/>
              </w:rPr>
              <w:t>7.4.7.2</w:t>
            </w:r>
          </w:p>
        </w:tc>
        <w:tc>
          <w:tcPr>
            <w:tcW w:w="2768" w:type="dxa"/>
            <w:vAlign w:val="center"/>
          </w:tcPr>
          <w:p w14:paraId="0AAB0D41">
            <w:pPr>
              <w:jc w:val="right"/>
            </w:pPr>
            <w:r>
              <w:rPr>
                <w:rFonts w:hint="eastAsia"/>
              </w:rPr>
              <w:t>1,511,723,591.34</w:t>
            </w:r>
          </w:p>
        </w:tc>
      </w:tr>
      <w:tr w14:paraId="214E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3126C2">
            <w:r>
              <w:rPr>
                <w:rFonts w:hint="eastAsia"/>
              </w:rPr>
              <w:t>其中：股票投资</w:t>
            </w:r>
          </w:p>
        </w:tc>
        <w:tc>
          <w:tcPr>
            <w:tcW w:w="2768" w:type="dxa"/>
            <w:vAlign w:val="center"/>
          </w:tcPr>
          <w:p w14:paraId="072AA4C8"/>
        </w:tc>
        <w:tc>
          <w:tcPr>
            <w:tcW w:w="2768" w:type="dxa"/>
            <w:vAlign w:val="center"/>
          </w:tcPr>
          <w:p w14:paraId="15E352B6">
            <w:pPr>
              <w:jc w:val="right"/>
            </w:pPr>
            <w:r>
              <w:rPr>
                <w:rFonts w:hint="eastAsia"/>
              </w:rPr>
              <w:t>-</w:t>
            </w:r>
          </w:p>
        </w:tc>
      </w:tr>
      <w:tr w14:paraId="7A0B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438E6">
            <w:r>
              <w:rPr>
                <w:rFonts w:hint="eastAsia"/>
              </w:rPr>
              <w:t xml:space="preserve">      基金投资</w:t>
            </w:r>
          </w:p>
        </w:tc>
        <w:tc>
          <w:tcPr>
            <w:tcW w:w="2768" w:type="dxa"/>
            <w:vAlign w:val="center"/>
          </w:tcPr>
          <w:p w14:paraId="166E3C7E"/>
        </w:tc>
        <w:tc>
          <w:tcPr>
            <w:tcW w:w="2768" w:type="dxa"/>
            <w:vAlign w:val="center"/>
          </w:tcPr>
          <w:p w14:paraId="058DCCC4">
            <w:pPr>
              <w:jc w:val="right"/>
            </w:pPr>
            <w:r>
              <w:rPr>
                <w:rFonts w:hint="eastAsia"/>
              </w:rPr>
              <w:t>1,510,720,342.30</w:t>
            </w:r>
          </w:p>
        </w:tc>
      </w:tr>
      <w:tr w14:paraId="3D45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15CB5">
            <w:r>
              <w:rPr>
                <w:rFonts w:hint="eastAsia"/>
              </w:rPr>
              <w:t xml:space="preserve">      债券投资</w:t>
            </w:r>
          </w:p>
        </w:tc>
        <w:tc>
          <w:tcPr>
            <w:tcW w:w="2768" w:type="dxa"/>
            <w:vAlign w:val="center"/>
          </w:tcPr>
          <w:p w14:paraId="24749F34"/>
        </w:tc>
        <w:tc>
          <w:tcPr>
            <w:tcW w:w="2768" w:type="dxa"/>
            <w:vAlign w:val="center"/>
          </w:tcPr>
          <w:p w14:paraId="2599D223">
            <w:pPr>
              <w:jc w:val="right"/>
            </w:pPr>
            <w:r>
              <w:rPr>
                <w:rFonts w:hint="eastAsia"/>
              </w:rPr>
              <w:t>1,003,249.04</w:t>
            </w:r>
          </w:p>
        </w:tc>
      </w:tr>
      <w:tr w14:paraId="7FFA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85E54E">
            <w:r>
              <w:rPr>
                <w:rFonts w:hint="eastAsia"/>
              </w:rPr>
              <w:t xml:space="preserve">      资产支持证券投资</w:t>
            </w:r>
          </w:p>
        </w:tc>
        <w:tc>
          <w:tcPr>
            <w:tcW w:w="2768" w:type="dxa"/>
            <w:vAlign w:val="center"/>
          </w:tcPr>
          <w:p w14:paraId="798006C9"/>
        </w:tc>
        <w:tc>
          <w:tcPr>
            <w:tcW w:w="2768" w:type="dxa"/>
            <w:vAlign w:val="center"/>
          </w:tcPr>
          <w:p w14:paraId="240D73CE">
            <w:pPr>
              <w:jc w:val="right"/>
            </w:pPr>
            <w:r>
              <w:rPr>
                <w:rFonts w:hint="eastAsia"/>
              </w:rPr>
              <w:t>-</w:t>
            </w:r>
          </w:p>
        </w:tc>
      </w:tr>
      <w:tr w14:paraId="402F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C8B2A">
            <w:r>
              <w:rPr>
                <w:rFonts w:hint="eastAsia"/>
              </w:rPr>
              <w:t xml:space="preserve">      贵金属投资</w:t>
            </w:r>
          </w:p>
        </w:tc>
        <w:tc>
          <w:tcPr>
            <w:tcW w:w="2768" w:type="dxa"/>
            <w:vAlign w:val="center"/>
          </w:tcPr>
          <w:p w14:paraId="36958B05"/>
        </w:tc>
        <w:tc>
          <w:tcPr>
            <w:tcW w:w="2768" w:type="dxa"/>
            <w:vAlign w:val="center"/>
          </w:tcPr>
          <w:p w14:paraId="5E15EDB3">
            <w:pPr>
              <w:jc w:val="right"/>
            </w:pPr>
            <w:r>
              <w:rPr>
                <w:rFonts w:hint="eastAsia"/>
              </w:rPr>
              <w:t>-</w:t>
            </w:r>
          </w:p>
        </w:tc>
      </w:tr>
      <w:tr w14:paraId="4E5C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5942D">
            <w:r>
              <w:rPr>
                <w:rFonts w:hint="eastAsia"/>
              </w:rPr>
              <w:t xml:space="preserve">      其他投资</w:t>
            </w:r>
          </w:p>
        </w:tc>
        <w:tc>
          <w:tcPr>
            <w:tcW w:w="2768" w:type="dxa"/>
            <w:vAlign w:val="center"/>
          </w:tcPr>
          <w:p w14:paraId="35C904F8"/>
        </w:tc>
        <w:tc>
          <w:tcPr>
            <w:tcW w:w="2768" w:type="dxa"/>
            <w:vAlign w:val="center"/>
          </w:tcPr>
          <w:p w14:paraId="67797949">
            <w:pPr>
              <w:jc w:val="right"/>
            </w:pPr>
            <w:r>
              <w:rPr>
                <w:rFonts w:hint="eastAsia"/>
              </w:rPr>
              <w:t>-</w:t>
            </w:r>
          </w:p>
        </w:tc>
      </w:tr>
      <w:tr w14:paraId="4B0E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15B44">
            <w:r>
              <w:rPr>
                <w:rFonts w:hint="eastAsia"/>
              </w:rPr>
              <w:t>衍生金融资产</w:t>
            </w:r>
          </w:p>
        </w:tc>
        <w:tc>
          <w:tcPr>
            <w:tcW w:w="2768" w:type="dxa"/>
            <w:vAlign w:val="center"/>
          </w:tcPr>
          <w:p w14:paraId="66C0D26E">
            <w:r>
              <w:rPr>
                <w:rFonts w:hint="eastAsia"/>
              </w:rPr>
              <w:t>7.4.7.3</w:t>
            </w:r>
          </w:p>
        </w:tc>
        <w:tc>
          <w:tcPr>
            <w:tcW w:w="2768" w:type="dxa"/>
            <w:vAlign w:val="center"/>
          </w:tcPr>
          <w:p w14:paraId="49A14148">
            <w:pPr>
              <w:jc w:val="right"/>
            </w:pPr>
            <w:r>
              <w:rPr>
                <w:rFonts w:hint="eastAsia"/>
              </w:rPr>
              <w:t>-</w:t>
            </w:r>
          </w:p>
        </w:tc>
      </w:tr>
      <w:tr w14:paraId="7498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D3013">
            <w:r>
              <w:rPr>
                <w:rFonts w:hint="eastAsia"/>
              </w:rPr>
              <w:t>买入返售金融资产</w:t>
            </w:r>
          </w:p>
        </w:tc>
        <w:tc>
          <w:tcPr>
            <w:tcW w:w="2768" w:type="dxa"/>
            <w:vAlign w:val="center"/>
          </w:tcPr>
          <w:p w14:paraId="4EF63329">
            <w:r>
              <w:rPr>
                <w:rFonts w:hint="eastAsia"/>
              </w:rPr>
              <w:t>7.4.7.4</w:t>
            </w:r>
          </w:p>
        </w:tc>
        <w:tc>
          <w:tcPr>
            <w:tcW w:w="2768" w:type="dxa"/>
            <w:vAlign w:val="center"/>
          </w:tcPr>
          <w:p w14:paraId="33707457">
            <w:pPr>
              <w:jc w:val="right"/>
            </w:pPr>
            <w:r>
              <w:rPr>
                <w:rFonts w:hint="eastAsia"/>
              </w:rPr>
              <w:t>-</w:t>
            </w:r>
          </w:p>
        </w:tc>
      </w:tr>
      <w:tr w14:paraId="6631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EE7A8">
            <w:r>
              <w:rPr>
                <w:rFonts w:hint="eastAsia"/>
              </w:rPr>
              <w:t>债权投资</w:t>
            </w:r>
          </w:p>
        </w:tc>
        <w:tc>
          <w:tcPr>
            <w:tcW w:w="2768" w:type="dxa"/>
            <w:vAlign w:val="center"/>
          </w:tcPr>
          <w:p w14:paraId="498E8853"/>
        </w:tc>
        <w:tc>
          <w:tcPr>
            <w:tcW w:w="2768" w:type="dxa"/>
            <w:vAlign w:val="center"/>
          </w:tcPr>
          <w:p w14:paraId="4A246216">
            <w:pPr>
              <w:jc w:val="right"/>
            </w:pPr>
            <w:r>
              <w:rPr>
                <w:rFonts w:hint="eastAsia"/>
              </w:rPr>
              <w:t>-</w:t>
            </w:r>
          </w:p>
        </w:tc>
      </w:tr>
      <w:tr w14:paraId="19CA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56EF1">
            <w:r>
              <w:rPr>
                <w:rFonts w:hint="eastAsia"/>
              </w:rPr>
              <w:t>其中：债券投资</w:t>
            </w:r>
          </w:p>
        </w:tc>
        <w:tc>
          <w:tcPr>
            <w:tcW w:w="2768" w:type="dxa"/>
            <w:vAlign w:val="center"/>
          </w:tcPr>
          <w:p w14:paraId="4BAB18EB"/>
        </w:tc>
        <w:tc>
          <w:tcPr>
            <w:tcW w:w="2768" w:type="dxa"/>
            <w:vAlign w:val="center"/>
          </w:tcPr>
          <w:p w14:paraId="311488A7">
            <w:pPr>
              <w:jc w:val="right"/>
            </w:pPr>
            <w:r>
              <w:rPr>
                <w:rFonts w:hint="eastAsia"/>
              </w:rPr>
              <w:t>-</w:t>
            </w:r>
          </w:p>
        </w:tc>
      </w:tr>
      <w:tr w14:paraId="6C04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81B8B7">
            <w:r>
              <w:rPr>
                <w:rFonts w:hint="eastAsia"/>
              </w:rPr>
              <w:t xml:space="preserve">      资产支持证券投资</w:t>
            </w:r>
          </w:p>
        </w:tc>
        <w:tc>
          <w:tcPr>
            <w:tcW w:w="2768" w:type="dxa"/>
            <w:vAlign w:val="center"/>
          </w:tcPr>
          <w:p w14:paraId="7A71E5A2"/>
        </w:tc>
        <w:tc>
          <w:tcPr>
            <w:tcW w:w="2768" w:type="dxa"/>
            <w:vAlign w:val="center"/>
          </w:tcPr>
          <w:p w14:paraId="03405AB1">
            <w:pPr>
              <w:jc w:val="right"/>
            </w:pPr>
            <w:r>
              <w:rPr>
                <w:rFonts w:hint="eastAsia"/>
              </w:rPr>
              <w:t>-</w:t>
            </w:r>
          </w:p>
        </w:tc>
      </w:tr>
      <w:tr w14:paraId="39E4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DDF24">
            <w:r>
              <w:rPr>
                <w:rFonts w:hint="eastAsia"/>
              </w:rPr>
              <w:t xml:space="preserve">      其他投资</w:t>
            </w:r>
          </w:p>
        </w:tc>
        <w:tc>
          <w:tcPr>
            <w:tcW w:w="2768" w:type="dxa"/>
            <w:vAlign w:val="center"/>
          </w:tcPr>
          <w:p w14:paraId="25732DD6"/>
        </w:tc>
        <w:tc>
          <w:tcPr>
            <w:tcW w:w="2768" w:type="dxa"/>
            <w:vAlign w:val="center"/>
          </w:tcPr>
          <w:p w14:paraId="55B96CBF">
            <w:pPr>
              <w:jc w:val="right"/>
            </w:pPr>
            <w:r>
              <w:rPr>
                <w:rFonts w:hint="eastAsia"/>
              </w:rPr>
              <w:t>-</w:t>
            </w:r>
          </w:p>
        </w:tc>
      </w:tr>
      <w:tr w14:paraId="1B95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10B3A">
            <w:r>
              <w:rPr>
                <w:rFonts w:hint="eastAsia"/>
              </w:rPr>
              <w:t>其他债权投资</w:t>
            </w:r>
          </w:p>
        </w:tc>
        <w:tc>
          <w:tcPr>
            <w:tcW w:w="2768" w:type="dxa"/>
            <w:vAlign w:val="center"/>
          </w:tcPr>
          <w:p w14:paraId="3C0F1426"/>
        </w:tc>
        <w:tc>
          <w:tcPr>
            <w:tcW w:w="2768" w:type="dxa"/>
            <w:vAlign w:val="center"/>
          </w:tcPr>
          <w:p w14:paraId="648DAFE2">
            <w:pPr>
              <w:jc w:val="right"/>
            </w:pPr>
            <w:r>
              <w:rPr>
                <w:rFonts w:hint="eastAsia"/>
              </w:rPr>
              <w:t>-</w:t>
            </w:r>
          </w:p>
        </w:tc>
      </w:tr>
      <w:tr w14:paraId="33FD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C26BA">
            <w:r>
              <w:rPr>
                <w:rFonts w:hint="eastAsia"/>
              </w:rPr>
              <w:t>其他权益工具投资</w:t>
            </w:r>
          </w:p>
        </w:tc>
        <w:tc>
          <w:tcPr>
            <w:tcW w:w="2768" w:type="dxa"/>
            <w:vAlign w:val="center"/>
          </w:tcPr>
          <w:p w14:paraId="3CC1806F"/>
        </w:tc>
        <w:tc>
          <w:tcPr>
            <w:tcW w:w="2768" w:type="dxa"/>
            <w:vAlign w:val="center"/>
          </w:tcPr>
          <w:p w14:paraId="562A82A5">
            <w:pPr>
              <w:jc w:val="right"/>
            </w:pPr>
            <w:r>
              <w:rPr>
                <w:rFonts w:hint="eastAsia"/>
              </w:rPr>
              <w:t>-</w:t>
            </w:r>
          </w:p>
        </w:tc>
      </w:tr>
      <w:tr w14:paraId="3FC7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DEFC5">
            <w:r>
              <w:rPr>
                <w:rFonts w:hint="eastAsia"/>
              </w:rPr>
              <w:t>应收清算款</w:t>
            </w:r>
          </w:p>
        </w:tc>
        <w:tc>
          <w:tcPr>
            <w:tcW w:w="2768" w:type="dxa"/>
            <w:vAlign w:val="center"/>
          </w:tcPr>
          <w:p w14:paraId="3D73B647"/>
        </w:tc>
        <w:tc>
          <w:tcPr>
            <w:tcW w:w="2768" w:type="dxa"/>
            <w:vAlign w:val="center"/>
          </w:tcPr>
          <w:p w14:paraId="747758CA">
            <w:pPr>
              <w:jc w:val="right"/>
            </w:pPr>
            <w:r>
              <w:rPr>
                <w:rFonts w:hint="eastAsia"/>
              </w:rPr>
              <w:t>-</w:t>
            </w:r>
          </w:p>
        </w:tc>
      </w:tr>
      <w:tr w14:paraId="4832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A7C17">
            <w:r>
              <w:rPr>
                <w:rFonts w:hint="eastAsia"/>
              </w:rPr>
              <w:t>应收股利</w:t>
            </w:r>
          </w:p>
        </w:tc>
        <w:tc>
          <w:tcPr>
            <w:tcW w:w="2768" w:type="dxa"/>
            <w:vAlign w:val="center"/>
          </w:tcPr>
          <w:p w14:paraId="5861F990"/>
        </w:tc>
        <w:tc>
          <w:tcPr>
            <w:tcW w:w="2768" w:type="dxa"/>
            <w:vAlign w:val="center"/>
          </w:tcPr>
          <w:p w14:paraId="24EDBDAB">
            <w:pPr>
              <w:jc w:val="right"/>
            </w:pPr>
            <w:r>
              <w:rPr>
                <w:rFonts w:hint="eastAsia"/>
              </w:rPr>
              <w:t>-</w:t>
            </w:r>
          </w:p>
        </w:tc>
      </w:tr>
      <w:tr w14:paraId="0B4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84A0D">
            <w:r>
              <w:rPr>
                <w:rFonts w:hint="eastAsia"/>
              </w:rPr>
              <w:t>应收申购款</w:t>
            </w:r>
          </w:p>
        </w:tc>
        <w:tc>
          <w:tcPr>
            <w:tcW w:w="2768" w:type="dxa"/>
            <w:vAlign w:val="center"/>
          </w:tcPr>
          <w:p w14:paraId="18EDF981"/>
        </w:tc>
        <w:tc>
          <w:tcPr>
            <w:tcW w:w="2768" w:type="dxa"/>
            <w:vAlign w:val="center"/>
          </w:tcPr>
          <w:p w14:paraId="307EE291">
            <w:pPr>
              <w:jc w:val="right"/>
            </w:pPr>
            <w:r>
              <w:rPr>
                <w:rFonts w:hint="eastAsia"/>
              </w:rPr>
              <w:t>11,544,137.22</w:t>
            </w:r>
          </w:p>
        </w:tc>
      </w:tr>
      <w:tr w14:paraId="3951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5D7511">
            <w:r>
              <w:rPr>
                <w:rFonts w:hint="eastAsia"/>
              </w:rPr>
              <w:t>递延所得税资产</w:t>
            </w:r>
          </w:p>
        </w:tc>
        <w:tc>
          <w:tcPr>
            <w:tcW w:w="2768" w:type="dxa"/>
            <w:vAlign w:val="center"/>
          </w:tcPr>
          <w:p w14:paraId="387775CE"/>
        </w:tc>
        <w:tc>
          <w:tcPr>
            <w:tcW w:w="2768" w:type="dxa"/>
            <w:vAlign w:val="center"/>
          </w:tcPr>
          <w:p w14:paraId="666E893D">
            <w:pPr>
              <w:jc w:val="right"/>
            </w:pPr>
            <w:r>
              <w:rPr>
                <w:rFonts w:hint="eastAsia"/>
              </w:rPr>
              <w:t>-</w:t>
            </w:r>
          </w:p>
        </w:tc>
      </w:tr>
      <w:tr w14:paraId="63BF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3DF66F">
            <w:r>
              <w:rPr>
                <w:rFonts w:hint="eastAsia"/>
              </w:rPr>
              <w:t>其他资产</w:t>
            </w:r>
          </w:p>
        </w:tc>
        <w:tc>
          <w:tcPr>
            <w:tcW w:w="2768" w:type="dxa"/>
            <w:vAlign w:val="center"/>
          </w:tcPr>
          <w:p w14:paraId="23FEC0C4">
            <w:r>
              <w:rPr>
                <w:rFonts w:hint="eastAsia"/>
              </w:rPr>
              <w:t>7.4.7.5</w:t>
            </w:r>
          </w:p>
        </w:tc>
        <w:tc>
          <w:tcPr>
            <w:tcW w:w="2768" w:type="dxa"/>
            <w:vAlign w:val="center"/>
          </w:tcPr>
          <w:p w14:paraId="7CD9CC80">
            <w:pPr>
              <w:jc w:val="right"/>
            </w:pPr>
            <w:r>
              <w:rPr>
                <w:rFonts w:hint="eastAsia"/>
              </w:rPr>
              <w:t>-</w:t>
            </w:r>
          </w:p>
        </w:tc>
      </w:tr>
      <w:tr w14:paraId="29781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D9D18">
            <w:r>
              <w:rPr>
                <w:rFonts w:hint="eastAsia"/>
              </w:rPr>
              <w:t>资产总计</w:t>
            </w:r>
          </w:p>
        </w:tc>
        <w:tc>
          <w:tcPr>
            <w:tcW w:w="2768" w:type="dxa"/>
            <w:vAlign w:val="center"/>
          </w:tcPr>
          <w:p w14:paraId="14B0E233"/>
        </w:tc>
        <w:tc>
          <w:tcPr>
            <w:tcW w:w="2768" w:type="dxa"/>
            <w:vAlign w:val="center"/>
          </w:tcPr>
          <w:p w14:paraId="0EABAA2B">
            <w:pPr>
              <w:jc w:val="right"/>
            </w:pPr>
            <w:r>
              <w:rPr>
                <w:rFonts w:hint="eastAsia"/>
              </w:rPr>
              <w:t>1,675,078,623.08</w:t>
            </w:r>
          </w:p>
        </w:tc>
      </w:tr>
      <w:tr w14:paraId="78DB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45566E">
            <w:r>
              <w:rPr>
                <w:rFonts w:hint="eastAsia"/>
              </w:rPr>
              <w:t>负债和净资产</w:t>
            </w:r>
          </w:p>
        </w:tc>
        <w:tc>
          <w:tcPr>
            <w:tcW w:w="2768" w:type="dxa"/>
            <w:vAlign w:val="center"/>
          </w:tcPr>
          <w:p w14:paraId="2C5E3447">
            <w:r>
              <w:rPr>
                <w:rFonts w:hint="eastAsia"/>
              </w:rPr>
              <w:t>附注号</w:t>
            </w:r>
          </w:p>
        </w:tc>
        <w:tc>
          <w:tcPr>
            <w:tcW w:w="2768" w:type="dxa"/>
            <w:vAlign w:val="center"/>
          </w:tcPr>
          <w:p w14:paraId="104D9AC9">
            <w:r>
              <w:rPr>
                <w:rFonts w:hint="eastAsia"/>
              </w:rPr>
              <w:t>本期末2025年12月31日</w:t>
            </w:r>
          </w:p>
        </w:tc>
      </w:tr>
      <w:tr w14:paraId="5E0C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05332">
            <w:r>
              <w:rPr>
                <w:rFonts w:hint="eastAsia"/>
              </w:rPr>
              <w:t>负债：</w:t>
            </w:r>
          </w:p>
        </w:tc>
        <w:tc>
          <w:tcPr>
            <w:tcW w:w="2768" w:type="dxa"/>
            <w:vAlign w:val="center"/>
          </w:tcPr>
          <w:p w14:paraId="68839CF0"/>
        </w:tc>
        <w:tc>
          <w:tcPr>
            <w:tcW w:w="2768" w:type="dxa"/>
            <w:vAlign w:val="center"/>
          </w:tcPr>
          <w:p w14:paraId="62B5A776"/>
        </w:tc>
      </w:tr>
      <w:tr w14:paraId="1168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EB3D4">
            <w:r>
              <w:rPr>
                <w:rFonts w:hint="eastAsia"/>
              </w:rPr>
              <w:t>短期借款</w:t>
            </w:r>
          </w:p>
        </w:tc>
        <w:tc>
          <w:tcPr>
            <w:tcW w:w="2768" w:type="dxa"/>
            <w:vAlign w:val="center"/>
          </w:tcPr>
          <w:p w14:paraId="7B00C2FF"/>
        </w:tc>
        <w:tc>
          <w:tcPr>
            <w:tcW w:w="2768" w:type="dxa"/>
            <w:vAlign w:val="center"/>
          </w:tcPr>
          <w:p w14:paraId="1178D4AA">
            <w:pPr>
              <w:jc w:val="right"/>
            </w:pPr>
            <w:r>
              <w:rPr>
                <w:rFonts w:hint="eastAsia"/>
              </w:rPr>
              <w:t>-</w:t>
            </w:r>
          </w:p>
        </w:tc>
      </w:tr>
      <w:tr w14:paraId="4E96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E6D75">
            <w:r>
              <w:rPr>
                <w:rFonts w:hint="eastAsia"/>
              </w:rPr>
              <w:t>交易性金融负债</w:t>
            </w:r>
          </w:p>
        </w:tc>
        <w:tc>
          <w:tcPr>
            <w:tcW w:w="2768" w:type="dxa"/>
            <w:vAlign w:val="center"/>
          </w:tcPr>
          <w:p w14:paraId="50B83624"/>
        </w:tc>
        <w:tc>
          <w:tcPr>
            <w:tcW w:w="2768" w:type="dxa"/>
            <w:vAlign w:val="center"/>
          </w:tcPr>
          <w:p w14:paraId="4938C3AA">
            <w:pPr>
              <w:jc w:val="right"/>
            </w:pPr>
            <w:r>
              <w:rPr>
                <w:rFonts w:hint="eastAsia"/>
              </w:rPr>
              <w:t>-</w:t>
            </w:r>
          </w:p>
        </w:tc>
      </w:tr>
      <w:tr w14:paraId="4859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73584">
            <w:r>
              <w:rPr>
                <w:rFonts w:hint="eastAsia"/>
              </w:rPr>
              <w:t>衍生金融负债</w:t>
            </w:r>
          </w:p>
        </w:tc>
        <w:tc>
          <w:tcPr>
            <w:tcW w:w="2768" w:type="dxa"/>
            <w:vAlign w:val="center"/>
          </w:tcPr>
          <w:p w14:paraId="56E30F34">
            <w:r>
              <w:rPr>
                <w:rFonts w:hint="eastAsia"/>
              </w:rPr>
              <w:t>7.4.7.3</w:t>
            </w:r>
          </w:p>
        </w:tc>
        <w:tc>
          <w:tcPr>
            <w:tcW w:w="2768" w:type="dxa"/>
            <w:vAlign w:val="center"/>
          </w:tcPr>
          <w:p w14:paraId="6E26FF4D">
            <w:pPr>
              <w:jc w:val="right"/>
            </w:pPr>
            <w:r>
              <w:rPr>
                <w:rFonts w:hint="eastAsia"/>
              </w:rPr>
              <w:t>-</w:t>
            </w:r>
          </w:p>
        </w:tc>
      </w:tr>
      <w:tr w14:paraId="73E1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AC1E0">
            <w:r>
              <w:rPr>
                <w:rFonts w:hint="eastAsia"/>
              </w:rPr>
              <w:t>卖出回购金融资产款</w:t>
            </w:r>
          </w:p>
        </w:tc>
        <w:tc>
          <w:tcPr>
            <w:tcW w:w="2768" w:type="dxa"/>
            <w:vAlign w:val="center"/>
          </w:tcPr>
          <w:p w14:paraId="7805C93A"/>
        </w:tc>
        <w:tc>
          <w:tcPr>
            <w:tcW w:w="2768" w:type="dxa"/>
            <w:vAlign w:val="center"/>
          </w:tcPr>
          <w:p w14:paraId="5E9AEE2E">
            <w:pPr>
              <w:jc w:val="right"/>
            </w:pPr>
            <w:r>
              <w:rPr>
                <w:rFonts w:hint="eastAsia"/>
              </w:rPr>
              <w:t>-</w:t>
            </w:r>
          </w:p>
        </w:tc>
      </w:tr>
      <w:tr w14:paraId="44BA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813DAA">
            <w:r>
              <w:rPr>
                <w:rFonts w:hint="eastAsia"/>
              </w:rPr>
              <w:t>应付清算款</w:t>
            </w:r>
          </w:p>
        </w:tc>
        <w:tc>
          <w:tcPr>
            <w:tcW w:w="2768" w:type="dxa"/>
            <w:vAlign w:val="center"/>
          </w:tcPr>
          <w:p w14:paraId="16475296"/>
        </w:tc>
        <w:tc>
          <w:tcPr>
            <w:tcW w:w="2768" w:type="dxa"/>
            <w:vAlign w:val="center"/>
          </w:tcPr>
          <w:p w14:paraId="18E49F81">
            <w:pPr>
              <w:jc w:val="right"/>
            </w:pPr>
            <w:r>
              <w:rPr>
                <w:rFonts w:hint="eastAsia"/>
              </w:rPr>
              <w:t>-</w:t>
            </w:r>
          </w:p>
        </w:tc>
      </w:tr>
      <w:tr w14:paraId="3715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A89A9">
            <w:r>
              <w:rPr>
                <w:rFonts w:hint="eastAsia"/>
              </w:rPr>
              <w:t>应付赎回款</w:t>
            </w:r>
          </w:p>
        </w:tc>
        <w:tc>
          <w:tcPr>
            <w:tcW w:w="2768" w:type="dxa"/>
            <w:vAlign w:val="center"/>
          </w:tcPr>
          <w:p w14:paraId="7CF88512"/>
        </w:tc>
        <w:tc>
          <w:tcPr>
            <w:tcW w:w="2768" w:type="dxa"/>
            <w:vAlign w:val="center"/>
          </w:tcPr>
          <w:p w14:paraId="6F2B3159">
            <w:pPr>
              <w:jc w:val="right"/>
            </w:pPr>
            <w:r>
              <w:rPr>
                <w:rFonts w:hint="eastAsia"/>
              </w:rPr>
              <w:t>79,317,917.98</w:t>
            </w:r>
          </w:p>
        </w:tc>
      </w:tr>
      <w:tr w14:paraId="6BC0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0F033">
            <w:r>
              <w:rPr>
                <w:rFonts w:hint="eastAsia"/>
              </w:rPr>
              <w:t>应付管理人报酬</w:t>
            </w:r>
          </w:p>
        </w:tc>
        <w:tc>
          <w:tcPr>
            <w:tcW w:w="2768" w:type="dxa"/>
            <w:vAlign w:val="center"/>
          </w:tcPr>
          <w:p w14:paraId="007ABDAC"/>
        </w:tc>
        <w:tc>
          <w:tcPr>
            <w:tcW w:w="2768" w:type="dxa"/>
            <w:vAlign w:val="center"/>
          </w:tcPr>
          <w:p w14:paraId="1E317682">
            <w:pPr>
              <w:jc w:val="right"/>
            </w:pPr>
            <w:r>
              <w:rPr>
                <w:rFonts w:hint="eastAsia"/>
              </w:rPr>
              <w:t>41,286.44</w:t>
            </w:r>
          </w:p>
        </w:tc>
      </w:tr>
      <w:tr w14:paraId="2A5D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A6D6C">
            <w:r>
              <w:rPr>
                <w:rFonts w:hint="eastAsia"/>
              </w:rPr>
              <w:t>应付托管费</w:t>
            </w:r>
          </w:p>
        </w:tc>
        <w:tc>
          <w:tcPr>
            <w:tcW w:w="2768" w:type="dxa"/>
            <w:vAlign w:val="center"/>
          </w:tcPr>
          <w:p w14:paraId="41DEFC70"/>
        </w:tc>
        <w:tc>
          <w:tcPr>
            <w:tcW w:w="2768" w:type="dxa"/>
            <w:vAlign w:val="center"/>
          </w:tcPr>
          <w:p w14:paraId="466B768D">
            <w:pPr>
              <w:jc w:val="right"/>
            </w:pPr>
            <w:r>
              <w:rPr>
                <w:rFonts w:hint="eastAsia"/>
              </w:rPr>
              <w:t>8,257.27</w:t>
            </w:r>
          </w:p>
        </w:tc>
      </w:tr>
      <w:tr w14:paraId="4FDF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42F8D">
            <w:r>
              <w:rPr>
                <w:rFonts w:hint="eastAsia"/>
              </w:rPr>
              <w:t>应付销售服务费</w:t>
            </w:r>
          </w:p>
        </w:tc>
        <w:tc>
          <w:tcPr>
            <w:tcW w:w="2768" w:type="dxa"/>
            <w:vAlign w:val="center"/>
          </w:tcPr>
          <w:p w14:paraId="03643F44"/>
        </w:tc>
        <w:tc>
          <w:tcPr>
            <w:tcW w:w="2768" w:type="dxa"/>
            <w:vAlign w:val="center"/>
          </w:tcPr>
          <w:p w14:paraId="15C5DBC1">
            <w:pPr>
              <w:jc w:val="right"/>
            </w:pPr>
            <w:r>
              <w:rPr>
                <w:rFonts w:hint="eastAsia"/>
              </w:rPr>
              <w:t>151,558.43</w:t>
            </w:r>
          </w:p>
        </w:tc>
      </w:tr>
      <w:tr w14:paraId="687F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0F38CB">
            <w:r>
              <w:rPr>
                <w:rFonts w:hint="eastAsia"/>
              </w:rPr>
              <w:t>应付投资顾问费</w:t>
            </w:r>
          </w:p>
        </w:tc>
        <w:tc>
          <w:tcPr>
            <w:tcW w:w="2768" w:type="dxa"/>
            <w:vAlign w:val="center"/>
          </w:tcPr>
          <w:p w14:paraId="387ACF8E"/>
        </w:tc>
        <w:tc>
          <w:tcPr>
            <w:tcW w:w="2768" w:type="dxa"/>
            <w:vAlign w:val="center"/>
          </w:tcPr>
          <w:p w14:paraId="3AA00DBC">
            <w:pPr>
              <w:jc w:val="right"/>
            </w:pPr>
            <w:r>
              <w:rPr>
                <w:rFonts w:hint="eastAsia"/>
              </w:rPr>
              <w:t>-</w:t>
            </w:r>
          </w:p>
        </w:tc>
      </w:tr>
      <w:tr w14:paraId="7E55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B5CC3">
            <w:r>
              <w:rPr>
                <w:rFonts w:hint="eastAsia"/>
              </w:rPr>
              <w:t>应交税费</w:t>
            </w:r>
          </w:p>
        </w:tc>
        <w:tc>
          <w:tcPr>
            <w:tcW w:w="2768" w:type="dxa"/>
            <w:vAlign w:val="center"/>
          </w:tcPr>
          <w:p w14:paraId="78166E55"/>
        </w:tc>
        <w:tc>
          <w:tcPr>
            <w:tcW w:w="2768" w:type="dxa"/>
            <w:vAlign w:val="center"/>
          </w:tcPr>
          <w:p w14:paraId="4F7533DC">
            <w:pPr>
              <w:jc w:val="right"/>
            </w:pPr>
            <w:r>
              <w:rPr>
                <w:rFonts w:hint="eastAsia"/>
              </w:rPr>
              <w:t>5,179,722.84</w:t>
            </w:r>
          </w:p>
        </w:tc>
      </w:tr>
      <w:tr w14:paraId="4DF5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B043F7">
            <w:r>
              <w:rPr>
                <w:rFonts w:hint="eastAsia"/>
              </w:rPr>
              <w:t>应付利润</w:t>
            </w:r>
          </w:p>
        </w:tc>
        <w:tc>
          <w:tcPr>
            <w:tcW w:w="2768" w:type="dxa"/>
            <w:vAlign w:val="center"/>
          </w:tcPr>
          <w:p w14:paraId="39446943"/>
        </w:tc>
        <w:tc>
          <w:tcPr>
            <w:tcW w:w="2768" w:type="dxa"/>
            <w:vAlign w:val="center"/>
          </w:tcPr>
          <w:p w14:paraId="532FBE7E">
            <w:pPr>
              <w:jc w:val="right"/>
            </w:pPr>
            <w:r>
              <w:rPr>
                <w:rFonts w:hint="eastAsia"/>
              </w:rPr>
              <w:t>-</w:t>
            </w:r>
          </w:p>
        </w:tc>
      </w:tr>
      <w:tr w14:paraId="23D5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2714A">
            <w:r>
              <w:rPr>
                <w:rFonts w:hint="eastAsia"/>
              </w:rPr>
              <w:t>递延所得税负债</w:t>
            </w:r>
          </w:p>
        </w:tc>
        <w:tc>
          <w:tcPr>
            <w:tcW w:w="2768" w:type="dxa"/>
            <w:vAlign w:val="center"/>
          </w:tcPr>
          <w:p w14:paraId="403D3D22"/>
        </w:tc>
        <w:tc>
          <w:tcPr>
            <w:tcW w:w="2768" w:type="dxa"/>
            <w:vAlign w:val="center"/>
          </w:tcPr>
          <w:p w14:paraId="3FA7DA4D">
            <w:pPr>
              <w:jc w:val="right"/>
            </w:pPr>
            <w:r>
              <w:rPr>
                <w:rFonts w:hint="eastAsia"/>
              </w:rPr>
              <w:t>-</w:t>
            </w:r>
          </w:p>
        </w:tc>
      </w:tr>
      <w:tr w14:paraId="4878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33F5A">
            <w:r>
              <w:rPr>
                <w:rFonts w:hint="eastAsia"/>
              </w:rPr>
              <w:t>其他负债</w:t>
            </w:r>
          </w:p>
        </w:tc>
        <w:tc>
          <w:tcPr>
            <w:tcW w:w="2768" w:type="dxa"/>
            <w:vAlign w:val="center"/>
          </w:tcPr>
          <w:p w14:paraId="0C4AF4E8">
            <w:r>
              <w:rPr>
                <w:rFonts w:hint="eastAsia"/>
              </w:rPr>
              <w:t>7.4.7.6</w:t>
            </w:r>
          </w:p>
        </w:tc>
        <w:tc>
          <w:tcPr>
            <w:tcW w:w="2768" w:type="dxa"/>
            <w:vAlign w:val="center"/>
          </w:tcPr>
          <w:p w14:paraId="240CA8B3">
            <w:pPr>
              <w:jc w:val="right"/>
            </w:pPr>
            <w:r>
              <w:rPr>
                <w:rFonts w:hint="eastAsia"/>
              </w:rPr>
              <w:t>48,002.43</w:t>
            </w:r>
          </w:p>
        </w:tc>
      </w:tr>
      <w:tr w14:paraId="53CD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8975C">
            <w:r>
              <w:rPr>
                <w:rFonts w:hint="eastAsia"/>
              </w:rPr>
              <w:t>负债合计</w:t>
            </w:r>
          </w:p>
        </w:tc>
        <w:tc>
          <w:tcPr>
            <w:tcW w:w="2768" w:type="dxa"/>
            <w:vAlign w:val="center"/>
          </w:tcPr>
          <w:p w14:paraId="6D9BFE77"/>
        </w:tc>
        <w:tc>
          <w:tcPr>
            <w:tcW w:w="2768" w:type="dxa"/>
            <w:vAlign w:val="center"/>
          </w:tcPr>
          <w:p w14:paraId="47F6AE57">
            <w:pPr>
              <w:jc w:val="right"/>
            </w:pPr>
            <w:r>
              <w:rPr>
                <w:rFonts w:hint="eastAsia"/>
              </w:rPr>
              <w:t>84,746,745.39</w:t>
            </w:r>
          </w:p>
        </w:tc>
      </w:tr>
      <w:tr w14:paraId="5E25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1EEF28">
            <w:r>
              <w:rPr>
                <w:rFonts w:hint="eastAsia"/>
              </w:rPr>
              <w:t>净资产：</w:t>
            </w:r>
          </w:p>
        </w:tc>
        <w:tc>
          <w:tcPr>
            <w:tcW w:w="2768" w:type="dxa"/>
            <w:vAlign w:val="center"/>
          </w:tcPr>
          <w:p w14:paraId="34127215"/>
        </w:tc>
        <w:tc>
          <w:tcPr>
            <w:tcW w:w="2768" w:type="dxa"/>
            <w:vAlign w:val="center"/>
          </w:tcPr>
          <w:p w14:paraId="3E2C0CB9"/>
        </w:tc>
      </w:tr>
      <w:tr w14:paraId="1360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EC062">
            <w:r>
              <w:rPr>
                <w:rFonts w:hint="eastAsia"/>
              </w:rPr>
              <w:t>实收基金</w:t>
            </w:r>
          </w:p>
        </w:tc>
        <w:tc>
          <w:tcPr>
            <w:tcW w:w="2768" w:type="dxa"/>
            <w:vAlign w:val="center"/>
          </w:tcPr>
          <w:p w14:paraId="17E28002">
            <w:r>
              <w:rPr>
                <w:rFonts w:hint="eastAsia"/>
              </w:rPr>
              <w:t>7.4.7.7</w:t>
            </w:r>
          </w:p>
        </w:tc>
        <w:tc>
          <w:tcPr>
            <w:tcW w:w="2768" w:type="dxa"/>
            <w:vAlign w:val="center"/>
          </w:tcPr>
          <w:p w14:paraId="5D75F2F1">
            <w:pPr>
              <w:jc w:val="right"/>
            </w:pPr>
            <w:r>
              <w:rPr>
                <w:rFonts w:hint="eastAsia"/>
              </w:rPr>
              <w:t>1,357,824,840.29</w:t>
            </w:r>
          </w:p>
        </w:tc>
      </w:tr>
      <w:tr w14:paraId="6210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BF8C4">
            <w:r>
              <w:rPr>
                <w:rFonts w:hint="eastAsia"/>
              </w:rPr>
              <w:t>其他综合收益</w:t>
            </w:r>
          </w:p>
        </w:tc>
        <w:tc>
          <w:tcPr>
            <w:tcW w:w="2768" w:type="dxa"/>
            <w:vAlign w:val="center"/>
          </w:tcPr>
          <w:p w14:paraId="5EB58A51"/>
        </w:tc>
        <w:tc>
          <w:tcPr>
            <w:tcW w:w="2768" w:type="dxa"/>
            <w:vAlign w:val="center"/>
          </w:tcPr>
          <w:p w14:paraId="410BF4B1">
            <w:pPr>
              <w:jc w:val="right"/>
            </w:pPr>
            <w:r>
              <w:rPr>
                <w:rFonts w:hint="eastAsia"/>
              </w:rPr>
              <w:t>-</w:t>
            </w:r>
          </w:p>
        </w:tc>
      </w:tr>
      <w:tr w14:paraId="0B3A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CF608">
            <w:r>
              <w:rPr>
                <w:rFonts w:hint="eastAsia"/>
              </w:rPr>
              <w:t>未分配利润</w:t>
            </w:r>
          </w:p>
        </w:tc>
        <w:tc>
          <w:tcPr>
            <w:tcW w:w="2768" w:type="dxa"/>
            <w:vAlign w:val="center"/>
          </w:tcPr>
          <w:p w14:paraId="7C28AFBD">
            <w:r>
              <w:rPr>
                <w:rFonts w:hint="eastAsia"/>
              </w:rPr>
              <w:t>7.4.7.8</w:t>
            </w:r>
          </w:p>
        </w:tc>
        <w:tc>
          <w:tcPr>
            <w:tcW w:w="2768" w:type="dxa"/>
            <w:vAlign w:val="center"/>
          </w:tcPr>
          <w:p w14:paraId="5076AB91">
            <w:pPr>
              <w:jc w:val="right"/>
            </w:pPr>
            <w:r>
              <w:rPr>
                <w:rFonts w:hint="eastAsia"/>
              </w:rPr>
              <w:t>232,507,037.40</w:t>
            </w:r>
          </w:p>
        </w:tc>
      </w:tr>
      <w:tr w14:paraId="4C20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741CF">
            <w:r>
              <w:rPr>
                <w:rFonts w:hint="eastAsia"/>
              </w:rPr>
              <w:t>净资产合计</w:t>
            </w:r>
          </w:p>
        </w:tc>
        <w:tc>
          <w:tcPr>
            <w:tcW w:w="2768" w:type="dxa"/>
            <w:vAlign w:val="center"/>
          </w:tcPr>
          <w:p w14:paraId="7DF28F58"/>
        </w:tc>
        <w:tc>
          <w:tcPr>
            <w:tcW w:w="2768" w:type="dxa"/>
            <w:vAlign w:val="center"/>
          </w:tcPr>
          <w:p w14:paraId="0DFE9B15">
            <w:pPr>
              <w:jc w:val="right"/>
            </w:pPr>
            <w:r>
              <w:rPr>
                <w:rFonts w:hint="eastAsia"/>
              </w:rPr>
              <w:t>1,590,331,877.69</w:t>
            </w:r>
          </w:p>
        </w:tc>
      </w:tr>
      <w:tr w14:paraId="5EF5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76F25">
            <w:r>
              <w:rPr>
                <w:rFonts w:hint="eastAsia"/>
              </w:rPr>
              <w:t>负债和净资产总计</w:t>
            </w:r>
          </w:p>
        </w:tc>
        <w:tc>
          <w:tcPr>
            <w:tcW w:w="2768" w:type="dxa"/>
            <w:vAlign w:val="center"/>
          </w:tcPr>
          <w:p w14:paraId="5B177C85"/>
        </w:tc>
        <w:tc>
          <w:tcPr>
            <w:tcW w:w="2768" w:type="dxa"/>
            <w:vAlign w:val="center"/>
          </w:tcPr>
          <w:p w14:paraId="4581E95F">
            <w:pPr>
              <w:jc w:val="right"/>
            </w:pPr>
            <w:r>
              <w:rPr>
                <w:rFonts w:hint="eastAsia"/>
              </w:rPr>
              <w:t>1,675,078,623.08</w:t>
            </w:r>
          </w:p>
        </w:tc>
      </w:tr>
    </w:tbl>
    <w:p w14:paraId="7253F38F">
      <w:pPr>
        <w:pStyle w:val="47"/>
        <w:rPr>
          <w:rFonts w:hint="eastAsia"/>
        </w:rPr>
      </w:pPr>
      <w:r>
        <w:rPr>
          <w:rFonts w:hint="eastAsia"/>
        </w:rPr>
        <w:t>注：1.报告截止日2025年12月31日，南方创业板人工智能ETF联接A份额净值1.1714元，基金份额总额866,307,242.43份；南方创业板人工智能ETF联接C份额净值1.1709元，基金份额总额491,517,597.86份；总份额合计1,357,824,840.29份。</w:t>
      </w:r>
    </w:p>
    <w:p w14:paraId="733C2857">
      <w:pPr>
        <w:pStyle w:val="47"/>
        <w:rPr>
          <w:rFonts w:hint="eastAsia"/>
        </w:rPr>
      </w:pPr>
      <w:r>
        <w:tab/>
      </w:r>
      <w:r>
        <w:rPr>
          <w:rFonts w:hint="eastAsia"/>
        </w:rPr>
        <w:t>2.本财务报表的实际编制期间为2025年10月30日(基金合同生效日)至2025年12月31日止期间。</w:t>
      </w:r>
    </w:p>
    <w:p w14:paraId="7D7C1B23">
      <w:pPr>
        <w:pStyle w:val="23"/>
      </w:pPr>
      <w:bookmarkStart w:id="48" w:name="_Toc23757"/>
      <w:r>
        <w:t>利润表</w:t>
      </w:r>
      <w:bookmarkEnd w:id="48"/>
    </w:p>
    <w:p w14:paraId="4110008A">
      <w:pPr>
        <w:pStyle w:val="18"/>
        <w:rPr>
          <w:rFonts w:hint="eastAsia"/>
        </w:rPr>
      </w:pPr>
      <w:r>
        <w:rPr>
          <w:rFonts w:hint="eastAsia"/>
        </w:rPr>
        <w:t>会计主体：南方创业板人工智能交易型开放式指数证券投资基金联接基金</w:t>
      </w:r>
    </w:p>
    <w:p w14:paraId="630DF04E">
      <w:pPr>
        <w:pStyle w:val="18"/>
        <w:rPr>
          <w:rFonts w:hint="eastAsia"/>
        </w:rPr>
      </w:pPr>
      <w:r>
        <w:rPr>
          <w:rFonts w:hint="eastAsia"/>
        </w:rPr>
        <w:t>本报告期：2025年10月30日(基金合同生效日)至2025年12月31日</w:t>
      </w:r>
    </w:p>
    <w:p w14:paraId="3F3009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19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4A0CA5">
            <w:pPr>
              <w:jc w:val="center"/>
            </w:pPr>
            <w:r>
              <w:rPr>
                <w:rFonts w:hint="eastAsia"/>
                <w:b/>
              </w:rPr>
              <w:t>项目</w:t>
            </w:r>
          </w:p>
        </w:tc>
        <w:tc>
          <w:tcPr>
            <w:tcW w:w="2768" w:type="dxa"/>
            <w:shd w:val="clear" w:color="auto" w:fill="BFBFBF"/>
            <w:vAlign w:val="center"/>
          </w:tcPr>
          <w:p w14:paraId="54CA96F7">
            <w:pPr>
              <w:jc w:val="center"/>
            </w:pPr>
            <w:r>
              <w:rPr>
                <w:rFonts w:hint="eastAsia"/>
                <w:b/>
              </w:rPr>
              <w:t>附注号</w:t>
            </w:r>
          </w:p>
        </w:tc>
        <w:tc>
          <w:tcPr>
            <w:tcW w:w="2768" w:type="dxa"/>
            <w:shd w:val="clear" w:color="auto" w:fill="BFBFBF"/>
            <w:vAlign w:val="center"/>
          </w:tcPr>
          <w:p w14:paraId="5DF57ED2">
            <w:pPr>
              <w:jc w:val="center"/>
            </w:pPr>
            <w:r>
              <w:rPr>
                <w:rFonts w:hint="eastAsia"/>
                <w:b/>
              </w:rPr>
              <w:t>本期2025年10月30日（基金合同生效日）至2025年12月31日</w:t>
            </w:r>
          </w:p>
        </w:tc>
      </w:tr>
      <w:tr w14:paraId="6A8F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FCAEE7">
            <w:r>
              <w:rPr>
                <w:rFonts w:hint="eastAsia"/>
              </w:rPr>
              <w:t>一、营业总收入</w:t>
            </w:r>
          </w:p>
        </w:tc>
        <w:tc>
          <w:tcPr>
            <w:tcW w:w="2768" w:type="dxa"/>
            <w:vAlign w:val="center"/>
          </w:tcPr>
          <w:p w14:paraId="293637E7"/>
        </w:tc>
        <w:tc>
          <w:tcPr>
            <w:tcW w:w="2768" w:type="dxa"/>
            <w:vAlign w:val="center"/>
          </w:tcPr>
          <w:p w14:paraId="0239E745">
            <w:pPr>
              <w:jc w:val="right"/>
            </w:pPr>
            <w:r>
              <w:rPr>
                <w:rFonts w:hint="eastAsia"/>
              </w:rPr>
              <w:t>437,672,593.69</w:t>
            </w:r>
          </w:p>
        </w:tc>
      </w:tr>
      <w:tr w14:paraId="7ADB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C7A0A">
            <w:r>
              <w:rPr>
                <w:rFonts w:hint="eastAsia"/>
              </w:rPr>
              <w:t>1.利息收入</w:t>
            </w:r>
          </w:p>
        </w:tc>
        <w:tc>
          <w:tcPr>
            <w:tcW w:w="2768" w:type="dxa"/>
            <w:vAlign w:val="center"/>
          </w:tcPr>
          <w:p w14:paraId="7A6F0390"/>
        </w:tc>
        <w:tc>
          <w:tcPr>
            <w:tcW w:w="2768" w:type="dxa"/>
            <w:vAlign w:val="center"/>
          </w:tcPr>
          <w:p w14:paraId="76E29F1A">
            <w:pPr>
              <w:jc w:val="right"/>
            </w:pPr>
            <w:r>
              <w:rPr>
                <w:rFonts w:hint="eastAsia"/>
              </w:rPr>
              <w:t>2,115,052.32</w:t>
            </w:r>
          </w:p>
        </w:tc>
      </w:tr>
      <w:tr w14:paraId="3B3D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40DEE">
            <w:r>
              <w:rPr>
                <w:rFonts w:hint="eastAsia"/>
              </w:rPr>
              <w:t>其中：存款利息收入</w:t>
            </w:r>
          </w:p>
        </w:tc>
        <w:tc>
          <w:tcPr>
            <w:tcW w:w="2768" w:type="dxa"/>
            <w:vAlign w:val="center"/>
          </w:tcPr>
          <w:p w14:paraId="52B3C00D">
            <w:r>
              <w:rPr>
                <w:rFonts w:hint="eastAsia"/>
              </w:rPr>
              <w:t>7.4.7.9</w:t>
            </w:r>
          </w:p>
        </w:tc>
        <w:tc>
          <w:tcPr>
            <w:tcW w:w="2768" w:type="dxa"/>
            <w:vAlign w:val="center"/>
          </w:tcPr>
          <w:p w14:paraId="7DA8E3C6">
            <w:pPr>
              <w:jc w:val="right"/>
            </w:pPr>
            <w:r>
              <w:rPr>
                <w:rFonts w:hint="eastAsia"/>
              </w:rPr>
              <w:t>113,459.20</w:t>
            </w:r>
          </w:p>
        </w:tc>
      </w:tr>
      <w:tr w14:paraId="4999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886AA">
            <w:r>
              <w:rPr>
                <w:rFonts w:hint="eastAsia"/>
              </w:rPr>
              <w:t xml:space="preserve">      债券利息收入</w:t>
            </w:r>
          </w:p>
        </w:tc>
        <w:tc>
          <w:tcPr>
            <w:tcW w:w="2768" w:type="dxa"/>
            <w:vAlign w:val="center"/>
          </w:tcPr>
          <w:p w14:paraId="14218F9D"/>
        </w:tc>
        <w:tc>
          <w:tcPr>
            <w:tcW w:w="2768" w:type="dxa"/>
            <w:vAlign w:val="center"/>
          </w:tcPr>
          <w:p w14:paraId="2BEBBDF2">
            <w:pPr>
              <w:jc w:val="right"/>
            </w:pPr>
            <w:r>
              <w:rPr>
                <w:rFonts w:hint="eastAsia"/>
              </w:rPr>
              <w:t>-</w:t>
            </w:r>
          </w:p>
        </w:tc>
      </w:tr>
      <w:tr w14:paraId="5B21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AFAD1">
            <w:r>
              <w:rPr>
                <w:rFonts w:hint="eastAsia"/>
              </w:rPr>
              <w:t xml:space="preserve">      资产支持证券利息收入</w:t>
            </w:r>
          </w:p>
        </w:tc>
        <w:tc>
          <w:tcPr>
            <w:tcW w:w="2768" w:type="dxa"/>
            <w:vAlign w:val="center"/>
          </w:tcPr>
          <w:p w14:paraId="1D2E0759"/>
        </w:tc>
        <w:tc>
          <w:tcPr>
            <w:tcW w:w="2768" w:type="dxa"/>
            <w:vAlign w:val="center"/>
          </w:tcPr>
          <w:p w14:paraId="537342AF">
            <w:pPr>
              <w:jc w:val="right"/>
            </w:pPr>
            <w:r>
              <w:rPr>
                <w:rFonts w:hint="eastAsia"/>
              </w:rPr>
              <w:t>-</w:t>
            </w:r>
          </w:p>
        </w:tc>
      </w:tr>
      <w:tr w14:paraId="0E69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CFA3B">
            <w:r>
              <w:rPr>
                <w:rFonts w:hint="eastAsia"/>
              </w:rPr>
              <w:t xml:space="preserve">      买入返售金融资产收入</w:t>
            </w:r>
          </w:p>
        </w:tc>
        <w:tc>
          <w:tcPr>
            <w:tcW w:w="2768" w:type="dxa"/>
            <w:vAlign w:val="center"/>
          </w:tcPr>
          <w:p w14:paraId="42E15086"/>
        </w:tc>
        <w:tc>
          <w:tcPr>
            <w:tcW w:w="2768" w:type="dxa"/>
            <w:vAlign w:val="center"/>
          </w:tcPr>
          <w:p w14:paraId="7FC38962">
            <w:pPr>
              <w:jc w:val="right"/>
            </w:pPr>
            <w:r>
              <w:rPr>
                <w:rFonts w:hint="eastAsia"/>
              </w:rPr>
              <w:t>2,001,593.12</w:t>
            </w:r>
          </w:p>
        </w:tc>
      </w:tr>
      <w:tr w14:paraId="3178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EF327">
            <w:r>
              <w:rPr>
                <w:rFonts w:hint="eastAsia"/>
              </w:rPr>
              <w:t xml:space="preserve">      其他利息收入</w:t>
            </w:r>
          </w:p>
        </w:tc>
        <w:tc>
          <w:tcPr>
            <w:tcW w:w="2768" w:type="dxa"/>
            <w:vAlign w:val="center"/>
          </w:tcPr>
          <w:p w14:paraId="278F98B2"/>
        </w:tc>
        <w:tc>
          <w:tcPr>
            <w:tcW w:w="2768" w:type="dxa"/>
            <w:vAlign w:val="center"/>
          </w:tcPr>
          <w:p w14:paraId="5DA04025">
            <w:pPr>
              <w:jc w:val="right"/>
            </w:pPr>
            <w:r>
              <w:rPr>
                <w:rFonts w:hint="eastAsia"/>
              </w:rPr>
              <w:t>-</w:t>
            </w:r>
          </w:p>
        </w:tc>
      </w:tr>
      <w:tr w14:paraId="604C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FD463">
            <w:r>
              <w:rPr>
                <w:rFonts w:hint="eastAsia"/>
              </w:rPr>
              <w:t>2.投资收益（损失以“-”填列）</w:t>
            </w:r>
          </w:p>
        </w:tc>
        <w:tc>
          <w:tcPr>
            <w:tcW w:w="2768" w:type="dxa"/>
            <w:vAlign w:val="center"/>
          </w:tcPr>
          <w:p w14:paraId="637358C5"/>
        </w:tc>
        <w:tc>
          <w:tcPr>
            <w:tcW w:w="2768" w:type="dxa"/>
            <w:vAlign w:val="center"/>
          </w:tcPr>
          <w:p w14:paraId="4DAA3AA2">
            <w:pPr>
              <w:jc w:val="right"/>
            </w:pPr>
            <w:r>
              <w:rPr>
                <w:rFonts w:hint="eastAsia"/>
              </w:rPr>
              <w:t>208,608,956.54</w:t>
            </w:r>
          </w:p>
        </w:tc>
      </w:tr>
      <w:tr w14:paraId="2917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7B338">
            <w:r>
              <w:rPr>
                <w:rFonts w:hint="eastAsia"/>
              </w:rPr>
              <w:t>其中：股票投资收益</w:t>
            </w:r>
          </w:p>
        </w:tc>
        <w:tc>
          <w:tcPr>
            <w:tcW w:w="2768" w:type="dxa"/>
            <w:vAlign w:val="center"/>
          </w:tcPr>
          <w:p w14:paraId="1705A0BC">
            <w:r>
              <w:rPr>
                <w:rFonts w:hint="eastAsia"/>
              </w:rPr>
              <w:t>7.4.7.10</w:t>
            </w:r>
          </w:p>
        </w:tc>
        <w:tc>
          <w:tcPr>
            <w:tcW w:w="2768" w:type="dxa"/>
            <w:vAlign w:val="center"/>
          </w:tcPr>
          <w:p w14:paraId="02BDFC1A">
            <w:pPr>
              <w:jc w:val="right"/>
            </w:pPr>
            <w:r>
              <w:rPr>
                <w:rFonts w:hint="eastAsia"/>
              </w:rPr>
              <w:t>-20,217.10</w:t>
            </w:r>
          </w:p>
        </w:tc>
      </w:tr>
      <w:tr w14:paraId="700A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6BF1B">
            <w:r>
              <w:rPr>
                <w:rFonts w:hint="eastAsia"/>
              </w:rPr>
              <w:t xml:space="preserve">      基金投资收益</w:t>
            </w:r>
          </w:p>
        </w:tc>
        <w:tc>
          <w:tcPr>
            <w:tcW w:w="2768" w:type="dxa"/>
            <w:vAlign w:val="center"/>
          </w:tcPr>
          <w:p w14:paraId="17D1977D">
            <w:r>
              <w:rPr>
                <w:rFonts w:hint="eastAsia"/>
              </w:rPr>
              <w:t>7.4.7.11</w:t>
            </w:r>
          </w:p>
        </w:tc>
        <w:tc>
          <w:tcPr>
            <w:tcW w:w="2768" w:type="dxa"/>
            <w:vAlign w:val="center"/>
          </w:tcPr>
          <w:p w14:paraId="050C99B2">
            <w:pPr>
              <w:jc w:val="right"/>
            </w:pPr>
            <w:r>
              <w:rPr>
                <w:rFonts w:hint="eastAsia"/>
              </w:rPr>
              <w:t>208,627,668.60</w:t>
            </w:r>
          </w:p>
        </w:tc>
      </w:tr>
      <w:tr w14:paraId="2BD4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00BC7D">
            <w:r>
              <w:rPr>
                <w:rFonts w:hint="eastAsia"/>
              </w:rPr>
              <w:t xml:space="preserve">      债券投资收益</w:t>
            </w:r>
          </w:p>
        </w:tc>
        <w:tc>
          <w:tcPr>
            <w:tcW w:w="2768" w:type="dxa"/>
            <w:vAlign w:val="center"/>
          </w:tcPr>
          <w:p w14:paraId="4C7B0A98">
            <w:r>
              <w:rPr>
                <w:rFonts w:hint="eastAsia"/>
              </w:rPr>
              <w:t>7.4.7.12</w:t>
            </w:r>
          </w:p>
        </w:tc>
        <w:tc>
          <w:tcPr>
            <w:tcW w:w="2768" w:type="dxa"/>
            <w:vAlign w:val="center"/>
          </w:tcPr>
          <w:p w14:paraId="2A551BD9">
            <w:pPr>
              <w:jc w:val="right"/>
            </w:pPr>
            <w:r>
              <w:rPr>
                <w:rFonts w:hint="eastAsia"/>
              </w:rPr>
              <w:t>1,505.04</w:t>
            </w:r>
          </w:p>
        </w:tc>
      </w:tr>
      <w:tr w14:paraId="07BB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1C9B4">
            <w:r>
              <w:rPr>
                <w:rFonts w:hint="eastAsia"/>
              </w:rPr>
              <w:t xml:space="preserve">      资产支持证券投资收益</w:t>
            </w:r>
          </w:p>
        </w:tc>
        <w:tc>
          <w:tcPr>
            <w:tcW w:w="2768" w:type="dxa"/>
            <w:vAlign w:val="center"/>
          </w:tcPr>
          <w:p w14:paraId="3EBED359">
            <w:r>
              <w:rPr>
                <w:rFonts w:hint="eastAsia"/>
              </w:rPr>
              <w:t>7.4.7.13</w:t>
            </w:r>
          </w:p>
        </w:tc>
        <w:tc>
          <w:tcPr>
            <w:tcW w:w="2768" w:type="dxa"/>
            <w:vAlign w:val="center"/>
          </w:tcPr>
          <w:p w14:paraId="26AEC65A">
            <w:pPr>
              <w:jc w:val="right"/>
            </w:pPr>
            <w:r>
              <w:rPr>
                <w:rFonts w:hint="eastAsia"/>
              </w:rPr>
              <w:t>-</w:t>
            </w:r>
          </w:p>
        </w:tc>
      </w:tr>
      <w:tr w14:paraId="5808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D2EA5">
            <w:r>
              <w:rPr>
                <w:rFonts w:hint="eastAsia"/>
              </w:rPr>
              <w:t xml:space="preserve">      贵金属投资收益</w:t>
            </w:r>
          </w:p>
        </w:tc>
        <w:tc>
          <w:tcPr>
            <w:tcW w:w="2768" w:type="dxa"/>
            <w:vAlign w:val="center"/>
          </w:tcPr>
          <w:p w14:paraId="5BF0DF53"/>
        </w:tc>
        <w:tc>
          <w:tcPr>
            <w:tcW w:w="2768" w:type="dxa"/>
            <w:vAlign w:val="center"/>
          </w:tcPr>
          <w:p w14:paraId="3BB86059">
            <w:pPr>
              <w:jc w:val="right"/>
            </w:pPr>
            <w:r>
              <w:rPr>
                <w:rFonts w:hint="eastAsia"/>
              </w:rPr>
              <w:t>-</w:t>
            </w:r>
          </w:p>
        </w:tc>
      </w:tr>
      <w:tr w14:paraId="71B25537">
        <w:tblPrEx>
          <w:tblCellMar>
            <w:top w:w="0" w:type="dxa"/>
            <w:left w:w="108" w:type="dxa"/>
            <w:bottom w:w="0" w:type="dxa"/>
            <w:right w:w="108" w:type="dxa"/>
          </w:tblCellMar>
        </w:tblPrEx>
        <w:trPr>
          <w:jc w:val="center"/>
        </w:trPr>
        <w:tc>
          <w:tcPr>
            <w:tcW w:w="2768" w:type="dxa"/>
            <w:vAlign w:val="center"/>
          </w:tcPr>
          <w:p w14:paraId="1B092D34">
            <w:r>
              <w:rPr>
                <w:rFonts w:hint="eastAsia"/>
              </w:rPr>
              <w:t xml:space="preserve">      衍生工具收益</w:t>
            </w:r>
          </w:p>
        </w:tc>
        <w:tc>
          <w:tcPr>
            <w:tcW w:w="2768" w:type="dxa"/>
            <w:vAlign w:val="center"/>
          </w:tcPr>
          <w:p w14:paraId="4E56366F">
            <w:r>
              <w:rPr>
                <w:rFonts w:hint="eastAsia"/>
              </w:rPr>
              <w:t>7.4.7.14</w:t>
            </w:r>
          </w:p>
        </w:tc>
        <w:tc>
          <w:tcPr>
            <w:tcW w:w="2768" w:type="dxa"/>
            <w:vAlign w:val="center"/>
          </w:tcPr>
          <w:p w14:paraId="0A1811B4">
            <w:pPr>
              <w:jc w:val="right"/>
            </w:pPr>
            <w:r>
              <w:rPr>
                <w:rFonts w:hint="eastAsia"/>
              </w:rPr>
              <w:t>-</w:t>
            </w:r>
          </w:p>
        </w:tc>
      </w:tr>
      <w:tr w14:paraId="69D8B385">
        <w:tblPrEx>
          <w:tblCellMar>
            <w:top w:w="0" w:type="dxa"/>
            <w:left w:w="108" w:type="dxa"/>
            <w:bottom w:w="0" w:type="dxa"/>
            <w:right w:w="108" w:type="dxa"/>
          </w:tblCellMar>
        </w:tblPrEx>
        <w:trPr>
          <w:jc w:val="center"/>
        </w:trPr>
        <w:tc>
          <w:tcPr>
            <w:tcW w:w="2768" w:type="dxa"/>
            <w:vAlign w:val="center"/>
          </w:tcPr>
          <w:p w14:paraId="3C249FC0">
            <w:r>
              <w:rPr>
                <w:rFonts w:hint="eastAsia"/>
              </w:rPr>
              <w:t xml:space="preserve">      股利收益</w:t>
            </w:r>
          </w:p>
        </w:tc>
        <w:tc>
          <w:tcPr>
            <w:tcW w:w="2768" w:type="dxa"/>
            <w:vAlign w:val="center"/>
          </w:tcPr>
          <w:p w14:paraId="16D26B22">
            <w:r>
              <w:rPr>
                <w:rFonts w:hint="eastAsia"/>
              </w:rPr>
              <w:t>7.4.7.15</w:t>
            </w:r>
          </w:p>
        </w:tc>
        <w:tc>
          <w:tcPr>
            <w:tcW w:w="2768" w:type="dxa"/>
            <w:vAlign w:val="center"/>
          </w:tcPr>
          <w:p w14:paraId="48BC835B">
            <w:pPr>
              <w:jc w:val="right"/>
            </w:pPr>
            <w:r>
              <w:rPr>
                <w:rFonts w:hint="eastAsia"/>
              </w:rPr>
              <w:t>-</w:t>
            </w:r>
          </w:p>
        </w:tc>
      </w:tr>
      <w:tr w14:paraId="5ECF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A27D5">
            <w:r>
              <w:rPr>
                <w:rFonts w:hint="eastAsia"/>
              </w:rPr>
              <w:t xml:space="preserve">      以摊余成本计量的金融资产终止确认产生的收益</w:t>
            </w:r>
          </w:p>
        </w:tc>
        <w:tc>
          <w:tcPr>
            <w:tcW w:w="2768" w:type="dxa"/>
            <w:vAlign w:val="center"/>
          </w:tcPr>
          <w:p w14:paraId="32B2C11C"/>
        </w:tc>
        <w:tc>
          <w:tcPr>
            <w:tcW w:w="2768" w:type="dxa"/>
            <w:vAlign w:val="center"/>
          </w:tcPr>
          <w:p w14:paraId="7D9B1AC5">
            <w:pPr>
              <w:jc w:val="right"/>
            </w:pPr>
            <w:r>
              <w:rPr>
                <w:rFonts w:hint="eastAsia"/>
              </w:rPr>
              <w:t>-</w:t>
            </w:r>
          </w:p>
        </w:tc>
      </w:tr>
      <w:tr w14:paraId="672C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1510C">
            <w:r>
              <w:rPr>
                <w:rFonts w:hint="eastAsia"/>
              </w:rPr>
              <w:t xml:space="preserve">      其他投资收益</w:t>
            </w:r>
          </w:p>
        </w:tc>
        <w:tc>
          <w:tcPr>
            <w:tcW w:w="2768" w:type="dxa"/>
            <w:vAlign w:val="center"/>
          </w:tcPr>
          <w:p w14:paraId="4E7EAEC5"/>
        </w:tc>
        <w:tc>
          <w:tcPr>
            <w:tcW w:w="2768" w:type="dxa"/>
            <w:vAlign w:val="center"/>
          </w:tcPr>
          <w:p w14:paraId="622B6426">
            <w:pPr>
              <w:jc w:val="right"/>
            </w:pPr>
            <w:r>
              <w:rPr>
                <w:rFonts w:hint="eastAsia"/>
              </w:rPr>
              <w:t>-</w:t>
            </w:r>
          </w:p>
        </w:tc>
      </w:tr>
      <w:tr w14:paraId="7FF2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4063A">
            <w:r>
              <w:rPr>
                <w:rFonts w:hint="eastAsia"/>
              </w:rPr>
              <w:t>3.公允价值变动收益（损失以“-”号填列）</w:t>
            </w:r>
          </w:p>
        </w:tc>
        <w:tc>
          <w:tcPr>
            <w:tcW w:w="2768" w:type="dxa"/>
            <w:vAlign w:val="center"/>
          </w:tcPr>
          <w:p w14:paraId="3CC844D0">
            <w:r>
              <w:rPr>
                <w:rFonts w:hint="eastAsia"/>
              </w:rPr>
              <w:t>7.4.7.16</w:t>
            </w:r>
          </w:p>
        </w:tc>
        <w:tc>
          <w:tcPr>
            <w:tcW w:w="2768" w:type="dxa"/>
            <w:vAlign w:val="center"/>
          </w:tcPr>
          <w:p w14:paraId="12CA0F5A">
            <w:pPr>
              <w:jc w:val="right"/>
            </w:pPr>
            <w:r>
              <w:rPr>
                <w:rFonts w:hint="eastAsia"/>
              </w:rPr>
              <w:t>226,678,992.82</w:t>
            </w:r>
          </w:p>
        </w:tc>
      </w:tr>
      <w:tr w14:paraId="4C34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3915E">
            <w:r>
              <w:rPr>
                <w:rFonts w:hint="eastAsia"/>
              </w:rPr>
              <w:t>4.汇兑收益（损失以“－”号填列）</w:t>
            </w:r>
          </w:p>
        </w:tc>
        <w:tc>
          <w:tcPr>
            <w:tcW w:w="2768" w:type="dxa"/>
            <w:vAlign w:val="center"/>
          </w:tcPr>
          <w:p w14:paraId="1A1B9CF0"/>
        </w:tc>
        <w:tc>
          <w:tcPr>
            <w:tcW w:w="2768" w:type="dxa"/>
            <w:vAlign w:val="center"/>
          </w:tcPr>
          <w:p w14:paraId="23BF348F">
            <w:pPr>
              <w:jc w:val="right"/>
            </w:pPr>
            <w:r>
              <w:rPr>
                <w:rFonts w:hint="eastAsia"/>
              </w:rPr>
              <w:t>-</w:t>
            </w:r>
          </w:p>
        </w:tc>
      </w:tr>
      <w:tr w14:paraId="4652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600BE">
            <w:r>
              <w:rPr>
                <w:rFonts w:hint="eastAsia"/>
              </w:rPr>
              <w:t>5.其他收入（损失以“-”号填列）</w:t>
            </w:r>
          </w:p>
        </w:tc>
        <w:tc>
          <w:tcPr>
            <w:tcW w:w="2768" w:type="dxa"/>
            <w:vAlign w:val="center"/>
          </w:tcPr>
          <w:p w14:paraId="303A5582">
            <w:r>
              <w:rPr>
                <w:rFonts w:hint="eastAsia"/>
              </w:rPr>
              <w:t>7.4.7.17</w:t>
            </w:r>
          </w:p>
        </w:tc>
        <w:tc>
          <w:tcPr>
            <w:tcW w:w="2768" w:type="dxa"/>
            <w:vAlign w:val="center"/>
          </w:tcPr>
          <w:p w14:paraId="393FF6A9">
            <w:pPr>
              <w:jc w:val="right"/>
            </w:pPr>
            <w:r>
              <w:rPr>
                <w:rFonts w:hint="eastAsia"/>
              </w:rPr>
              <w:t>269,592.01</w:t>
            </w:r>
          </w:p>
        </w:tc>
      </w:tr>
      <w:tr w14:paraId="50C1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98966D">
            <w:r>
              <w:rPr>
                <w:rFonts w:hint="eastAsia"/>
              </w:rPr>
              <w:t>减：二、营业总支出</w:t>
            </w:r>
          </w:p>
        </w:tc>
        <w:tc>
          <w:tcPr>
            <w:tcW w:w="2768" w:type="dxa"/>
            <w:vAlign w:val="center"/>
          </w:tcPr>
          <w:p w14:paraId="7AFCFDB2"/>
        </w:tc>
        <w:tc>
          <w:tcPr>
            <w:tcW w:w="2768" w:type="dxa"/>
            <w:vAlign w:val="center"/>
          </w:tcPr>
          <w:p w14:paraId="6CE574BC">
            <w:pPr>
              <w:jc w:val="right"/>
            </w:pPr>
            <w:r>
              <w:rPr>
                <w:rFonts w:hint="eastAsia"/>
              </w:rPr>
              <w:t>2,394,009.80</w:t>
            </w:r>
          </w:p>
        </w:tc>
      </w:tr>
      <w:tr w14:paraId="4437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0673B">
            <w:r>
              <w:rPr>
                <w:rFonts w:hint="eastAsia"/>
              </w:rPr>
              <w:t>1.管理人报酬</w:t>
            </w:r>
          </w:p>
        </w:tc>
        <w:tc>
          <w:tcPr>
            <w:tcW w:w="2768" w:type="dxa"/>
            <w:vAlign w:val="center"/>
          </w:tcPr>
          <w:p w14:paraId="2ACAF80D">
            <w:r>
              <w:rPr>
                <w:rFonts w:hint="eastAsia"/>
              </w:rPr>
              <w:t>7.4.10.2.1</w:t>
            </w:r>
          </w:p>
        </w:tc>
        <w:tc>
          <w:tcPr>
            <w:tcW w:w="2768" w:type="dxa"/>
            <w:vAlign w:val="center"/>
          </w:tcPr>
          <w:p w14:paraId="39871002">
            <w:pPr>
              <w:jc w:val="right"/>
            </w:pPr>
            <w:r>
              <w:rPr>
                <w:rFonts w:hint="eastAsia"/>
              </w:rPr>
              <w:t>1,001,750.78</w:t>
            </w:r>
          </w:p>
        </w:tc>
      </w:tr>
      <w:tr w14:paraId="13B9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924AA">
            <w:r>
              <w:rPr>
                <w:rFonts w:hint="eastAsia"/>
              </w:rPr>
              <w:t>其中：暂估管理人报酬</w:t>
            </w:r>
          </w:p>
        </w:tc>
        <w:tc>
          <w:tcPr>
            <w:tcW w:w="2768" w:type="dxa"/>
            <w:vAlign w:val="center"/>
          </w:tcPr>
          <w:p w14:paraId="09D1698C"/>
        </w:tc>
        <w:tc>
          <w:tcPr>
            <w:tcW w:w="2768" w:type="dxa"/>
            <w:vAlign w:val="center"/>
          </w:tcPr>
          <w:p w14:paraId="716B51D3">
            <w:pPr>
              <w:jc w:val="right"/>
            </w:pPr>
            <w:r>
              <w:rPr>
                <w:rFonts w:hint="eastAsia"/>
              </w:rPr>
              <w:t>-</w:t>
            </w:r>
          </w:p>
        </w:tc>
      </w:tr>
      <w:tr w14:paraId="2689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12147">
            <w:r>
              <w:rPr>
                <w:rFonts w:hint="eastAsia"/>
              </w:rPr>
              <w:t>2.托管费</w:t>
            </w:r>
          </w:p>
        </w:tc>
        <w:tc>
          <w:tcPr>
            <w:tcW w:w="2768" w:type="dxa"/>
            <w:vAlign w:val="center"/>
          </w:tcPr>
          <w:p w14:paraId="6C23C365">
            <w:r>
              <w:rPr>
                <w:rFonts w:hint="eastAsia"/>
              </w:rPr>
              <w:t>7.4.10.2.2</w:t>
            </w:r>
          </w:p>
        </w:tc>
        <w:tc>
          <w:tcPr>
            <w:tcW w:w="2768" w:type="dxa"/>
            <w:vAlign w:val="center"/>
          </w:tcPr>
          <w:p w14:paraId="70954EE3">
            <w:pPr>
              <w:jc w:val="right"/>
            </w:pPr>
            <w:r>
              <w:rPr>
                <w:rFonts w:hint="eastAsia"/>
              </w:rPr>
              <w:t>200,350.12</w:t>
            </w:r>
          </w:p>
        </w:tc>
      </w:tr>
      <w:tr w14:paraId="3142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65848">
            <w:r>
              <w:rPr>
                <w:rFonts w:hint="eastAsia"/>
              </w:rPr>
              <w:t>3.销售服务费</w:t>
            </w:r>
          </w:p>
        </w:tc>
        <w:tc>
          <w:tcPr>
            <w:tcW w:w="2768" w:type="dxa"/>
            <w:vAlign w:val="center"/>
          </w:tcPr>
          <w:p w14:paraId="44B80C7A">
            <w:r>
              <w:rPr>
                <w:rFonts w:hint="eastAsia"/>
              </w:rPr>
              <w:t>7.4.10.2.3</w:t>
            </w:r>
          </w:p>
        </w:tc>
        <w:tc>
          <w:tcPr>
            <w:tcW w:w="2768" w:type="dxa"/>
            <w:vAlign w:val="center"/>
          </w:tcPr>
          <w:p w14:paraId="11779655">
            <w:pPr>
              <w:jc w:val="right"/>
            </w:pPr>
            <w:r>
              <w:rPr>
                <w:rFonts w:hint="eastAsia"/>
              </w:rPr>
              <w:t>387,365.57</w:t>
            </w:r>
          </w:p>
        </w:tc>
      </w:tr>
      <w:tr w14:paraId="7653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33D98">
            <w:r>
              <w:rPr>
                <w:rFonts w:hint="eastAsia"/>
              </w:rPr>
              <w:t>4.投资顾问费</w:t>
            </w:r>
          </w:p>
        </w:tc>
        <w:tc>
          <w:tcPr>
            <w:tcW w:w="2768" w:type="dxa"/>
            <w:vAlign w:val="center"/>
          </w:tcPr>
          <w:p w14:paraId="47570FE4"/>
        </w:tc>
        <w:tc>
          <w:tcPr>
            <w:tcW w:w="2768" w:type="dxa"/>
            <w:vAlign w:val="center"/>
          </w:tcPr>
          <w:p w14:paraId="4FD6D644">
            <w:pPr>
              <w:jc w:val="right"/>
            </w:pPr>
            <w:r>
              <w:rPr>
                <w:rFonts w:hint="eastAsia"/>
              </w:rPr>
              <w:t>-</w:t>
            </w:r>
          </w:p>
        </w:tc>
      </w:tr>
      <w:tr w14:paraId="2FF0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A0A43">
            <w:r>
              <w:rPr>
                <w:rFonts w:hint="eastAsia"/>
              </w:rPr>
              <w:t>5.利息支出</w:t>
            </w:r>
          </w:p>
        </w:tc>
        <w:tc>
          <w:tcPr>
            <w:tcW w:w="2768" w:type="dxa"/>
            <w:vAlign w:val="center"/>
          </w:tcPr>
          <w:p w14:paraId="6D3D1480"/>
        </w:tc>
        <w:tc>
          <w:tcPr>
            <w:tcW w:w="2768" w:type="dxa"/>
            <w:vAlign w:val="center"/>
          </w:tcPr>
          <w:p w14:paraId="66FF5A44">
            <w:pPr>
              <w:jc w:val="right"/>
            </w:pPr>
            <w:r>
              <w:rPr>
                <w:rFonts w:hint="eastAsia"/>
              </w:rPr>
              <w:t>-</w:t>
            </w:r>
          </w:p>
        </w:tc>
      </w:tr>
      <w:tr w14:paraId="3AD6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80608">
            <w:r>
              <w:rPr>
                <w:rFonts w:hint="eastAsia"/>
              </w:rPr>
              <w:t>其中：卖出回购金融资产支出</w:t>
            </w:r>
          </w:p>
        </w:tc>
        <w:tc>
          <w:tcPr>
            <w:tcW w:w="2768" w:type="dxa"/>
            <w:vAlign w:val="center"/>
          </w:tcPr>
          <w:p w14:paraId="2D4D358A"/>
        </w:tc>
        <w:tc>
          <w:tcPr>
            <w:tcW w:w="2768" w:type="dxa"/>
            <w:vAlign w:val="center"/>
          </w:tcPr>
          <w:p w14:paraId="07B9D26F">
            <w:pPr>
              <w:jc w:val="right"/>
            </w:pPr>
            <w:r>
              <w:rPr>
                <w:rFonts w:hint="eastAsia"/>
              </w:rPr>
              <w:t>-</w:t>
            </w:r>
          </w:p>
        </w:tc>
      </w:tr>
      <w:tr w14:paraId="2783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332D6">
            <w:r>
              <w:rPr>
                <w:rFonts w:hint="eastAsia"/>
              </w:rPr>
              <w:t>6.信用减值损失</w:t>
            </w:r>
          </w:p>
        </w:tc>
        <w:tc>
          <w:tcPr>
            <w:tcW w:w="2768" w:type="dxa"/>
            <w:vAlign w:val="center"/>
          </w:tcPr>
          <w:p w14:paraId="7882038A"/>
        </w:tc>
        <w:tc>
          <w:tcPr>
            <w:tcW w:w="2768" w:type="dxa"/>
            <w:vAlign w:val="center"/>
          </w:tcPr>
          <w:p w14:paraId="74FA42E8">
            <w:pPr>
              <w:jc w:val="right"/>
            </w:pPr>
            <w:r>
              <w:rPr>
                <w:rFonts w:hint="eastAsia"/>
              </w:rPr>
              <w:t>-</w:t>
            </w:r>
          </w:p>
        </w:tc>
      </w:tr>
      <w:tr w14:paraId="2C85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FB165">
            <w:r>
              <w:rPr>
                <w:rFonts w:hint="eastAsia"/>
              </w:rPr>
              <w:t>7.税金及附加</w:t>
            </w:r>
          </w:p>
        </w:tc>
        <w:tc>
          <w:tcPr>
            <w:tcW w:w="2768" w:type="dxa"/>
            <w:vAlign w:val="center"/>
          </w:tcPr>
          <w:p w14:paraId="6DB044D1"/>
        </w:tc>
        <w:tc>
          <w:tcPr>
            <w:tcW w:w="2768" w:type="dxa"/>
            <w:vAlign w:val="center"/>
          </w:tcPr>
          <w:p w14:paraId="2AC11A43">
            <w:pPr>
              <w:jc w:val="right"/>
            </w:pPr>
            <w:r>
              <w:rPr>
                <w:rFonts w:hint="eastAsia"/>
              </w:rPr>
              <w:t>751,895.64</w:t>
            </w:r>
          </w:p>
        </w:tc>
      </w:tr>
      <w:tr w14:paraId="45C2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A5F15">
            <w:r>
              <w:rPr>
                <w:rFonts w:hint="eastAsia"/>
              </w:rPr>
              <w:t>8.其他费用</w:t>
            </w:r>
          </w:p>
        </w:tc>
        <w:tc>
          <w:tcPr>
            <w:tcW w:w="2768" w:type="dxa"/>
            <w:vAlign w:val="center"/>
          </w:tcPr>
          <w:p w14:paraId="4E0D631F">
            <w:r>
              <w:rPr>
                <w:rFonts w:hint="eastAsia"/>
              </w:rPr>
              <w:t>7.4.7.18</w:t>
            </w:r>
          </w:p>
        </w:tc>
        <w:tc>
          <w:tcPr>
            <w:tcW w:w="2768" w:type="dxa"/>
            <w:vAlign w:val="center"/>
          </w:tcPr>
          <w:p w14:paraId="2A62B67B">
            <w:pPr>
              <w:jc w:val="right"/>
            </w:pPr>
            <w:r>
              <w:rPr>
                <w:rFonts w:hint="eastAsia"/>
              </w:rPr>
              <w:t>52,647.69</w:t>
            </w:r>
          </w:p>
        </w:tc>
      </w:tr>
      <w:tr w14:paraId="31EC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03ED6">
            <w:r>
              <w:rPr>
                <w:rFonts w:hint="eastAsia"/>
              </w:rPr>
              <w:t>三、利润总额（亏损总额以“-”号填列）</w:t>
            </w:r>
          </w:p>
        </w:tc>
        <w:tc>
          <w:tcPr>
            <w:tcW w:w="2768" w:type="dxa"/>
            <w:vAlign w:val="center"/>
          </w:tcPr>
          <w:p w14:paraId="6B1BD3F0"/>
        </w:tc>
        <w:tc>
          <w:tcPr>
            <w:tcW w:w="2768" w:type="dxa"/>
            <w:vAlign w:val="center"/>
          </w:tcPr>
          <w:p w14:paraId="19ED3639">
            <w:pPr>
              <w:jc w:val="right"/>
            </w:pPr>
            <w:r>
              <w:rPr>
                <w:rFonts w:hint="eastAsia"/>
              </w:rPr>
              <w:t>435,278,583.89</w:t>
            </w:r>
          </w:p>
        </w:tc>
      </w:tr>
      <w:tr w14:paraId="1332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AC9B1C">
            <w:r>
              <w:rPr>
                <w:rFonts w:hint="eastAsia"/>
              </w:rPr>
              <w:t>减：所得税费用</w:t>
            </w:r>
          </w:p>
        </w:tc>
        <w:tc>
          <w:tcPr>
            <w:tcW w:w="2768" w:type="dxa"/>
            <w:vAlign w:val="center"/>
          </w:tcPr>
          <w:p w14:paraId="21DF318D"/>
        </w:tc>
        <w:tc>
          <w:tcPr>
            <w:tcW w:w="2768" w:type="dxa"/>
            <w:vAlign w:val="center"/>
          </w:tcPr>
          <w:p w14:paraId="74621941">
            <w:pPr>
              <w:jc w:val="right"/>
            </w:pPr>
            <w:r>
              <w:rPr>
                <w:rFonts w:hint="eastAsia"/>
              </w:rPr>
              <w:t>-</w:t>
            </w:r>
          </w:p>
        </w:tc>
      </w:tr>
      <w:tr w14:paraId="6EC1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E4A81">
            <w:r>
              <w:rPr>
                <w:rFonts w:hint="eastAsia"/>
              </w:rPr>
              <w:t>四、净利润（净亏损以“-”号填列）</w:t>
            </w:r>
          </w:p>
        </w:tc>
        <w:tc>
          <w:tcPr>
            <w:tcW w:w="2768" w:type="dxa"/>
            <w:vAlign w:val="center"/>
          </w:tcPr>
          <w:p w14:paraId="38D79F4D"/>
        </w:tc>
        <w:tc>
          <w:tcPr>
            <w:tcW w:w="2768" w:type="dxa"/>
            <w:vAlign w:val="center"/>
          </w:tcPr>
          <w:p w14:paraId="1B35E2E2">
            <w:pPr>
              <w:jc w:val="right"/>
            </w:pPr>
            <w:r>
              <w:rPr>
                <w:rFonts w:hint="eastAsia"/>
              </w:rPr>
              <w:t>435,278,583.89</w:t>
            </w:r>
          </w:p>
        </w:tc>
      </w:tr>
      <w:tr w14:paraId="419E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3D205">
            <w:r>
              <w:rPr>
                <w:rFonts w:hint="eastAsia"/>
              </w:rPr>
              <w:t>五、其他综合收益的税后净额</w:t>
            </w:r>
          </w:p>
        </w:tc>
        <w:tc>
          <w:tcPr>
            <w:tcW w:w="2768" w:type="dxa"/>
            <w:vAlign w:val="center"/>
          </w:tcPr>
          <w:p w14:paraId="679D8778"/>
        </w:tc>
        <w:tc>
          <w:tcPr>
            <w:tcW w:w="2768" w:type="dxa"/>
            <w:vAlign w:val="center"/>
          </w:tcPr>
          <w:p w14:paraId="28564CE8">
            <w:pPr>
              <w:jc w:val="right"/>
            </w:pPr>
            <w:r>
              <w:rPr>
                <w:rFonts w:hint="eastAsia"/>
              </w:rPr>
              <w:t>-</w:t>
            </w:r>
          </w:p>
        </w:tc>
      </w:tr>
      <w:tr w14:paraId="11BE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B4B49">
            <w:r>
              <w:rPr>
                <w:rFonts w:hint="eastAsia"/>
              </w:rPr>
              <w:t>六、综合收益总额</w:t>
            </w:r>
          </w:p>
        </w:tc>
        <w:tc>
          <w:tcPr>
            <w:tcW w:w="2768" w:type="dxa"/>
            <w:vAlign w:val="center"/>
          </w:tcPr>
          <w:p w14:paraId="4D4CC0BB"/>
        </w:tc>
        <w:tc>
          <w:tcPr>
            <w:tcW w:w="2768" w:type="dxa"/>
            <w:vAlign w:val="center"/>
          </w:tcPr>
          <w:p w14:paraId="3137457C">
            <w:pPr>
              <w:jc w:val="right"/>
            </w:pPr>
            <w:r>
              <w:rPr>
                <w:rFonts w:hint="eastAsia"/>
              </w:rPr>
              <w:t>435,278,583.89</w:t>
            </w:r>
          </w:p>
        </w:tc>
      </w:tr>
    </w:tbl>
    <w:p w14:paraId="6DEDF431">
      <w:pPr>
        <w:pStyle w:val="23"/>
      </w:pPr>
      <w:bookmarkStart w:id="49" w:name="_Toc30442"/>
      <w:r>
        <w:t>净资产变动表</w:t>
      </w:r>
      <w:bookmarkEnd w:id="49"/>
    </w:p>
    <w:p w14:paraId="2926ED60">
      <w:pPr>
        <w:pStyle w:val="18"/>
        <w:rPr>
          <w:rFonts w:hint="eastAsia"/>
        </w:rPr>
      </w:pPr>
      <w:r>
        <w:rPr>
          <w:rFonts w:hint="eastAsia"/>
        </w:rPr>
        <w:t>会计主体：南方创业板人工智能交易型开放式指数证券投资基金联接基金</w:t>
      </w:r>
    </w:p>
    <w:p w14:paraId="5669D636">
      <w:pPr>
        <w:pStyle w:val="18"/>
        <w:rPr>
          <w:rFonts w:hint="eastAsia"/>
        </w:rPr>
      </w:pPr>
      <w:r>
        <w:rPr>
          <w:rFonts w:hint="eastAsia"/>
        </w:rPr>
        <w:t>本报告期：2025年10月30日(基金合同生效日)至2025年12月31日</w:t>
      </w:r>
    </w:p>
    <w:p w14:paraId="6D1DD3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A23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BE809C4">
            <w:pPr>
              <w:jc w:val="center"/>
            </w:pPr>
            <w:r>
              <w:rPr>
                <w:rFonts w:hint="eastAsia"/>
                <w:b/>
              </w:rPr>
              <w:t>项目</w:t>
            </w:r>
          </w:p>
        </w:tc>
        <w:tc>
          <w:tcPr>
            <w:tcW w:w="1661" w:type="dxa"/>
            <w:gridSpan w:val="4"/>
            <w:shd w:val="clear" w:color="auto" w:fill="BFBFBF"/>
            <w:vAlign w:val="center"/>
          </w:tcPr>
          <w:p w14:paraId="6B07467C">
            <w:pPr>
              <w:jc w:val="center"/>
            </w:pPr>
            <w:r>
              <w:rPr>
                <w:rFonts w:hint="eastAsia"/>
                <w:b/>
              </w:rPr>
              <w:t>本期2025年10月30日（基金合同生效日）至2025年12月31日</w:t>
            </w:r>
          </w:p>
        </w:tc>
      </w:tr>
      <w:tr w14:paraId="5A0A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A8B5D9"/>
        </w:tc>
        <w:tc>
          <w:tcPr>
            <w:tcW w:w="1661" w:type="dxa"/>
            <w:shd w:val="clear" w:color="auto" w:fill="BFBFBF"/>
            <w:vAlign w:val="center"/>
          </w:tcPr>
          <w:p w14:paraId="479BF22F">
            <w:pPr>
              <w:jc w:val="center"/>
            </w:pPr>
            <w:r>
              <w:rPr>
                <w:rFonts w:hint="eastAsia"/>
                <w:b/>
              </w:rPr>
              <w:t>实收基金</w:t>
            </w:r>
          </w:p>
        </w:tc>
        <w:tc>
          <w:tcPr>
            <w:tcW w:w="1661" w:type="dxa"/>
            <w:shd w:val="clear" w:color="auto" w:fill="BFBFBF"/>
            <w:vAlign w:val="center"/>
          </w:tcPr>
          <w:p w14:paraId="5917498E">
            <w:pPr>
              <w:jc w:val="center"/>
            </w:pPr>
            <w:r>
              <w:rPr>
                <w:rFonts w:hint="eastAsia"/>
                <w:b/>
              </w:rPr>
              <w:t>其他综合收益</w:t>
            </w:r>
          </w:p>
        </w:tc>
        <w:tc>
          <w:tcPr>
            <w:tcW w:w="1661" w:type="dxa"/>
            <w:shd w:val="clear" w:color="auto" w:fill="BFBFBF"/>
            <w:vAlign w:val="center"/>
          </w:tcPr>
          <w:p w14:paraId="77C78AFC">
            <w:pPr>
              <w:jc w:val="center"/>
            </w:pPr>
            <w:r>
              <w:rPr>
                <w:rFonts w:hint="eastAsia"/>
                <w:b/>
              </w:rPr>
              <w:t>未分配利润</w:t>
            </w:r>
          </w:p>
        </w:tc>
        <w:tc>
          <w:tcPr>
            <w:tcW w:w="1661" w:type="dxa"/>
            <w:shd w:val="clear" w:color="auto" w:fill="BFBFBF"/>
            <w:vAlign w:val="center"/>
          </w:tcPr>
          <w:p w14:paraId="768414BD">
            <w:pPr>
              <w:jc w:val="center"/>
            </w:pPr>
            <w:r>
              <w:rPr>
                <w:rFonts w:hint="eastAsia"/>
                <w:b/>
              </w:rPr>
              <w:t>净资产合计</w:t>
            </w:r>
          </w:p>
        </w:tc>
      </w:tr>
      <w:tr w14:paraId="10CE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3B8EAD">
            <w:r>
              <w:rPr>
                <w:rFonts w:hint="eastAsia"/>
              </w:rPr>
              <w:t>一、上期期末净资产</w:t>
            </w:r>
          </w:p>
        </w:tc>
        <w:tc>
          <w:tcPr>
            <w:tcW w:w="1661" w:type="dxa"/>
            <w:vAlign w:val="center"/>
          </w:tcPr>
          <w:p w14:paraId="5177017D">
            <w:pPr>
              <w:jc w:val="right"/>
            </w:pPr>
            <w:r>
              <w:rPr>
                <w:rFonts w:hint="eastAsia"/>
              </w:rPr>
              <w:t>-</w:t>
            </w:r>
          </w:p>
        </w:tc>
        <w:tc>
          <w:tcPr>
            <w:tcW w:w="1661" w:type="dxa"/>
            <w:vAlign w:val="center"/>
          </w:tcPr>
          <w:p w14:paraId="2F323AFC">
            <w:pPr>
              <w:jc w:val="right"/>
            </w:pPr>
            <w:r>
              <w:rPr>
                <w:rFonts w:hint="eastAsia"/>
              </w:rPr>
              <w:t>-</w:t>
            </w:r>
          </w:p>
        </w:tc>
        <w:tc>
          <w:tcPr>
            <w:tcW w:w="1661" w:type="dxa"/>
            <w:vAlign w:val="center"/>
          </w:tcPr>
          <w:p w14:paraId="7EE62B74">
            <w:pPr>
              <w:jc w:val="right"/>
            </w:pPr>
            <w:r>
              <w:rPr>
                <w:rFonts w:hint="eastAsia"/>
              </w:rPr>
              <w:t>-</w:t>
            </w:r>
          </w:p>
        </w:tc>
        <w:tc>
          <w:tcPr>
            <w:tcW w:w="1661" w:type="dxa"/>
            <w:vAlign w:val="center"/>
          </w:tcPr>
          <w:p w14:paraId="0C877F22">
            <w:pPr>
              <w:jc w:val="right"/>
            </w:pPr>
            <w:r>
              <w:rPr>
                <w:rFonts w:hint="eastAsia"/>
              </w:rPr>
              <w:t>-</w:t>
            </w:r>
          </w:p>
        </w:tc>
      </w:tr>
      <w:tr w14:paraId="4042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8ED509">
            <w:r>
              <w:rPr>
                <w:rFonts w:hint="eastAsia"/>
              </w:rPr>
              <w:t>加：会计政策变更</w:t>
            </w:r>
          </w:p>
        </w:tc>
        <w:tc>
          <w:tcPr>
            <w:tcW w:w="1661" w:type="dxa"/>
            <w:vAlign w:val="center"/>
          </w:tcPr>
          <w:p w14:paraId="09E73D49">
            <w:pPr>
              <w:jc w:val="right"/>
            </w:pPr>
            <w:r>
              <w:rPr>
                <w:rFonts w:hint="eastAsia"/>
              </w:rPr>
              <w:t>-</w:t>
            </w:r>
          </w:p>
        </w:tc>
        <w:tc>
          <w:tcPr>
            <w:tcW w:w="1661" w:type="dxa"/>
            <w:vAlign w:val="center"/>
          </w:tcPr>
          <w:p w14:paraId="7785045E">
            <w:pPr>
              <w:jc w:val="right"/>
            </w:pPr>
            <w:r>
              <w:rPr>
                <w:rFonts w:hint="eastAsia"/>
              </w:rPr>
              <w:t>-</w:t>
            </w:r>
          </w:p>
        </w:tc>
        <w:tc>
          <w:tcPr>
            <w:tcW w:w="1661" w:type="dxa"/>
            <w:vAlign w:val="center"/>
          </w:tcPr>
          <w:p w14:paraId="4FED8B15">
            <w:pPr>
              <w:jc w:val="right"/>
            </w:pPr>
            <w:r>
              <w:rPr>
                <w:rFonts w:hint="eastAsia"/>
              </w:rPr>
              <w:t>-</w:t>
            </w:r>
          </w:p>
        </w:tc>
        <w:tc>
          <w:tcPr>
            <w:tcW w:w="1661" w:type="dxa"/>
            <w:vAlign w:val="center"/>
          </w:tcPr>
          <w:p w14:paraId="5F9C19B8">
            <w:pPr>
              <w:jc w:val="right"/>
            </w:pPr>
            <w:r>
              <w:rPr>
                <w:rFonts w:hint="eastAsia"/>
              </w:rPr>
              <w:t>-</w:t>
            </w:r>
          </w:p>
        </w:tc>
      </w:tr>
      <w:tr w14:paraId="5AC6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759391">
            <w:r>
              <w:rPr>
                <w:rFonts w:hint="eastAsia"/>
              </w:rPr>
              <w:t xml:space="preserve">    前期差错更正</w:t>
            </w:r>
          </w:p>
        </w:tc>
        <w:tc>
          <w:tcPr>
            <w:tcW w:w="1661" w:type="dxa"/>
            <w:vAlign w:val="center"/>
          </w:tcPr>
          <w:p w14:paraId="2C3AA6BE">
            <w:pPr>
              <w:jc w:val="right"/>
            </w:pPr>
            <w:r>
              <w:rPr>
                <w:rFonts w:hint="eastAsia"/>
              </w:rPr>
              <w:t>-</w:t>
            </w:r>
          </w:p>
        </w:tc>
        <w:tc>
          <w:tcPr>
            <w:tcW w:w="1661" w:type="dxa"/>
            <w:vAlign w:val="center"/>
          </w:tcPr>
          <w:p w14:paraId="583CF813">
            <w:pPr>
              <w:jc w:val="right"/>
            </w:pPr>
            <w:r>
              <w:rPr>
                <w:rFonts w:hint="eastAsia"/>
              </w:rPr>
              <w:t>-</w:t>
            </w:r>
          </w:p>
        </w:tc>
        <w:tc>
          <w:tcPr>
            <w:tcW w:w="1661" w:type="dxa"/>
            <w:vAlign w:val="center"/>
          </w:tcPr>
          <w:p w14:paraId="4CF38193">
            <w:pPr>
              <w:jc w:val="right"/>
            </w:pPr>
            <w:r>
              <w:rPr>
                <w:rFonts w:hint="eastAsia"/>
              </w:rPr>
              <w:t>-</w:t>
            </w:r>
          </w:p>
        </w:tc>
        <w:tc>
          <w:tcPr>
            <w:tcW w:w="1661" w:type="dxa"/>
            <w:vAlign w:val="center"/>
          </w:tcPr>
          <w:p w14:paraId="2CCBA6BC">
            <w:pPr>
              <w:jc w:val="right"/>
            </w:pPr>
            <w:r>
              <w:rPr>
                <w:rFonts w:hint="eastAsia"/>
              </w:rPr>
              <w:t>-</w:t>
            </w:r>
          </w:p>
        </w:tc>
      </w:tr>
      <w:tr w14:paraId="4E03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A27ABA">
            <w:r>
              <w:rPr>
                <w:rFonts w:hint="eastAsia"/>
              </w:rPr>
              <w:t xml:space="preserve">    其他</w:t>
            </w:r>
          </w:p>
        </w:tc>
        <w:tc>
          <w:tcPr>
            <w:tcW w:w="1661" w:type="dxa"/>
            <w:vAlign w:val="center"/>
          </w:tcPr>
          <w:p w14:paraId="79DA66A2">
            <w:pPr>
              <w:jc w:val="right"/>
            </w:pPr>
            <w:r>
              <w:rPr>
                <w:rFonts w:hint="eastAsia"/>
              </w:rPr>
              <w:t>-</w:t>
            </w:r>
          </w:p>
        </w:tc>
        <w:tc>
          <w:tcPr>
            <w:tcW w:w="1661" w:type="dxa"/>
            <w:vAlign w:val="center"/>
          </w:tcPr>
          <w:p w14:paraId="53D22C74">
            <w:pPr>
              <w:jc w:val="right"/>
            </w:pPr>
            <w:r>
              <w:rPr>
                <w:rFonts w:hint="eastAsia"/>
              </w:rPr>
              <w:t>-</w:t>
            </w:r>
          </w:p>
        </w:tc>
        <w:tc>
          <w:tcPr>
            <w:tcW w:w="1661" w:type="dxa"/>
            <w:vAlign w:val="center"/>
          </w:tcPr>
          <w:p w14:paraId="0EB96124">
            <w:pPr>
              <w:jc w:val="right"/>
            </w:pPr>
            <w:r>
              <w:rPr>
                <w:rFonts w:hint="eastAsia"/>
              </w:rPr>
              <w:t>-</w:t>
            </w:r>
          </w:p>
        </w:tc>
        <w:tc>
          <w:tcPr>
            <w:tcW w:w="1661" w:type="dxa"/>
            <w:vAlign w:val="center"/>
          </w:tcPr>
          <w:p w14:paraId="0113AE0B">
            <w:pPr>
              <w:jc w:val="right"/>
            </w:pPr>
            <w:r>
              <w:rPr>
                <w:rFonts w:hint="eastAsia"/>
              </w:rPr>
              <w:t>-</w:t>
            </w:r>
          </w:p>
        </w:tc>
      </w:tr>
      <w:tr w14:paraId="5606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B0FD5E">
            <w:r>
              <w:rPr>
                <w:rFonts w:hint="eastAsia"/>
              </w:rPr>
              <w:t>二、本期期初净资产</w:t>
            </w:r>
          </w:p>
        </w:tc>
        <w:tc>
          <w:tcPr>
            <w:tcW w:w="1661" w:type="dxa"/>
            <w:vAlign w:val="center"/>
          </w:tcPr>
          <w:p w14:paraId="6511D5DD">
            <w:pPr>
              <w:jc w:val="right"/>
            </w:pPr>
            <w:r>
              <w:rPr>
                <w:rFonts w:hint="eastAsia"/>
              </w:rPr>
              <w:t>4,043,464,685.41</w:t>
            </w:r>
          </w:p>
        </w:tc>
        <w:tc>
          <w:tcPr>
            <w:tcW w:w="1661" w:type="dxa"/>
            <w:vAlign w:val="center"/>
          </w:tcPr>
          <w:p w14:paraId="1A358BC7">
            <w:pPr>
              <w:jc w:val="right"/>
            </w:pPr>
            <w:r>
              <w:rPr>
                <w:rFonts w:hint="eastAsia"/>
              </w:rPr>
              <w:t>-</w:t>
            </w:r>
          </w:p>
        </w:tc>
        <w:tc>
          <w:tcPr>
            <w:tcW w:w="1661" w:type="dxa"/>
            <w:vAlign w:val="center"/>
          </w:tcPr>
          <w:p w14:paraId="61F97D3D">
            <w:pPr>
              <w:jc w:val="right"/>
            </w:pPr>
            <w:r>
              <w:rPr>
                <w:rFonts w:hint="eastAsia"/>
              </w:rPr>
              <w:t>-</w:t>
            </w:r>
          </w:p>
        </w:tc>
        <w:tc>
          <w:tcPr>
            <w:tcW w:w="1661" w:type="dxa"/>
            <w:vAlign w:val="center"/>
          </w:tcPr>
          <w:p w14:paraId="24A5C733">
            <w:pPr>
              <w:jc w:val="right"/>
            </w:pPr>
            <w:r>
              <w:rPr>
                <w:rFonts w:hint="eastAsia"/>
              </w:rPr>
              <w:t>4,043,464,685.41</w:t>
            </w:r>
          </w:p>
        </w:tc>
      </w:tr>
      <w:tr w14:paraId="2BF0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E17455">
            <w:r>
              <w:rPr>
                <w:rFonts w:hint="eastAsia"/>
              </w:rPr>
              <w:t>三、本期增减变动额（减少以“-”号填列）</w:t>
            </w:r>
          </w:p>
        </w:tc>
        <w:tc>
          <w:tcPr>
            <w:tcW w:w="1661" w:type="dxa"/>
            <w:vAlign w:val="center"/>
          </w:tcPr>
          <w:p w14:paraId="37EBB3CD">
            <w:pPr>
              <w:jc w:val="right"/>
            </w:pPr>
            <w:r>
              <w:rPr>
                <w:rFonts w:hint="eastAsia"/>
              </w:rPr>
              <w:t>-2,685,639,845.12</w:t>
            </w:r>
          </w:p>
        </w:tc>
        <w:tc>
          <w:tcPr>
            <w:tcW w:w="1661" w:type="dxa"/>
            <w:vAlign w:val="center"/>
          </w:tcPr>
          <w:p w14:paraId="5ACE86F2">
            <w:pPr>
              <w:jc w:val="right"/>
            </w:pPr>
            <w:r>
              <w:rPr>
                <w:rFonts w:hint="eastAsia"/>
              </w:rPr>
              <w:t>-</w:t>
            </w:r>
          </w:p>
        </w:tc>
        <w:tc>
          <w:tcPr>
            <w:tcW w:w="1661" w:type="dxa"/>
            <w:vAlign w:val="center"/>
          </w:tcPr>
          <w:p w14:paraId="607BD55B">
            <w:pPr>
              <w:jc w:val="right"/>
            </w:pPr>
            <w:r>
              <w:rPr>
                <w:rFonts w:hint="eastAsia"/>
              </w:rPr>
              <w:t>232,507,037.40</w:t>
            </w:r>
          </w:p>
        </w:tc>
        <w:tc>
          <w:tcPr>
            <w:tcW w:w="1661" w:type="dxa"/>
            <w:vAlign w:val="center"/>
          </w:tcPr>
          <w:p w14:paraId="072E3426">
            <w:pPr>
              <w:jc w:val="right"/>
            </w:pPr>
            <w:r>
              <w:rPr>
                <w:rFonts w:hint="eastAsia"/>
              </w:rPr>
              <w:t>-2,453,132,807.72</w:t>
            </w:r>
          </w:p>
        </w:tc>
      </w:tr>
      <w:tr w14:paraId="64F9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473ADA">
            <w:r>
              <w:rPr>
                <w:rFonts w:hint="eastAsia"/>
              </w:rPr>
              <w:t>（一）、综合收益总额</w:t>
            </w:r>
          </w:p>
        </w:tc>
        <w:tc>
          <w:tcPr>
            <w:tcW w:w="1661" w:type="dxa"/>
            <w:vAlign w:val="center"/>
          </w:tcPr>
          <w:p w14:paraId="30A1E0D8">
            <w:pPr>
              <w:jc w:val="right"/>
            </w:pPr>
            <w:r>
              <w:rPr>
                <w:rFonts w:hint="eastAsia"/>
              </w:rPr>
              <w:t>-</w:t>
            </w:r>
          </w:p>
        </w:tc>
        <w:tc>
          <w:tcPr>
            <w:tcW w:w="1661" w:type="dxa"/>
            <w:vAlign w:val="center"/>
          </w:tcPr>
          <w:p w14:paraId="37D89EE1">
            <w:pPr>
              <w:jc w:val="right"/>
            </w:pPr>
            <w:r>
              <w:rPr>
                <w:rFonts w:hint="eastAsia"/>
              </w:rPr>
              <w:t>-</w:t>
            </w:r>
          </w:p>
        </w:tc>
        <w:tc>
          <w:tcPr>
            <w:tcW w:w="1661" w:type="dxa"/>
            <w:vAlign w:val="center"/>
          </w:tcPr>
          <w:p w14:paraId="6AA753A1">
            <w:pPr>
              <w:jc w:val="right"/>
            </w:pPr>
            <w:r>
              <w:rPr>
                <w:rFonts w:hint="eastAsia"/>
              </w:rPr>
              <w:t>435,278,583.89</w:t>
            </w:r>
          </w:p>
        </w:tc>
        <w:tc>
          <w:tcPr>
            <w:tcW w:w="1661" w:type="dxa"/>
            <w:vAlign w:val="center"/>
          </w:tcPr>
          <w:p w14:paraId="51519215">
            <w:pPr>
              <w:jc w:val="right"/>
            </w:pPr>
            <w:r>
              <w:rPr>
                <w:rFonts w:hint="eastAsia"/>
              </w:rPr>
              <w:t>435,278,583.89</w:t>
            </w:r>
          </w:p>
        </w:tc>
      </w:tr>
      <w:tr w14:paraId="4D39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FDAAAE">
            <w:r>
              <w:rPr>
                <w:rFonts w:hint="eastAsia"/>
              </w:rPr>
              <w:t>（二）、本期基金份额交易产生的净资产变动数（净资产减少以“-”号填列）</w:t>
            </w:r>
          </w:p>
        </w:tc>
        <w:tc>
          <w:tcPr>
            <w:tcW w:w="1661" w:type="dxa"/>
            <w:vAlign w:val="center"/>
          </w:tcPr>
          <w:p w14:paraId="5AF8F029">
            <w:pPr>
              <w:jc w:val="right"/>
            </w:pPr>
            <w:r>
              <w:rPr>
                <w:rFonts w:hint="eastAsia"/>
              </w:rPr>
              <w:t>-2,685,639,845.12</w:t>
            </w:r>
          </w:p>
        </w:tc>
        <w:tc>
          <w:tcPr>
            <w:tcW w:w="1661" w:type="dxa"/>
            <w:vAlign w:val="center"/>
          </w:tcPr>
          <w:p w14:paraId="21B4ECF7">
            <w:pPr>
              <w:jc w:val="right"/>
            </w:pPr>
            <w:r>
              <w:rPr>
                <w:rFonts w:hint="eastAsia"/>
              </w:rPr>
              <w:t>-</w:t>
            </w:r>
          </w:p>
        </w:tc>
        <w:tc>
          <w:tcPr>
            <w:tcW w:w="1661" w:type="dxa"/>
            <w:vAlign w:val="center"/>
          </w:tcPr>
          <w:p w14:paraId="3EA165FD">
            <w:pPr>
              <w:jc w:val="right"/>
            </w:pPr>
            <w:r>
              <w:rPr>
                <w:rFonts w:hint="eastAsia"/>
              </w:rPr>
              <w:t>-202,771,546.49</w:t>
            </w:r>
          </w:p>
        </w:tc>
        <w:tc>
          <w:tcPr>
            <w:tcW w:w="1661" w:type="dxa"/>
            <w:vAlign w:val="center"/>
          </w:tcPr>
          <w:p w14:paraId="673C5673">
            <w:pPr>
              <w:jc w:val="right"/>
            </w:pPr>
            <w:r>
              <w:rPr>
                <w:rFonts w:hint="eastAsia"/>
              </w:rPr>
              <w:t>-2,888,411,391.61</w:t>
            </w:r>
          </w:p>
        </w:tc>
      </w:tr>
      <w:tr w14:paraId="1BB4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6CC38F">
            <w:r>
              <w:rPr>
                <w:rFonts w:hint="eastAsia"/>
              </w:rPr>
              <w:t>其中：1.基金申购款</w:t>
            </w:r>
          </w:p>
        </w:tc>
        <w:tc>
          <w:tcPr>
            <w:tcW w:w="1661" w:type="dxa"/>
            <w:vAlign w:val="center"/>
          </w:tcPr>
          <w:p w14:paraId="2F4C8C37">
            <w:pPr>
              <w:jc w:val="right"/>
            </w:pPr>
            <w:r>
              <w:rPr>
                <w:rFonts w:hint="eastAsia"/>
              </w:rPr>
              <w:t>572,060,963.72</w:t>
            </w:r>
          </w:p>
        </w:tc>
        <w:tc>
          <w:tcPr>
            <w:tcW w:w="1661" w:type="dxa"/>
            <w:vAlign w:val="center"/>
          </w:tcPr>
          <w:p w14:paraId="76E0D174">
            <w:pPr>
              <w:jc w:val="right"/>
            </w:pPr>
            <w:r>
              <w:rPr>
                <w:rFonts w:hint="eastAsia"/>
              </w:rPr>
              <w:t>-</w:t>
            </w:r>
          </w:p>
        </w:tc>
        <w:tc>
          <w:tcPr>
            <w:tcW w:w="1661" w:type="dxa"/>
            <w:vAlign w:val="center"/>
          </w:tcPr>
          <w:p w14:paraId="338B692F">
            <w:pPr>
              <w:jc w:val="right"/>
            </w:pPr>
            <w:r>
              <w:rPr>
                <w:rFonts w:hint="eastAsia"/>
              </w:rPr>
              <w:t>68,484,982.52</w:t>
            </w:r>
          </w:p>
        </w:tc>
        <w:tc>
          <w:tcPr>
            <w:tcW w:w="1661" w:type="dxa"/>
            <w:vAlign w:val="center"/>
          </w:tcPr>
          <w:p w14:paraId="4DEE981B">
            <w:pPr>
              <w:jc w:val="right"/>
            </w:pPr>
            <w:r>
              <w:rPr>
                <w:rFonts w:hint="eastAsia"/>
              </w:rPr>
              <w:t>640,545,946.24</w:t>
            </w:r>
          </w:p>
        </w:tc>
      </w:tr>
      <w:tr w14:paraId="236B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5792C2">
            <w:r>
              <w:rPr>
                <w:rFonts w:hint="eastAsia"/>
              </w:rPr>
              <w:t xml:space="preserve">      2.基金赎回款</w:t>
            </w:r>
          </w:p>
        </w:tc>
        <w:tc>
          <w:tcPr>
            <w:tcW w:w="1661" w:type="dxa"/>
            <w:vAlign w:val="center"/>
          </w:tcPr>
          <w:p w14:paraId="2D01814A">
            <w:pPr>
              <w:jc w:val="right"/>
            </w:pPr>
            <w:r>
              <w:rPr>
                <w:rFonts w:hint="eastAsia"/>
              </w:rPr>
              <w:t>-3,257,700,808.84</w:t>
            </w:r>
          </w:p>
        </w:tc>
        <w:tc>
          <w:tcPr>
            <w:tcW w:w="1661" w:type="dxa"/>
            <w:vAlign w:val="center"/>
          </w:tcPr>
          <w:p w14:paraId="7886BC2E">
            <w:pPr>
              <w:jc w:val="right"/>
            </w:pPr>
            <w:r>
              <w:rPr>
                <w:rFonts w:hint="eastAsia"/>
              </w:rPr>
              <w:t>-</w:t>
            </w:r>
          </w:p>
        </w:tc>
        <w:tc>
          <w:tcPr>
            <w:tcW w:w="1661" w:type="dxa"/>
            <w:vAlign w:val="center"/>
          </w:tcPr>
          <w:p w14:paraId="14830AB5">
            <w:pPr>
              <w:jc w:val="right"/>
            </w:pPr>
            <w:r>
              <w:rPr>
                <w:rFonts w:hint="eastAsia"/>
              </w:rPr>
              <w:t>-271,256,529.01</w:t>
            </w:r>
          </w:p>
        </w:tc>
        <w:tc>
          <w:tcPr>
            <w:tcW w:w="1661" w:type="dxa"/>
            <w:vAlign w:val="center"/>
          </w:tcPr>
          <w:p w14:paraId="0D13FD65">
            <w:pPr>
              <w:jc w:val="right"/>
            </w:pPr>
            <w:r>
              <w:rPr>
                <w:rFonts w:hint="eastAsia"/>
              </w:rPr>
              <w:t>-3,528,957,337.85</w:t>
            </w:r>
          </w:p>
        </w:tc>
      </w:tr>
      <w:tr w14:paraId="2229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ACE457">
            <w:r>
              <w:rPr>
                <w:rFonts w:hint="eastAsia"/>
              </w:rPr>
              <w:t>（三）、本期向基金份额持有人分配利润产生的净资产变动（净资产减少以“-”号填列）</w:t>
            </w:r>
          </w:p>
        </w:tc>
        <w:tc>
          <w:tcPr>
            <w:tcW w:w="1661" w:type="dxa"/>
            <w:vAlign w:val="center"/>
          </w:tcPr>
          <w:p w14:paraId="35121DB5">
            <w:pPr>
              <w:jc w:val="right"/>
            </w:pPr>
            <w:r>
              <w:rPr>
                <w:rFonts w:hint="eastAsia"/>
              </w:rPr>
              <w:t>-</w:t>
            </w:r>
          </w:p>
        </w:tc>
        <w:tc>
          <w:tcPr>
            <w:tcW w:w="1661" w:type="dxa"/>
            <w:vAlign w:val="center"/>
          </w:tcPr>
          <w:p w14:paraId="62B876F1">
            <w:pPr>
              <w:jc w:val="right"/>
            </w:pPr>
            <w:r>
              <w:rPr>
                <w:rFonts w:hint="eastAsia"/>
              </w:rPr>
              <w:t>-</w:t>
            </w:r>
          </w:p>
        </w:tc>
        <w:tc>
          <w:tcPr>
            <w:tcW w:w="1661" w:type="dxa"/>
            <w:vAlign w:val="center"/>
          </w:tcPr>
          <w:p w14:paraId="5A55F8C2">
            <w:pPr>
              <w:jc w:val="right"/>
            </w:pPr>
            <w:r>
              <w:rPr>
                <w:rFonts w:hint="eastAsia"/>
              </w:rPr>
              <w:t>-</w:t>
            </w:r>
          </w:p>
        </w:tc>
        <w:tc>
          <w:tcPr>
            <w:tcW w:w="1661" w:type="dxa"/>
            <w:vAlign w:val="center"/>
          </w:tcPr>
          <w:p w14:paraId="7AE9E2E4">
            <w:pPr>
              <w:jc w:val="right"/>
            </w:pPr>
            <w:r>
              <w:rPr>
                <w:rFonts w:hint="eastAsia"/>
              </w:rPr>
              <w:t>-</w:t>
            </w:r>
          </w:p>
        </w:tc>
      </w:tr>
      <w:tr w14:paraId="51A9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718C15">
            <w:r>
              <w:rPr>
                <w:rFonts w:hint="eastAsia"/>
              </w:rPr>
              <w:t>（四）、其他综合收益结转留存收益</w:t>
            </w:r>
          </w:p>
        </w:tc>
        <w:tc>
          <w:tcPr>
            <w:tcW w:w="1661" w:type="dxa"/>
            <w:vAlign w:val="center"/>
          </w:tcPr>
          <w:p w14:paraId="570D0533">
            <w:pPr>
              <w:jc w:val="right"/>
            </w:pPr>
            <w:r>
              <w:rPr>
                <w:rFonts w:hint="eastAsia"/>
              </w:rPr>
              <w:t>-</w:t>
            </w:r>
          </w:p>
        </w:tc>
        <w:tc>
          <w:tcPr>
            <w:tcW w:w="1661" w:type="dxa"/>
            <w:vAlign w:val="center"/>
          </w:tcPr>
          <w:p w14:paraId="00629523">
            <w:pPr>
              <w:jc w:val="right"/>
            </w:pPr>
            <w:r>
              <w:rPr>
                <w:rFonts w:hint="eastAsia"/>
              </w:rPr>
              <w:t>-</w:t>
            </w:r>
          </w:p>
        </w:tc>
        <w:tc>
          <w:tcPr>
            <w:tcW w:w="1661" w:type="dxa"/>
            <w:vAlign w:val="center"/>
          </w:tcPr>
          <w:p w14:paraId="5B10C170">
            <w:pPr>
              <w:jc w:val="right"/>
            </w:pPr>
            <w:r>
              <w:rPr>
                <w:rFonts w:hint="eastAsia"/>
              </w:rPr>
              <w:t>-</w:t>
            </w:r>
          </w:p>
        </w:tc>
        <w:tc>
          <w:tcPr>
            <w:tcW w:w="1661" w:type="dxa"/>
            <w:vAlign w:val="center"/>
          </w:tcPr>
          <w:p w14:paraId="2DA75BFD">
            <w:pPr>
              <w:jc w:val="right"/>
            </w:pPr>
            <w:r>
              <w:rPr>
                <w:rFonts w:hint="eastAsia"/>
              </w:rPr>
              <w:t>-</w:t>
            </w:r>
          </w:p>
        </w:tc>
      </w:tr>
      <w:tr w14:paraId="4998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659CF3">
            <w:r>
              <w:rPr>
                <w:rFonts w:hint="eastAsia"/>
              </w:rPr>
              <w:t>四、本期期末净资产</w:t>
            </w:r>
          </w:p>
        </w:tc>
        <w:tc>
          <w:tcPr>
            <w:tcW w:w="1661" w:type="dxa"/>
            <w:vAlign w:val="center"/>
          </w:tcPr>
          <w:p w14:paraId="1C52F371">
            <w:pPr>
              <w:jc w:val="right"/>
            </w:pPr>
            <w:r>
              <w:rPr>
                <w:rFonts w:hint="eastAsia"/>
              </w:rPr>
              <w:t>1,357,824,840.29</w:t>
            </w:r>
          </w:p>
        </w:tc>
        <w:tc>
          <w:tcPr>
            <w:tcW w:w="1661" w:type="dxa"/>
            <w:vAlign w:val="center"/>
          </w:tcPr>
          <w:p w14:paraId="74C59265">
            <w:pPr>
              <w:jc w:val="right"/>
            </w:pPr>
            <w:r>
              <w:rPr>
                <w:rFonts w:hint="eastAsia"/>
              </w:rPr>
              <w:t>-</w:t>
            </w:r>
          </w:p>
        </w:tc>
        <w:tc>
          <w:tcPr>
            <w:tcW w:w="1661" w:type="dxa"/>
            <w:vAlign w:val="center"/>
          </w:tcPr>
          <w:p w14:paraId="3F87CADD">
            <w:pPr>
              <w:jc w:val="right"/>
            </w:pPr>
            <w:r>
              <w:rPr>
                <w:rFonts w:hint="eastAsia"/>
              </w:rPr>
              <w:t>232,507,037.40</w:t>
            </w:r>
          </w:p>
        </w:tc>
        <w:tc>
          <w:tcPr>
            <w:tcW w:w="1661" w:type="dxa"/>
            <w:vAlign w:val="center"/>
          </w:tcPr>
          <w:p w14:paraId="21BAD70B">
            <w:pPr>
              <w:jc w:val="right"/>
            </w:pPr>
            <w:r>
              <w:rPr>
                <w:rFonts w:hint="eastAsia"/>
              </w:rPr>
              <w:t>1,590,331,877.69</w:t>
            </w:r>
          </w:p>
        </w:tc>
      </w:tr>
    </w:tbl>
    <w:p w14:paraId="067CEE65">
      <w:pPr>
        <w:pStyle w:val="18"/>
        <w:rPr>
          <w:rFonts w:hint="eastAsia"/>
        </w:rPr>
      </w:pPr>
      <w:r>
        <w:rPr>
          <w:rFonts w:hint="eastAsia"/>
        </w:rPr>
        <w:t>报表附注为财务报表的组成部分。</w:t>
      </w:r>
    </w:p>
    <w:p w14:paraId="217B6C88">
      <w:pPr>
        <w:pStyle w:val="18"/>
        <w:rPr>
          <w:rFonts w:hint="eastAsia"/>
        </w:rPr>
      </w:pPr>
      <w:r>
        <w:rPr>
          <w:rFonts w:hint="eastAsia"/>
        </w:rPr>
        <w:t>本报告 7.1 至 7.4 财务报表由下列负责人签署：</w:t>
      </w:r>
    </w:p>
    <w:p w14:paraId="2465AE41">
      <w:pPr>
        <w:pStyle w:val="18"/>
        <w:rPr>
          <w:rFonts w:hint="eastAsia"/>
        </w:rPr>
      </w:pPr>
      <w:r>
        <w:rPr>
          <w:rFonts w:hint="eastAsia"/>
        </w:rPr>
        <w:t>____杨小松___           ____蔡忠评______          ____徐超____</w:t>
      </w:r>
    </w:p>
    <w:p w14:paraId="42E81D57">
      <w:pPr>
        <w:pStyle w:val="18"/>
        <w:rPr>
          <w:rFonts w:hint="eastAsia"/>
        </w:rPr>
      </w:pPr>
      <w:r>
        <w:rPr>
          <w:rFonts w:hint="eastAsia"/>
        </w:rPr>
        <w:t>基金管理人负责人     主管会计工作负责人         会计机构负责人</w:t>
      </w:r>
    </w:p>
    <w:p w14:paraId="6F88C089">
      <w:pPr>
        <w:pStyle w:val="23"/>
      </w:pPr>
      <w:bookmarkStart w:id="50" w:name="_Toc32389"/>
      <w:r>
        <w:t>报表附注</w:t>
      </w:r>
      <w:bookmarkEnd w:id="50"/>
      <w:r>
        <w:t xml:space="preserve"> </w:t>
      </w:r>
    </w:p>
    <w:p w14:paraId="10552505">
      <w:pPr>
        <w:pStyle w:val="28"/>
      </w:pPr>
      <w:bookmarkStart w:id="51" w:name="_Toc51"/>
      <w:r>
        <w:t>基金基本情况</w:t>
      </w:r>
      <w:bookmarkEnd w:id="51"/>
    </w:p>
    <w:p w14:paraId="2BD188D0">
      <w:pPr>
        <w:pStyle w:val="18"/>
        <w:rPr>
          <w:rFonts w:hint="eastAsia"/>
        </w:rPr>
      </w:pPr>
      <w:r>
        <w:rPr>
          <w:rFonts w:hint="eastAsia"/>
        </w:rPr>
        <w:t>南方创业板人工智能交易型开放式指数证券投资基金联接基金（以下简称“本基金”）经中国证券监督管理委员会（简称“中国证监会”）[2025]1186号文《关于准予南方创业板人工智能交易型开放式指数证券投资基金联接基金注册的批复》注册，由南方基金管理股份有限公司依照《中华人民共和国证券投资基金法》和《南方创业板人工智能交易型开放式指数证券投资基金联接基金基金合同》（以下简称“基金合同”）负责公开募集。本基金为契约型开放式基金，存续期限不定，募集期间为2025年10月9日至2025年10月28日，首次设立募集不包括认购资金利息共募集人民币4,042,084,432.60元，经安永华明会计师事务所（特殊普通合伙）安永华明（2025）验字第70027797_H10号验资报告予以验证。经向中国证监会备案，《南方创业板人工智能交易型开放式指数证券投资基金联接基金基金合同》于2025年10月30日正式生效，基金合同生效日的基金份额总额为4,043,464,685.41份基金份额，其中认购资金利息折合1,380,252.81份基金份额。本基金的基金管理人为南方基金管理股份有限公司，基金托管人为中国建设银行股份有限公司。</w:t>
      </w:r>
    </w:p>
    <w:p w14:paraId="67D7983D">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不收取认购/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1932AEC">
      <w:pPr>
        <w:pStyle w:val="18"/>
        <w:rPr>
          <w:rFonts w:hint="eastAsia"/>
        </w:rPr>
      </w:pPr>
      <w:r>
        <w:rPr>
          <w:rFonts w:hint="eastAsia"/>
        </w:rPr>
        <w:t>本基金为南方创业板人工智能交易型开放式指数证券投资基金(以下简称“目标ETF”)的联接基金。目标ETF是采用完全复制法实现对创业板人工智能指数紧密跟踪的被动指数基金，本基金主要通过投资于目标ETF实现对业绩比较基准的紧密跟踪，力争净值增长率与业绩比较基准之间的日均跟踪偏离度不超过0.35%，年跟踪误差不超过4%。</w:t>
      </w:r>
    </w:p>
    <w:p w14:paraId="08AFE770">
      <w:pPr>
        <w:pStyle w:val="18"/>
        <w:rPr>
          <w:rFonts w:hint="eastAsia"/>
        </w:rPr>
      </w:pPr>
      <w:r>
        <w:rPr>
          <w:rFonts w:hint="eastAsia"/>
        </w:rPr>
        <w:t>根据《中华人民共和国证券投资基金法》、基金合同及招募说明书的有关规定，本基金主要投资于目标ETF基金份额、标的指数成份股、备选成份股（含存托凭证）。为更好地实现投资目标，本基金可少量投资于非成份股（包含主板、创业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本基金的业绩比较基准为：创业板人工智能指数收益率×95%+银行活期存款利率（税后）×5%。</w:t>
      </w:r>
    </w:p>
    <w:p w14:paraId="0B9A2C77">
      <w:pPr>
        <w:pStyle w:val="18"/>
        <w:rPr>
          <w:rFonts w:hint="eastAsia"/>
        </w:rPr>
      </w:pPr>
      <w:r>
        <w:rPr>
          <w:rFonts w:hint="eastAsia"/>
        </w:rPr>
        <w:t>本财务报表由本基金的基金管理人南方基金管理股份有限公司于2026年3月27日批准报出。</w:t>
      </w:r>
    </w:p>
    <w:p w14:paraId="57714925">
      <w:pPr>
        <w:pStyle w:val="28"/>
      </w:pPr>
      <w:bookmarkStart w:id="52" w:name="_Toc52"/>
      <w:r>
        <w:t xml:space="preserve"> 会计报表的编制基础 </w:t>
      </w:r>
      <w:bookmarkEnd w:id="52"/>
    </w:p>
    <w:p w14:paraId="3EBC0597">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251F5FA">
      <w:pPr>
        <w:pStyle w:val="18"/>
        <w:rPr>
          <w:rFonts w:hint="eastAsia"/>
        </w:rPr>
      </w:pPr>
      <w:r>
        <w:rPr>
          <w:rFonts w:hint="eastAsia"/>
        </w:rPr>
        <w:t>本财务报表以本基金持续经营为基础列报。</w:t>
      </w:r>
    </w:p>
    <w:p w14:paraId="646A2C99">
      <w:pPr>
        <w:pStyle w:val="28"/>
      </w:pPr>
      <w:bookmarkStart w:id="53" w:name="_Toc53"/>
      <w:r>
        <w:t xml:space="preserve"> 遵循企业会计准则及其他有关规定的声明</w:t>
      </w:r>
      <w:bookmarkEnd w:id="53"/>
    </w:p>
    <w:p w14:paraId="17AF3DD9">
      <w:pPr>
        <w:pStyle w:val="18"/>
        <w:rPr>
          <w:rFonts w:hint="eastAsia"/>
        </w:rPr>
      </w:pPr>
      <w:r>
        <w:rPr>
          <w:rFonts w:hint="eastAsia"/>
        </w:rPr>
        <w:t>本财务报表符合企业会计准则的要求，真实、完整地反映了本基金于2025年12月31日的财务状况以及2025年10月30日（基金合同生效日）至2025年12月31日止的经营成果和净资产变动情况。</w:t>
      </w:r>
    </w:p>
    <w:p w14:paraId="7D03ED97">
      <w:pPr>
        <w:pStyle w:val="28"/>
      </w:pPr>
      <w:bookmarkStart w:id="54" w:name="_Toc54"/>
      <w:r>
        <w:t xml:space="preserve">重要会计政策和会计估计 </w:t>
      </w:r>
      <w:bookmarkEnd w:id="54"/>
    </w:p>
    <w:p w14:paraId="24E295D6">
      <w:pPr>
        <w:pStyle w:val="35"/>
      </w:pPr>
      <w:bookmarkStart w:id="55" w:name="_Toc55"/>
      <w:r>
        <w:t>会计年度</w:t>
      </w:r>
      <w:bookmarkEnd w:id="55"/>
    </w:p>
    <w:p w14:paraId="3CB2669D">
      <w:pPr>
        <w:pStyle w:val="18"/>
        <w:rPr>
          <w:rFonts w:hint="eastAsia"/>
        </w:rPr>
      </w:pPr>
      <w:r>
        <w:rPr>
          <w:rFonts w:hint="eastAsia"/>
        </w:rPr>
        <w:t>本基金会计年度采用公历年度，即每年1月1日起至12月31日止。本期财务报表的实际编制期间系自2025年10月30日（基金合同生效日）至2025年12月31日止。</w:t>
      </w:r>
    </w:p>
    <w:p w14:paraId="2F77754D">
      <w:pPr>
        <w:pStyle w:val="35"/>
      </w:pPr>
      <w:bookmarkStart w:id="56" w:name="_Toc56"/>
      <w:r>
        <w:t>记账本位币</w:t>
      </w:r>
      <w:bookmarkEnd w:id="56"/>
    </w:p>
    <w:p w14:paraId="17640428">
      <w:pPr>
        <w:pStyle w:val="18"/>
        <w:rPr>
          <w:rFonts w:hint="eastAsia"/>
        </w:rPr>
      </w:pPr>
      <w:r>
        <w:rPr>
          <w:rFonts w:hint="eastAsia"/>
        </w:rPr>
        <w:t>本基金记账本位币和编制本财务报表所采用的货币均为人民币。除有特别说明外，均以人民币元为单位表示。</w:t>
      </w:r>
    </w:p>
    <w:p w14:paraId="3362CB06">
      <w:pPr>
        <w:pStyle w:val="35"/>
      </w:pPr>
      <w:bookmarkStart w:id="57" w:name="_Toc57"/>
      <w:r>
        <w:t>金融资产和金融负债的分类</w:t>
      </w:r>
      <w:bookmarkEnd w:id="57"/>
    </w:p>
    <w:p w14:paraId="43FDA6B7">
      <w:pPr>
        <w:pStyle w:val="18"/>
        <w:rPr>
          <w:rFonts w:hint="eastAsia"/>
        </w:rPr>
      </w:pPr>
      <w:r>
        <w:rPr>
          <w:rFonts w:hint="eastAsia"/>
        </w:rPr>
        <w:t>金融工具是指形成本基金的金融资产（或负债），并形成其他单位的金融负债（或资产）或权益工具的合同。</w:t>
      </w:r>
    </w:p>
    <w:p w14:paraId="4DDB240A">
      <w:pPr>
        <w:pStyle w:val="18"/>
        <w:rPr>
          <w:rFonts w:hint="eastAsia"/>
        </w:rPr>
      </w:pPr>
      <w:r>
        <w:rPr>
          <w:rFonts w:hint="eastAsia"/>
        </w:rPr>
        <w:t>（1）金融资产分类</w:t>
      </w:r>
    </w:p>
    <w:p w14:paraId="5CCC5C40">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7C5681EF">
      <w:pPr>
        <w:pStyle w:val="18"/>
        <w:rPr>
          <w:rFonts w:hint="eastAsia"/>
        </w:rPr>
      </w:pPr>
      <w:r>
        <w:rPr>
          <w:rFonts w:hint="eastAsia"/>
        </w:rPr>
        <w:t>（2）金融负债分类</w:t>
      </w:r>
    </w:p>
    <w:p w14:paraId="528DACC5">
      <w:pPr>
        <w:pStyle w:val="18"/>
        <w:rPr>
          <w:rFonts w:hint="eastAsia"/>
        </w:rPr>
      </w:pPr>
      <w:r>
        <w:rPr>
          <w:rFonts w:hint="eastAsia"/>
        </w:rPr>
        <w:t>本基金的金融负债于初始确认时分类为：以公允价值计量且其变动计入当期损益的金融负债、以摊余成本计量的金融负债。</w:t>
      </w:r>
    </w:p>
    <w:p w14:paraId="267F59C5">
      <w:pPr>
        <w:pStyle w:val="35"/>
      </w:pPr>
      <w:bookmarkStart w:id="58" w:name="_Toc58"/>
      <w:r>
        <w:t xml:space="preserve">金融资产和金融负债的初始确认、后续计量和终止确认 </w:t>
      </w:r>
      <w:bookmarkEnd w:id="58"/>
    </w:p>
    <w:p w14:paraId="3656E56E">
      <w:pPr>
        <w:pStyle w:val="18"/>
        <w:rPr>
          <w:rFonts w:hint="eastAsia"/>
        </w:rPr>
      </w:pPr>
      <w:r>
        <w:rPr>
          <w:rFonts w:hint="eastAsia"/>
        </w:rPr>
        <w:t>本基金于成为金融工具合同的一方时确认一项金融资产或金融负债。</w:t>
      </w:r>
    </w:p>
    <w:p w14:paraId="65B9B573">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33F4B88B">
      <w:pPr>
        <w:pStyle w:val="18"/>
        <w:rPr>
          <w:rFonts w:hint="eastAsia"/>
        </w:rPr>
      </w:pPr>
      <w:r>
        <w:rPr>
          <w:rFonts w:hint="eastAsia"/>
        </w:rPr>
        <w:t>划分为以摊余成本计量的金融资产和金融负债，按照取得时的公允价值作为初始确认金额，相关交易费用计入其初始确认金额。</w:t>
      </w:r>
    </w:p>
    <w:p w14:paraId="11683462">
      <w:pPr>
        <w:pStyle w:val="18"/>
        <w:rPr>
          <w:rFonts w:hint="eastAsia"/>
        </w:rPr>
      </w:pPr>
      <w:r>
        <w:rPr>
          <w:rFonts w:hint="eastAsia"/>
        </w:rPr>
        <w:t>对于以公允价值计量且其变动计入当期损益的金融资产，采用公允价值进行后续计量，所有公允价值变动计入当期损益。</w:t>
      </w:r>
    </w:p>
    <w:p w14:paraId="04929D72">
      <w:pPr>
        <w:pStyle w:val="18"/>
        <w:rPr>
          <w:rFonts w:hint="eastAsia"/>
        </w:rPr>
      </w:pPr>
      <w:r>
        <w:rPr>
          <w:rFonts w:hint="eastAsia"/>
        </w:rPr>
        <w:t>对于以摊余成本计量的金融资产，采用实际利率法确认利息收入，其终止确认、修改或减值产生的利得或损失，均计入当期损益。</w:t>
      </w:r>
    </w:p>
    <w:p w14:paraId="08B786C5">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7CFDBC42">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EBC76BC">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6B0AB808">
      <w:pPr>
        <w:pStyle w:val="18"/>
        <w:rPr>
          <w:rFonts w:hint="eastAsia"/>
        </w:rPr>
      </w:pPr>
      <w:r>
        <w:rPr>
          <w:rFonts w:hint="eastAsia"/>
        </w:rPr>
        <w:t>当对金融资产预期未来现金流量具有不利影响的一项或多项事件发生时，该金融资产成为已发生信用减值的金融资产。</w:t>
      </w:r>
    </w:p>
    <w:p w14:paraId="314F935A">
      <w:pPr>
        <w:pStyle w:val="18"/>
        <w:rPr>
          <w:rFonts w:hint="eastAsia"/>
        </w:rPr>
      </w:pPr>
      <w:r>
        <w:rPr>
          <w:rFonts w:hint="eastAsia"/>
        </w:rPr>
        <w:t>当本基金不再合理预期能够全部或部分收回金融资产合同现金流量时，本基金直接减记该金融资产的账面余额。</w:t>
      </w:r>
    </w:p>
    <w:p w14:paraId="4EE5D98E">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28430C49">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24B0CCA">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A94C688">
      <w:pPr>
        <w:pStyle w:val="35"/>
      </w:pPr>
      <w:bookmarkStart w:id="59" w:name="_Toc59"/>
      <w:r>
        <w:t>金融资产和金融负债的估值原则</w:t>
      </w:r>
      <w:bookmarkEnd w:id="59"/>
    </w:p>
    <w:p w14:paraId="1462A69C">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15B89FD">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7BEB6CE">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DF6EDA7">
      <w:pPr>
        <w:pStyle w:val="18"/>
        <w:rPr>
          <w:rFonts w:hint="eastAsia"/>
        </w:rPr>
      </w:pPr>
      <w:r>
        <w:rPr>
          <w:rFonts w:hint="eastAsia"/>
        </w:rPr>
        <w:t>本基金持有的以公允价值计量且其变动计入当期损益的金融资产和金融负债按如下原则确定公允价值并进行估值：</w:t>
      </w:r>
    </w:p>
    <w:p w14:paraId="4370D3D2">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A545364">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A8EC272">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A68D223">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45384FCD">
      <w:pPr>
        <w:pStyle w:val="18"/>
        <w:rPr>
          <w:rFonts w:hint="eastAsia"/>
        </w:rPr>
      </w:pPr>
      <w:r>
        <w:rPr>
          <w:rFonts w:hint="eastAsia"/>
        </w:rPr>
        <w:t>（4）如有新增事项，按国家最新规定估值。</w:t>
      </w:r>
    </w:p>
    <w:p w14:paraId="45B4F21A">
      <w:pPr>
        <w:pStyle w:val="35"/>
      </w:pPr>
      <w:bookmarkStart w:id="60" w:name="_Toc60"/>
      <w:r>
        <w:t>金融资产和金融负债的抵销</w:t>
      </w:r>
      <w:bookmarkEnd w:id="60"/>
    </w:p>
    <w:p w14:paraId="2EDBD844">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9D9527F">
      <w:pPr>
        <w:pStyle w:val="35"/>
      </w:pPr>
      <w:bookmarkStart w:id="61" w:name="_Toc61"/>
      <w:r>
        <w:t>实收基金</w:t>
      </w:r>
      <w:bookmarkEnd w:id="61"/>
    </w:p>
    <w:p w14:paraId="655F400D">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1C06D35">
      <w:pPr>
        <w:pStyle w:val="35"/>
      </w:pPr>
      <w:bookmarkStart w:id="62" w:name="_Toc62"/>
      <w:r>
        <w:t>损益平准金</w:t>
      </w:r>
      <w:bookmarkEnd w:id="62"/>
    </w:p>
    <w:p w14:paraId="3C3AFEBC">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4C3F8D27">
      <w:pPr>
        <w:pStyle w:val="18"/>
        <w:rPr>
          <w:rFonts w:hint="eastAsia"/>
        </w:rPr>
      </w:pPr>
      <w:r>
        <w:rPr>
          <w:rFonts w:hint="eastAsia"/>
        </w:rPr>
        <w:t>未实现损益平准金与已实现损益平准金均在“损益平准金”科目中核算，并于期末全额转入“未分配利润/（累计亏损）”。</w:t>
      </w:r>
    </w:p>
    <w:p w14:paraId="254FBCDF">
      <w:pPr>
        <w:pStyle w:val="35"/>
      </w:pPr>
      <w:bookmarkStart w:id="63" w:name="_Toc63"/>
      <w:r>
        <w:t>收入/（损失）的确认和计量</w:t>
      </w:r>
      <w:bookmarkEnd w:id="63"/>
    </w:p>
    <w:p w14:paraId="2492657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325F721">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C4E5C89">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2CF60ABE">
      <w:pPr>
        <w:pStyle w:val="18"/>
        <w:rPr>
          <w:rFonts w:hint="eastAsia"/>
        </w:rPr>
      </w:pPr>
      <w:r>
        <w:rPr>
          <w:rFonts w:hint="eastAsia"/>
        </w:rPr>
        <w:t>（3）其他收入在经济利益很可能流入从而导致资产增加或者负债减少、且经济利益的流入额能够可靠计量时确认。</w:t>
      </w:r>
    </w:p>
    <w:p w14:paraId="247AD6D0">
      <w:pPr>
        <w:pStyle w:val="35"/>
      </w:pPr>
      <w:bookmarkStart w:id="64" w:name="_Toc64"/>
      <w:r>
        <w:t>费用的确认和计量</w:t>
      </w:r>
      <w:bookmarkEnd w:id="64"/>
    </w:p>
    <w:p w14:paraId="131D4EF4">
      <w:pPr>
        <w:pStyle w:val="18"/>
        <w:rPr>
          <w:rFonts w:hint="eastAsia"/>
        </w:rPr>
      </w:pPr>
      <w:r>
        <w:rPr>
          <w:rFonts w:hint="eastAsia"/>
        </w:rPr>
        <w:t>本基金的管理人报酬和托管费等费用按照权责发生制原则，在本基金接受相关服务的期间计入当期损益。</w:t>
      </w:r>
    </w:p>
    <w:p w14:paraId="2877D638">
      <w:pPr>
        <w:pStyle w:val="18"/>
        <w:rPr>
          <w:rFonts w:hint="eastAsia"/>
        </w:rPr>
      </w:pPr>
      <w:r>
        <w:rPr>
          <w:rFonts w:hint="eastAsia"/>
        </w:rPr>
        <w:t>以摊余成本计量的金融负债在持有期间确认的利息支出按实际利率法计算，实际利率法与直线法差异较小的则按直线法计算。</w:t>
      </w:r>
    </w:p>
    <w:p w14:paraId="1217A95C">
      <w:pPr>
        <w:pStyle w:val="35"/>
      </w:pPr>
      <w:bookmarkStart w:id="65" w:name="_Toc65"/>
      <w:r>
        <w:t>基金的收益分配政策</w:t>
      </w:r>
      <w:bookmarkEnd w:id="65"/>
    </w:p>
    <w:p w14:paraId="3D40D4EE">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基金管理人可每季度评估是否进行收益分配。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8218EE3">
      <w:pPr>
        <w:pStyle w:val="18"/>
        <w:rPr>
          <w:rFonts w:hint="eastAsia"/>
        </w:rPr>
      </w:pPr>
      <w:r>
        <w:rPr>
          <w:rFonts w:hint="eastAsia"/>
        </w:rPr>
        <w:t>经宣告的拟分配基金收益于分红除权日从净资产转出。</w:t>
      </w:r>
    </w:p>
    <w:p w14:paraId="736E05F9">
      <w:pPr>
        <w:pStyle w:val="35"/>
      </w:pPr>
      <w:bookmarkStart w:id="66" w:name="_Toc66"/>
      <w:r>
        <w:t xml:space="preserve"> 分部报告</w:t>
      </w:r>
      <w:bookmarkEnd w:id="66"/>
    </w:p>
    <w:p w14:paraId="6CE1F803">
      <w:pPr>
        <w:pStyle w:val="18"/>
        <w:rPr>
          <w:rFonts w:hint="eastAsia"/>
        </w:rPr>
      </w:pPr>
      <w:r>
        <w:rPr>
          <w:rFonts w:hint="eastAsia"/>
        </w:rPr>
        <w:t>经营分部是指本基金内同时满足下列条件的组成部分：</w:t>
      </w:r>
    </w:p>
    <w:p w14:paraId="55C223A8">
      <w:pPr>
        <w:pStyle w:val="18"/>
        <w:rPr>
          <w:rFonts w:hint="eastAsia"/>
        </w:rPr>
      </w:pPr>
      <w:r>
        <w:rPr>
          <w:rFonts w:hint="eastAsia"/>
        </w:rPr>
        <w:t>（1）该组成部分能够在日常活动中产生收入、发生费用；</w:t>
      </w:r>
    </w:p>
    <w:p w14:paraId="7B19D4D8">
      <w:pPr>
        <w:pStyle w:val="18"/>
        <w:rPr>
          <w:rFonts w:hint="eastAsia"/>
        </w:rPr>
      </w:pPr>
      <w:r>
        <w:rPr>
          <w:rFonts w:hint="eastAsia"/>
        </w:rPr>
        <w:t>（2）能够定期评价该组成部分的经营成果，以决定向其配置资源、评价其业绩；</w:t>
      </w:r>
    </w:p>
    <w:p w14:paraId="582B3EFB">
      <w:pPr>
        <w:pStyle w:val="18"/>
        <w:rPr>
          <w:rFonts w:hint="eastAsia"/>
        </w:rPr>
      </w:pPr>
      <w:r>
        <w:rPr>
          <w:rFonts w:hint="eastAsia"/>
        </w:rPr>
        <w:t>（3）能够取得该组成部分的财务状况、经营成果和现金流量等有关会计信息。</w:t>
      </w:r>
    </w:p>
    <w:p w14:paraId="707A32B3">
      <w:pPr>
        <w:pStyle w:val="18"/>
        <w:rPr>
          <w:rFonts w:hint="eastAsia"/>
        </w:rPr>
      </w:pPr>
      <w:r>
        <w:rPr>
          <w:rFonts w:hint="eastAsia"/>
        </w:rPr>
        <w:t>如果两个或多个经营分部具有相似的经济特征，并且满足一定条件的，则合并为一个经营分部。</w:t>
      </w:r>
    </w:p>
    <w:p w14:paraId="4E32A823">
      <w:pPr>
        <w:pStyle w:val="18"/>
        <w:rPr>
          <w:rFonts w:hint="eastAsia"/>
        </w:rPr>
      </w:pPr>
      <w:r>
        <w:rPr>
          <w:rFonts w:hint="eastAsia"/>
        </w:rPr>
        <w:t>本基金目前以一个经营分部运作，不需要进行分部报告的披露。</w:t>
      </w:r>
    </w:p>
    <w:p w14:paraId="2AD78E0D">
      <w:pPr>
        <w:pStyle w:val="35"/>
      </w:pPr>
      <w:bookmarkStart w:id="67" w:name="_Toc67"/>
      <w:r>
        <w:t>其他重要的会计政策和会计估计</w:t>
      </w:r>
      <w:bookmarkEnd w:id="67"/>
    </w:p>
    <w:p w14:paraId="6470B05A">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AB4F6AB">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57D8AEC">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B446E3D">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B274466">
      <w:pPr>
        <w:pStyle w:val="28"/>
      </w:pPr>
      <w:bookmarkStart w:id="68" w:name="_Toc68"/>
      <w:r>
        <w:t xml:space="preserve">会计政策和会计估计变更以及差错更正的说明 </w:t>
      </w:r>
      <w:bookmarkEnd w:id="68"/>
    </w:p>
    <w:p w14:paraId="2B56DD61">
      <w:pPr>
        <w:pStyle w:val="35"/>
      </w:pPr>
      <w:bookmarkStart w:id="69" w:name="_Toc69"/>
      <w:r>
        <w:t xml:space="preserve">会计政策变更的说明 </w:t>
      </w:r>
      <w:bookmarkEnd w:id="69"/>
    </w:p>
    <w:p w14:paraId="2A3A17D6">
      <w:pPr>
        <w:pStyle w:val="18"/>
        <w:rPr>
          <w:rFonts w:hint="eastAsia"/>
        </w:rPr>
      </w:pPr>
      <w:r>
        <w:rPr>
          <w:rFonts w:hint="eastAsia"/>
        </w:rPr>
        <w:t>本基金本报告期未发生会计政策变更。</w:t>
      </w:r>
    </w:p>
    <w:p w14:paraId="0872788E">
      <w:pPr>
        <w:pStyle w:val="35"/>
      </w:pPr>
      <w:bookmarkStart w:id="70" w:name="_Toc70"/>
      <w:r>
        <w:t>会计估计变更的说明</w:t>
      </w:r>
      <w:bookmarkEnd w:id="70"/>
    </w:p>
    <w:p w14:paraId="5BF4EFB6">
      <w:pPr>
        <w:pStyle w:val="18"/>
        <w:rPr>
          <w:rFonts w:hint="eastAsia"/>
        </w:rPr>
      </w:pPr>
      <w:r>
        <w:rPr>
          <w:rFonts w:hint="eastAsia"/>
        </w:rPr>
        <w:t>本基金本报告期未发生会计估计变更。</w:t>
      </w:r>
    </w:p>
    <w:p w14:paraId="0BFC94E1">
      <w:pPr>
        <w:pStyle w:val="35"/>
      </w:pPr>
      <w:bookmarkStart w:id="71" w:name="_Toc71"/>
      <w:r>
        <w:t>差错更正的说明</w:t>
      </w:r>
      <w:bookmarkEnd w:id="71"/>
    </w:p>
    <w:p w14:paraId="6C1F8CBF">
      <w:pPr>
        <w:pStyle w:val="18"/>
        <w:rPr>
          <w:rFonts w:hint="eastAsia"/>
        </w:rPr>
      </w:pPr>
      <w:r>
        <w:rPr>
          <w:rFonts w:hint="eastAsia"/>
        </w:rPr>
        <w:t>本基金在本报告期间无须说明的会计差错更正。</w:t>
      </w:r>
    </w:p>
    <w:p w14:paraId="7AA5E006">
      <w:pPr>
        <w:pStyle w:val="28"/>
      </w:pPr>
      <w:bookmarkStart w:id="72" w:name="_Toc72"/>
      <w:r>
        <w:t>税项</w:t>
      </w:r>
      <w:bookmarkEnd w:id="72"/>
    </w:p>
    <w:p w14:paraId="58AE5219">
      <w:pPr>
        <w:pStyle w:val="18"/>
        <w:rPr>
          <w:rFonts w:hint="eastAsia"/>
        </w:rPr>
      </w:pPr>
      <w:r>
        <w:rPr>
          <w:rFonts w:hint="eastAsia"/>
        </w:rPr>
        <w:t>（1）增值税及附加</w:t>
      </w:r>
    </w:p>
    <w:p w14:paraId="03FBC8F9">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F14D990">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07BD9C17">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30A9627">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387A5FFC">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DE32D67">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208635B4">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BA7A37A">
      <w:pPr>
        <w:pStyle w:val="18"/>
        <w:rPr>
          <w:rFonts w:hint="eastAsia"/>
        </w:rPr>
      </w:pPr>
      <w:r>
        <w:rPr>
          <w:rFonts w:hint="eastAsia"/>
        </w:rPr>
        <w:t>（2）企业所得税</w:t>
      </w:r>
    </w:p>
    <w:p w14:paraId="0B0480AE">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391E52D4">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000DA766">
      <w:pPr>
        <w:pStyle w:val="18"/>
        <w:rPr>
          <w:rFonts w:hint="eastAsia"/>
        </w:rPr>
      </w:pPr>
      <w:r>
        <w:rPr>
          <w:rFonts w:hint="eastAsia"/>
        </w:rPr>
        <w:t>（3）个人所得税</w:t>
      </w:r>
    </w:p>
    <w:p w14:paraId="5C4289A8">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6A10D71">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938E6B3">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BAB75D1">
      <w:pPr>
        <w:pStyle w:val="18"/>
        <w:rPr>
          <w:rFonts w:hint="eastAsia"/>
        </w:rPr>
      </w:pPr>
      <w:r>
        <w:rPr>
          <w:rFonts w:hint="eastAsia"/>
        </w:rPr>
        <w:t>（4）印花税（如适用）</w:t>
      </w:r>
    </w:p>
    <w:p w14:paraId="0CE69965">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22A195F3">
      <w:pPr>
        <w:pStyle w:val="18"/>
        <w:rPr>
          <w:rFonts w:hint="eastAsia"/>
        </w:rPr>
      </w:pPr>
      <w:r>
        <w:rPr>
          <w:rFonts w:hint="eastAsia"/>
        </w:rPr>
        <w:t>（5）境外投资</w:t>
      </w:r>
    </w:p>
    <w:p w14:paraId="015A94F8">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702B5740">
      <w:pPr>
        <w:pStyle w:val="28"/>
      </w:pPr>
      <w:bookmarkStart w:id="73" w:name="_Toc73"/>
      <w:r>
        <w:t xml:space="preserve">重要财务报表项目的说明 </w:t>
      </w:r>
      <w:bookmarkEnd w:id="73"/>
    </w:p>
    <w:p w14:paraId="76988948">
      <w:pPr>
        <w:pStyle w:val="35"/>
      </w:pPr>
      <w:bookmarkStart w:id="74" w:name="_Toc74"/>
      <w:r>
        <w:t>货币资金</w:t>
      </w:r>
      <w:bookmarkEnd w:id="74"/>
    </w:p>
    <w:p w14:paraId="6E33A5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DAD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FD6F3EC">
            <w:pPr>
              <w:jc w:val="center"/>
            </w:pPr>
            <w:r>
              <w:rPr>
                <w:rFonts w:hint="eastAsia"/>
                <w:b/>
              </w:rPr>
              <w:t>项目</w:t>
            </w:r>
          </w:p>
        </w:tc>
        <w:tc>
          <w:tcPr>
            <w:tcW w:w="4153" w:type="dxa"/>
            <w:shd w:val="clear" w:color="auto" w:fill="BFBFBF"/>
            <w:vAlign w:val="center"/>
          </w:tcPr>
          <w:p w14:paraId="4E2CCA3A">
            <w:pPr>
              <w:jc w:val="center"/>
            </w:pPr>
            <w:r>
              <w:rPr>
                <w:rFonts w:hint="eastAsia"/>
                <w:b/>
              </w:rPr>
              <w:t>本期末2025年12月31日</w:t>
            </w:r>
          </w:p>
        </w:tc>
      </w:tr>
      <w:tr w14:paraId="6378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B8A22F">
            <w:r>
              <w:rPr>
                <w:rFonts w:hint="eastAsia"/>
              </w:rPr>
              <w:t>活期存款</w:t>
            </w:r>
          </w:p>
        </w:tc>
        <w:tc>
          <w:tcPr>
            <w:tcW w:w="4153" w:type="dxa"/>
            <w:vAlign w:val="center"/>
          </w:tcPr>
          <w:p w14:paraId="03A4DECB">
            <w:pPr>
              <w:jc w:val="right"/>
            </w:pPr>
            <w:r>
              <w:rPr>
                <w:rFonts w:hint="eastAsia"/>
              </w:rPr>
              <w:t>42,419,822.36</w:t>
            </w:r>
          </w:p>
        </w:tc>
      </w:tr>
      <w:tr w14:paraId="4B43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6FA68D">
            <w:r>
              <w:rPr>
                <w:rFonts w:hint="eastAsia"/>
              </w:rPr>
              <w:t>等于：本金</w:t>
            </w:r>
          </w:p>
        </w:tc>
        <w:tc>
          <w:tcPr>
            <w:tcW w:w="4153" w:type="dxa"/>
            <w:vAlign w:val="center"/>
          </w:tcPr>
          <w:p w14:paraId="3E3CC529">
            <w:pPr>
              <w:jc w:val="right"/>
            </w:pPr>
            <w:r>
              <w:rPr>
                <w:rFonts w:hint="eastAsia"/>
              </w:rPr>
              <w:t>42,416,764.23</w:t>
            </w:r>
          </w:p>
        </w:tc>
      </w:tr>
      <w:tr w14:paraId="4A48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2FEF4B">
            <w:r>
              <w:rPr>
                <w:rFonts w:hint="eastAsia"/>
              </w:rPr>
              <w:t xml:space="preserve">      加：应计利息</w:t>
            </w:r>
          </w:p>
        </w:tc>
        <w:tc>
          <w:tcPr>
            <w:tcW w:w="4153" w:type="dxa"/>
            <w:vAlign w:val="center"/>
          </w:tcPr>
          <w:p w14:paraId="37B78B95">
            <w:pPr>
              <w:jc w:val="right"/>
            </w:pPr>
            <w:r>
              <w:rPr>
                <w:rFonts w:hint="eastAsia"/>
              </w:rPr>
              <w:t>3,058.13</w:t>
            </w:r>
          </w:p>
        </w:tc>
      </w:tr>
      <w:tr w14:paraId="10D3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39F34C">
            <w:r>
              <w:rPr>
                <w:rFonts w:hint="eastAsia"/>
              </w:rPr>
              <w:t xml:space="preserve">      减：坏账准备</w:t>
            </w:r>
          </w:p>
        </w:tc>
        <w:tc>
          <w:tcPr>
            <w:tcW w:w="4153" w:type="dxa"/>
            <w:vAlign w:val="center"/>
          </w:tcPr>
          <w:p w14:paraId="2CE78B90">
            <w:pPr>
              <w:jc w:val="right"/>
            </w:pPr>
            <w:r>
              <w:rPr>
                <w:rFonts w:hint="eastAsia"/>
              </w:rPr>
              <w:t>-</w:t>
            </w:r>
          </w:p>
        </w:tc>
      </w:tr>
      <w:tr w14:paraId="00CB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D800DA">
            <w:r>
              <w:rPr>
                <w:rFonts w:hint="eastAsia"/>
              </w:rPr>
              <w:t>定期存款</w:t>
            </w:r>
          </w:p>
        </w:tc>
        <w:tc>
          <w:tcPr>
            <w:tcW w:w="4153" w:type="dxa"/>
            <w:vAlign w:val="center"/>
          </w:tcPr>
          <w:p w14:paraId="4BF38BEF">
            <w:pPr>
              <w:jc w:val="right"/>
            </w:pPr>
            <w:r>
              <w:rPr>
                <w:rFonts w:hint="eastAsia"/>
              </w:rPr>
              <w:t>-</w:t>
            </w:r>
          </w:p>
        </w:tc>
      </w:tr>
      <w:tr w14:paraId="0884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BE8393">
            <w:r>
              <w:rPr>
                <w:rFonts w:hint="eastAsia"/>
              </w:rPr>
              <w:t>等于：本金</w:t>
            </w:r>
          </w:p>
        </w:tc>
        <w:tc>
          <w:tcPr>
            <w:tcW w:w="4153" w:type="dxa"/>
            <w:vAlign w:val="center"/>
          </w:tcPr>
          <w:p w14:paraId="43641A49">
            <w:pPr>
              <w:jc w:val="right"/>
            </w:pPr>
            <w:r>
              <w:rPr>
                <w:rFonts w:hint="eastAsia"/>
              </w:rPr>
              <w:t>-</w:t>
            </w:r>
          </w:p>
        </w:tc>
      </w:tr>
      <w:tr w14:paraId="6967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2AD62A">
            <w:r>
              <w:rPr>
                <w:rFonts w:hint="eastAsia"/>
              </w:rPr>
              <w:t xml:space="preserve">      加：应计利息</w:t>
            </w:r>
          </w:p>
        </w:tc>
        <w:tc>
          <w:tcPr>
            <w:tcW w:w="4153" w:type="dxa"/>
            <w:vAlign w:val="center"/>
          </w:tcPr>
          <w:p w14:paraId="7270C166">
            <w:pPr>
              <w:jc w:val="right"/>
            </w:pPr>
            <w:r>
              <w:rPr>
                <w:rFonts w:hint="eastAsia"/>
              </w:rPr>
              <w:t>-</w:t>
            </w:r>
          </w:p>
        </w:tc>
      </w:tr>
      <w:tr w14:paraId="159B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148E27">
            <w:r>
              <w:rPr>
                <w:rFonts w:hint="eastAsia"/>
              </w:rPr>
              <w:t xml:space="preserve">      减：坏账准备</w:t>
            </w:r>
          </w:p>
        </w:tc>
        <w:tc>
          <w:tcPr>
            <w:tcW w:w="4153" w:type="dxa"/>
            <w:vAlign w:val="center"/>
          </w:tcPr>
          <w:p w14:paraId="0B9C4369">
            <w:pPr>
              <w:jc w:val="right"/>
            </w:pPr>
            <w:r>
              <w:rPr>
                <w:rFonts w:hint="eastAsia"/>
              </w:rPr>
              <w:t>-</w:t>
            </w:r>
          </w:p>
        </w:tc>
      </w:tr>
      <w:tr w14:paraId="07E9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21064F">
            <w:r>
              <w:rPr>
                <w:rFonts w:hint="eastAsia"/>
              </w:rPr>
              <w:t>其中：存款期限1个月以内</w:t>
            </w:r>
          </w:p>
        </w:tc>
        <w:tc>
          <w:tcPr>
            <w:tcW w:w="4153" w:type="dxa"/>
            <w:vAlign w:val="center"/>
          </w:tcPr>
          <w:p w14:paraId="387B699B">
            <w:pPr>
              <w:jc w:val="right"/>
            </w:pPr>
            <w:r>
              <w:rPr>
                <w:rFonts w:hint="eastAsia"/>
              </w:rPr>
              <w:t>-</w:t>
            </w:r>
          </w:p>
        </w:tc>
      </w:tr>
      <w:tr w14:paraId="75AF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4EF905">
            <w:r>
              <w:rPr>
                <w:rFonts w:hint="eastAsia"/>
              </w:rPr>
              <w:t xml:space="preserve">      存款期限1-3个月</w:t>
            </w:r>
          </w:p>
        </w:tc>
        <w:tc>
          <w:tcPr>
            <w:tcW w:w="4153" w:type="dxa"/>
            <w:vAlign w:val="center"/>
          </w:tcPr>
          <w:p w14:paraId="52EE8DF5">
            <w:pPr>
              <w:jc w:val="right"/>
            </w:pPr>
            <w:r>
              <w:rPr>
                <w:rFonts w:hint="eastAsia"/>
              </w:rPr>
              <w:t>-</w:t>
            </w:r>
          </w:p>
        </w:tc>
      </w:tr>
      <w:tr w14:paraId="2BE1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8D7143">
            <w:r>
              <w:rPr>
                <w:rFonts w:hint="eastAsia"/>
              </w:rPr>
              <w:t xml:space="preserve">      存款期限3个月以上</w:t>
            </w:r>
          </w:p>
        </w:tc>
        <w:tc>
          <w:tcPr>
            <w:tcW w:w="4153" w:type="dxa"/>
            <w:vAlign w:val="center"/>
          </w:tcPr>
          <w:p w14:paraId="38FF4CEC">
            <w:pPr>
              <w:jc w:val="right"/>
            </w:pPr>
            <w:r>
              <w:rPr>
                <w:rFonts w:hint="eastAsia"/>
              </w:rPr>
              <w:t>-</w:t>
            </w:r>
          </w:p>
        </w:tc>
      </w:tr>
      <w:tr w14:paraId="00FD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76D172">
            <w:r>
              <w:rPr>
                <w:rFonts w:hint="eastAsia"/>
              </w:rPr>
              <w:t>其他存款</w:t>
            </w:r>
          </w:p>
        </w:tc>
        <w:tc>
          <w:tcPr>
            <w:tcW w:w="4153" w:type="dxa"/>
            <w:vAlign w:val="center"/>
          </w:tcPr>
          <w:p w14:paraId="4D08B7F7">
            <w:pPr>
              <w:jc w:val="right"/>
            </w:pPr>
            <w:r>
              <w:rPr>
                <w:rFonts w:hint="eastAsia"/>
              </w:rPr>
              <w:t>109,391,072.16</w:t>
            </w:r>
          </w:p>
        </w:tc>
      </w:tr>
      <w:tr w14:paraId="49DF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E76CBE">
            <w:r>
              <w:rPr>
                <w:rFonts w:hint="eastAsia"/>
              </w:rPr>
              <w:t>等于：本金</w:t>
            </w:r>
          </w:p>
        </w:tc>
        <w:tc>
          <w:tcPr>
            <w:tcW w:w="4153" w:type="dxa"/>
            <w:vAlign w:val="center"/>
          </w:tcPr>
          <w:p w14:paraId="17D79541">
            <w:pPr>
              <w:jc w:val="right"/>
            </w:pPr>
            <w:r>
              <w:rPr>
                <w:rFonts w:hint="eastAsia"/>
              </w:rPr>
              <w:t>109,388,931.29</w:t>
            </w:r>
          </w:p>
        </w:tc>
      </w:tr>
      <w:tr w14:paraId="2E2B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E443EE">
            <w:r>
              <w:rPr>
                <w:rFonts w:hint="eastAsia"/>
              </w:rPr>
              <w:t xml:space="preserve">      加：应计利息</w:t>
            </w:r>
          </w:p>
        </w:tc>
        <w:tc>
          <w:tcPr>
            <w:tcW w:w="4153" w:type="dxa"/>
            <w:vAlign w:val="center"/>
          </w:tcPr>
          <w:p w14:paraId="6AE8D374">
            <w:pPr>
              <w:jc w:val="right"/>
            </w:pPr>
            <w:r>
              <w:rPr>
                <w:rFonts w:hint="eastAsia"/>
              </w:rPr>
              <w:t>2,140.87</w:t>
            </w:r>
          </w:p>
        </w:tc>
      </w:tr>
      <w:tr w14:paraId="0851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54E109">
            <w:r>
              <w:rPr>
                <w:rFonts w:hint="eastAsia"/>
              </w:rPr>
              <w:t xml:space="preserve">      减：坏账准备</w:t>
            </w:r>
          </w:p>
        </w:tc>
        <w:tc>
          <w:tcPr>
            <w:tcW w:w="4153" w:type="dxa"/>
            <w:vAlign w:val="center"/>
          </w:tcPr>
          <w:p w14:paraId="384B782E">
            <w:pPr>
              <w:jc w:val="right"/>
            </w:pPr>
            <w:r>
              <w:rPr>
                <w:rFonts w:hint="eastAsia"/>
              </w:rPr>
              <w:t>-</w:t>
            </w:r>
          </w:p>
        </w:tc>
      </w:tr>
      <w:tr w14:paraId="12B4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D8BE13">
            <w:r>
              <w:rPr>
                <w:rFonts w:hint="eastAsia"/>
              </w:rPr>
              <w:t>合计</w:t>
            </w:r>
          </w:p>
        </w:tc>
        <w:tc>
          <w:tcPr>
            <w:tcW w:w="4153" w:type="dxa"/>
            <w:vAlign w:val="center"/>
          </w:tcPr>
          <w:p w14:paraId="6DD88C93">
            <w:pPr>
              <w:jc w:val="right"/>
            </w:pPr>
            <w:r>
              <w:rPr>
                <w:rFonts w:hint="eastAsia"/>
              </w:rPr>
              <w:t>151,810,894.52</w:t>
            </w:r>
          </w:p>
        </w:tc>
      </w:tr>
    </w:tbl>
    <w:p w14:paraId="1392C440">
      <w:pPr>
        <w:pStyle w:val="47"/>
        <w:rPr>
          <w:rFonts w:hint="eastAsia"/>
        </w:rPr>
      </w:pPr>
      <w:r>
        <w:rPr>
          <w:rFonts w:hint="eastAsia"/>
        </w:rPr>
        <w:t>注：其他存款为存放在证券经纪商基金专用证券账户的证券交易结算资金。</w:t>
      </w:r>
    </w:p>
    <w:p w14:paraId="7EB04A63">
      <w:pPr>
        <w:pStyle w:val="35"/>
      </w:pPr>
      <w:bookmarkStart w:id="75" w:name="_Toc75"/>
      <w:r>
        <w:t>交易性金融资产</w:t>
      </w:r>
      <w:bookmarkEnd w:id="75"/>
    </w:p>
    <w:p w14:paraId="535F93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B21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7744FAB5">
            <w:pPr>
              <w:jc w:val="center"/>
            </w:pPr>
            <w:r>
              <w:rPr>
                <w:rFonts w:hint="eastAsia"/>
                <w:b/>
              </w:rPr>
              <w:t>项目</w:t>
            </w:r>
          </w:p>
        </w:tc>
        <w:tc>
          <w:tcPr>
            <w:tcW w:w="1860" w:type="dxa"/>
            <w:gridSpan w:val="4"/>
            <w:shd w:val="clear" w:color="auto" w:fill="BFBFBF"/>
            <w:vAlign w:val="center"/>
          </w:tcPr>
          <w:p w14:paraId="53F87CD1">
            <w:pPr>
              <w:jc w:val="center"/>
            </w:pPr>
            <w:r>
              <w:rPr>
                <w:rFonts w:hint="eastAsia"/>
                <w:b/>
              </w:rPr>
              <w:t>本期末2025年12月31日</w:t>
            </w:r>
          </w:p>
        </w:tc>
      </w:tr>
      <w:tr w14:paraId="69EC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2300A4F"/>
        </w:tc>
        <w:tc>
          <w:tcPr>
            <w:tcW w:w="1860" w:type="dxa"/>
            <w:shd w:val="clear" w:color="auto" w:fill="BFBFBF"/>
            <w:vAlign w:val="center"/>
          </w:tcPr>
          <w:p w14:paraId="12BCAF1D">
            <w:pPr>
              <w:jc w:val="center"/>
            </w:pPr>
            <w:r>
              <w:rPr>
                <w:rFonts w:hint="eastAsia"/>
                <w:b/>
              </w:rPr>
              <w:t>成本</w:t>
            </w:r>
          </w:p>
        </w:tc>
        <w:tc>
          <w:tcPr>
            <w:tcW w:w="1517" w:type="dxa"/>
            <w:shd w:val="clear" w:color="auto" w:fill="BFBFBF"/>
            <w:vAlign w:val="center"/>
          </w:tcPr>
          <w:p w14:paraId="1C69AFBB">
            <w:pPr>
              <w:jc w:val="center"/>
            </w:pPr>
            <w:r>
              <w:rPr>
                <w:rFonts w:hint="eastAsia"/>
                <w:b/>
              </w:rPr>
              <w:t>应计利息</w:t>
            </w:r>
          </w:p>
        </w:tc>
        <w:tc>
          <w:tcPr>
            <w:tcW w:w="1860" w:type="dxa"/>
            <w:shd w:val="clear" w:color="auto" w:fill="BFBFBF"/>
            <w:vAlign w:val="center"/>
          </w:tcPr>
          <w:p w14:paraId="780B9D38">
            <w:pPr>
              <w:jc w:val="center"/>
            </w:pPr>
            <w:r>
              <w:rPr>
                <w:rFonts w:hint="eastAsia"/>
                <w:b/>
              </w:rPr>
              <w:t>公允价值</w:t>
            </w:r>
          </w:p>
        </w:tc>
        <w:tc>
          <w:tcPr>
            <w:tcW w:w="1517" w:type="dxa"/>
            <w:shd w:val="clear" w:color="auto" w:fill="BFBFBF"/>
            <w:vAlign w:val="center"/>
          </w:tcPr>
          <w:p w14:paraId="7CE15258">
            <w:pPr>
              <w:jc w:val="center"/>
            </w:pPr>
            <w:r>
              <w:rPr>
                <w:rFonts w:hint="eastAsia"/>
                <w:b/>
              </w:rPr>
              <w:t>公允价值变动</w:t>
            </w:r>
          </w:p>
        </w:tc>
      </w:tr>
      <w:tr w14:paraId="5326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114B72">
            <w:r>
              <w:rPr>
                <w:rFonts w:hint="eastAsia"/>
              </w:rPr>
              <w:t>股票</w:t>
            </w:r>
          </w:p>
        </w:tc>
        <w:tc>
          <w:tcPr>
            <w:tcW w:w="1860" w:type="dxa"/>
            <w:vAlign w:val="center"/>
          </w:tcPr>
          <w:p w14:paraId="38074293">
            <w:pPr>
              <w:jc w:val="right"/>
            </w:pPr>
            <w:r>
              <w:rPr>
                <w:rFonts w:hint="eastAsia"/>
              </w:rPr>
              <w:t>-</w:t>
            </w:r>
          </w:p>
        </w:tc>
        <w:tc>
          <w:tcPr>
            <w:tcW w:w="1517" w:type="dxa"/>
            <w:vAlign w:val="center"/>
          </w:tcPr>
          <w:p w14:paraId="08F892D5">
            <w:pPr>
              <w:jc w:val="right"/>
            </w:pPr>
            <w:r>
              <w:rPr>
                <w:rFonts w:hint="eastAsia"/>
              </w:rPr>
              <w:t>-</w:t>
            </w:r>
          </w:p>
        </w:tc>
        <w:tc>
          <w:tcPr>
            <w:tcW w:w="1860" w:type="dxa"/>
            <w:vAlign w:val="center"/>
          </w:tcPr>
          <w:p w14:paraId="3C64271D">
            <w:pPr>
              <w:jc w:val="right"/>
            </w:pPr>
            <w:r>
              <w:rPr>
                <w:rFonts w:hint="eastAsia"/>
              </w:rPr>
              <w:t>-</w:t>
            </w:r>
          </w:p>
        </w:tc>
        <w:tc>
          <w:tcPr>
            <w:tcW w:w="1517" w:type="dxa"/>
            <w:vAlign w:val="center"/>
          </w:tcPr>
          <w:p w14:paraId="1CB70D09">
            <w:pPr>
              <w:jc w:val="right"/>
            </w:pPr>
            <w:r>
              <w:rPr>
                <w:rFonts w:hint="eastAsia"/>
              </w:rPr>
              <w:t>-</w:t>
            </w:r>
          </w:p>
        </w:tc>
      </w:tr>
      <w:tr w14:paraId="2E43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611EA3">
            <w:r>
              <w:rPr>
                <w:rFonts w:hint="eastAsia"/>
              </w:rPr>
              <w:t>贵金属投资-金交所黄金合约</w:t>
            </w:r>
          </w:p>
        </w:tc>
        <w:tc>
          <w:tcPr>
            <w:tcW w:w="1860" w:type="dxa"/>
            <w:vAlign w:val="center"/>
          </w:tcPr>
          <w:p w14:paraId="0E385945">
            <w:pPr>
              <w:jc w:val="right"/>
            </w:pPr>
            <w:r>
              <w:rPr>
                <w:rFonts w:hint="eastAsia"/>
              </w:rPr>
              <w:t>-</w:t>
            </w:r>
          </w:p>
        </w:tc>
        <w:tc>
          <w:tcPr>
            <w:tcW w:w="1517" w:type="dxa"/>
            <w:vAlign w:val="center"/>
          </w:tcPr>
          <w:p w14:paraId="49039435">
            <w:pPr>
              <w:jc w:val="right"/>
            </w:pPr>
            <w:r>
              <w:rPr>
                <w:rFonts w:hint="eastAsia"/>
              </w:rPr>
              <w:t>-</w:t>
            </w:r>
          </w:p>
        </w:tc>
        <w:tc>
          <w:tcPr>
            <w:tcW w:w="1860" w:type="dxa"/>
            <w:vAlign w:val="center"/>
          </w:tcPr>
          <w:p w14:paraId="4714803F">
            <w:pPr>
              <w:jc w:val="right"/>
            </w:pPr>
            <w:r>
              <w:rPr>
                <w:rFonts w:hint="eastAsia"/>
              </w:rPr>
              <w:t>-</w:t>
            </w:r>
          </w:p>
        </w:tc>
        <w:tc>
          <w:tcPr>
            <w:tcW w:w="1517" w:type="dxa"/>
            <w:vAlign w:val="center"/>
          </w:tcPr>
          <w:p w14:paraId="7A7C09E4">
            <w:pPr>
              <w:jc w:val="right"/>
            </w:pPr>
            <w:r>
              <w:rPr>
                <w:rFonts w:hint="eastAsia"/>
              </w:rPr>
              <w:t>-</w:t>
            </w:r>
          </w:p>
        </w:tc>
      </w:tr>
      <w:tr w14:paraId="2F6A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AAB7CA8">
            <w:r>
              <w:rPr>
                <w:rFonts w:hint="eastAsia"/>
              </w:rPr>
              <w:t>债券</w:t>
            </w:r>
          </w:p>
        </w:tc>
        <w:tc>
          <w:tcPr>
            <w:tcW w:w="897" w:type="dxa"/>
            <w:vAlign w:val="center"/>
          </w:tcPr>
          <w:p w14:paraId="417C9147">
            <w:r>
              <w:rPr>
                <w:rFonts w:hint="eastAsia"/>
              </w:rPr>
              <w:t>交易所市场</w:t>
            </w:r>
          </w:p>
        </w:tc>
        <w:tc>
          <w:tcPr>
            <w:tcW w:w="1860" w:type="dxa"/>
            <w:vAlign w:val="center"/>
          </w:tcPr>
          <w:p w14:paraId="11FB6D21">
            <w:pPr>
              <w:jc w:val="right"/>
            </w:pPr>
            <w:r>
              <w:rPr>
                <w:rFonts w:hint="eastAsia"/>
              </w:rPr>
              <w:t>999,860.00</w:t>
            </w:r>
          </w:p>
        </w:tc>
        <w:tc>
          <w:tcPr>
            <w:tcW w:w="1517" w:type="dxa"/>
            <w:vAlign w:val="center"/>
          </w:tcPr>
          <w:p w14:paraId="084428AC">
            <w:pPr>
              <w:jc w:val="right"/>
            </w:pPr>
            <w:r>
              <w:rPr>
                <w:rFonts w:hint="eastAsia"/>
              </w:rPr>
              <w:t>2,949.04</w:t>
            </w:r>
          </w:p>
        </w:tc>
        <w:tc>
          <w:tcPr>
            <w:tcW w:w="1860" w:type="dxa"/>
            <w:vAlign w:val="center"/>
          </w:tcPr>
          <w:p w14:paraId="40979BB6">
            <w:pPr>
              <w:jc w:val="right"/>
            </w:pPr>
            <w:r>
              <w:rPr>
                <w:rFonts w:hint="eastAsia"/>
              </w:rPr>
              <w:t>1,003,249.04</w:t>
            </w:r>
          </w:p>
        </w:tc>
        <w:tc>
          <w:tcPr>
            <w:tcW w:w="1517" w:type="dxa"/>
            <w:vAlign w:val="center"/>
          </w:tcPr>
          <w:p w14:paraId="69F2A65A">
            <w:pPr>
              <w:jc w:val="right"/>
            </w:pPr>
            <w:r>
              <w:rPr>
                <w:rFonts w:hint="eastAsia"/>
              </w:rPr>
              <w:t>440.00</w:t>
            </w:r>
          </w:p>
        </w:tc>
      </w:tr>
      <w:tr w14:paraId="126D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CD606E3"/>
        </w:tc>
        <w:tc>
          <w:tcPr>
            <w:tcW w:w="897" w:type="dxa"/>
            <w:vAlign w:val="center"/>
          </w:tcPr>
          <w:p w14:paraId="764E03DA">
            <w:r>
              <w:rPr>
                <w:rFonts w:hint="eastAsia"/>
              </w:rPr>
              <w:t>银行间市场</w:t>
            </w:r>
          </w:p>
        </w:tc>
        <w:tc>
          <w:tcPr>
            <w:tcW w:w="1860" w:type="dxa"/>
            <w:vAlign w:val="center"/>
          </w:tcPr>
          <w:p w14:paraId="0D2BFDC8">
            <w:pPr>
              <w:jc w:val="right"/>
            </w:pPr>
            <w:r>
              <w:rPr>
                <w:rFonts w:hint="eastAsia"/>
              </w:rPr>
              <w:t>-</w:t>
            </w:r>
          </w:p>
        </w:tc>
        <w:tc>
          <w:tcPr>
            <w:tcW w:w="1517" w:type="dxa"/>
            <w:vAlign w:val="center"/>
          </w:tcPr>
          <w:p w14:paraId="6CEB9979">
            <w:pPr>
              <w:jc w:val="right"/>
            </w:pPr>
            <w:r>
              <w:rPr>
                <w:rFonts w:hint="eastAsia"/>
              </w:rPr>
              <w:t>-</w:t>
            </w:r>
          </w:p>
        </w:tc>
        <w:tc>
          <w:tcPr>
            <w:tcW w:w="1860" w:type="dxa"/>
            <w:vAlign w:val="center"/>
          </w:tcPr>
          <w:p w14:paraId="3ADEC2FE">
            <w:pPr>
              <w:jc w:val="right"/>
            </w:pPr>
            <w:r>
              <w:rPr>
                <w:rFonts w:hint="eastAsia"/>
              </w:rPr>
              <w:t>-</w:t>
            </w:r>
          </w:p>
        </w:tc>
        <w:tc>
          <w:tcPr>
            <w:tcW w:w="1517" w:type="dxa"/>
            <w:vAlign w:val="center"/>
          </w:tcPr>
          <w:p w14:paraId="34FBB114">
            <w:pPr>
              <w:jc w:val="right"/>
            </w:pPr>
            <w:r>
              <w:rPr>
                <w:rFonts w:hint="eastAsia"/>
              </w:rPr>
              <w:t>-</w:t>
            </w:r>
          </w:p>
        </w:tc>
      </w:tr>
      <w:tr w14:paraId="5F62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A5D1ADE"/>
        </w:tc>
        <w:tc>
          <w:tcPr>
            <w:tcW w:w="897" w:type="dxa"/>
            <w:vAlign w:val="center"/>
          </w:tcPr>
          <w:p w14:paraId="1D525ADD">
            <w:r>
              <w:rPr>
                <w:rFonts w:hint="eastAsia"/>
              </w:rPr>
              <w:t>合计</w:t>
            </w:r>
          </w:p>
        </w:tc>
        <w:tc>
          <w:tcPr>
            <w:tcW w:w="1860" w:type="dxa"/>
            <w:vAlign w:val="center"/>
          </w:tcPr>
          <w:p w14:paraId="623B3CA4">
            <w:pPr>
              <w:jc w:val="right"/>
            </w:pPr>
            <w:r>
              <w:rPr>
                <w:rFonts w:hint="eastAsia"/>
              </w:rPr>
              <w:t>999,860.00</w:t>
            </w:r>
          </w:p>
        </w:tc>
        <w:tc>
          <w:tcPr>
            <w:tcW w:w="1517" w:type="dxa"/>
            <w:vAlign w:val="center"/>
          </w:tcPr>
          <w:p w14:paraId="360FECA8">
            <w:pPr>
              <w:jc w:val="right"/>
            </w:pPr>
            <w:r>
              <w:rPr>
                <w:rFonts w:hint="eastAsia"/>
              </w:rPr>
              <w:t>2,949.04</w:t>
            </w:r>
          </w:p>
        </w:tc>
        <w:tc>
          <w:tcPr>
            <w:tcW w:w="1860" w:type="dxa"/>
            <w:vAlign w:val="center"/>
          </w:tcPr>
          <w:p w14:paraId="00A33891">
            <w:pPr>
              <w:jc w:val="right"/>
            </w:pPr>
            <w:r>
              <w:rPr>
                <w:rFonts w:hint="eastAsia"/>
              </w:rPr>
              <w:t>1,003,249.04</w:t>
            </w:r>
          </w:p>
        </w:tc>
        <w:tc>
          <w:tcPr>
            <w:tcW w:w="1517" w:type="dxa"/>
            <w:vAlign w:val="center"/>
          </w:tcPr>
          <w:p w14:paraId="594A0765">
            <w:pPr>
              <w:jc w:val="right"/>
            </w:pPr>
            <w:r>
              <w:rPr>
                <w:rFonts w:hint="eastAsia"/>
              </w:rPr>
              <w:t>440.00</w:t>
            </w:r>
          </w:p>
        </w:tc>
      </w:tr>
      <w:tr w14:paraId="7491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369E4B">
            <w:r>
              <w:rPr>
                <w:rFonts w:hint="eastAsia"/>
              </w:rPr>
              <w:t>资产支持证券</w:t>
            </w:r>
          </w:p>
        </w:tc>
        <w:tc>
          <w:tcPr>
            <w:tcW w:w="1860" w:type="dxa"/>
            <w:vAlign w:val="center"/>
          </w:tcPr>
          <w:p w14:paraId="01482356">
            <w:pPr>
              <w:jc w:val="right"/>
            </w:pPr>
            <w:r>
              <w:rPr>
                <w:rFonts w:hint="eastAsia"/>
              </w:rPr>
              <w:t>-</w:t>
            </w:r>
          </w:p>
        </w:tc>
        <w:tc>
          <w:tcPr>
            <w:tcW w:w="1517" w:type="dxa"/>
            <w:vAlign w:val="center"/>
          </w:tcPr>
          <w:p w14:paraId="392BB7D2">
            <w:pPr>
              <w:jc w:val="right"/>
            </w:pPr>
            <w:r>
              <w:rPr>
                <w:rFonts w:hint="eastAsia"/>
              </w:rPr>
              <w:t>-</w:t>
            </w:r>
          </w:p>
        </w:tc>
        <w:tc>
          <w:tcPr>
            <w:tcW w:w="1860" w:type="dxa"/>
            <w:vAlign w:val="center"/>
          </w:tcPr>
          <w:p w14:paraId="03FAEB7A">
            <w:pPr>
              <w:jc w:val="right"/>
            </w:pPr>
            <w:r>
              <w:rPr>
                <w:rFonts w:hint="eastAsia"/>
              </w:rPr>
              <w:t>-</w:t>
            </w:r>
          </w:p>
        </w:tc>
        <w:tc>
          <w:tcPr>
            <w:tcW w:w="1517" w:type="dxa"/>
            <w:vAlign w:val="center"/>
          </w:tcPr>
          <w:p w14:paraId="626DC74F">
            <w:pPr>
              <w:jc w:val="right"/>
            </w:pPr>
            <w:r>
              <w:rPr>
                <w:rFonts w:hint="eastAsia"/>
              </w:rPr>
              <w:t>-</w:t>
            </w:r>
          </w:p>
        </w:tc>
      </w:tr>
      <w:tr w14:paraId="1645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6B9CEB">
            <w:r>
              <w:rPr>
                <w:rFonts w:hint="eastAsia"/>
              </w:rPr>
              <w:t>基金</w:t>
            </w:r>
          </w:p>
        </w:tc>
        <w:tc>
          <w:tcPr>
            <w:tcW w:w="1860" w:type="dxa"/>
            <w:vAlign w:val="center"/>
          </w:tcPr>
          <w:p w14:paraId="5DE2D58B">
            <w:pPr>
              <w:jc w:val="right"/>
            </w:pPr>
            <w:r>
              <w:rPr>
                <w:rFonts w:hint="eastAsia"/>
              </w:rPr>
              <w:t>1,284,041,789.48</w:t>
            </w:r>
          </w:p>
        </w:tc>
        <w:tc>
          <w:tcPr>
            <w:tcW w:w="1517" w:type="dxa"/>
            <w:vAlign w:val="center"/>
          </w:tcPr>
          <w:p w14:paraId="41704205">
            <w:pPr>
              <w:jc w:val="right"/>
            </w:pPr>
            <w:r>
              <w:rPr>
                <w:rFonts w:hint="eastAsia"/>
              </w:rPr>
              <w:t>-</w:t>
            </w:r>
          </w:p>
        </w:tc>
        <w:tc>
          <w:tcPr>
            <w:tcW w:w="1860" w:type="dxa"/>
            <w:vAlign w:val="center"/>
          </w:tcPr>
          <w:p w14:paraId="518073C9">
            <w:pPr>
              <w:jc w:val="right"/>
            </w:pPr>
            <w:r>
              <w:rPr>
                <w:rFonts w:hint="eastAsia"/>
              </w:rPr>
              <w:t>1,510,720,342.30</w:t>
            </w:r>
          </w:p>
        </w:tc>
        <w:tc>
          <w:tcPr>
            <w:tcW w:w="1517" w:type="dxa"/>
            <w:vAlign w:val="center"/>
          </w:tcPr>
          <w:p w14:paraId="1BA381B7">
            <w:pPr>
              <w:jc w:val="right"/>
            </w:pPr>
            <w:r>
              <w:rPr>
                <w:rFonts w:hint="eastAsia"/>
              </w:rPr>
              <w:t>226,678,552.82</w:t>
            </w:r>
          </w:p>
        </w:tc>
      </w:tr>
      <w:tr w14:paraId="4EB1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94FAD8">
            <w:r>
              <w:rPr>
                <w:rFonts w:hint="eastAsia"/>
              </w:rPr>
              <w:t>其他</w:t>
            </w:r>
          </w:p>
        </w:tc>
        <w:tc>
          <w:tcPr>
            <w:tcW w:w="1860" w:type="dxa"/>
            <w:vAlign w:val="center"/>
          </w:tcPr>
          <w:p w14:paraId="7A85380B">
            <w:pPr>
              <w:jc w:val="right"/>
            </w:pPr>
            <w:r>
              <w:rPr>
                <w:rFonts w:hint="eastAsia"/>
              </w:rPr>
              <w:t>-</w:t>
            </w:r>
          </w:p>
        </w:tc>
        <w:tc>
          <w:tcPr>
            <w:tcW w:w="1517" w:type="dxa"/>
            <w:vAlign w:val="center"/>
          </w:tcPr>
          <w:p w14:paraId="3C80726D">
            <w:pPr>
              <w:jc w:val="right"/>
            </w:pPr>
            <w:r>
              <w:rPr>
                <w:rFonts w:hint="eastAsia"/>
              </w:rPr>
              <w:t>-</w:t>
            </w:r>
          </w:p>
        </w:tc>
        <w:tc>
          <w:tcPr>
            <w:tcW w:w="1860" w:type="dxa"/>
            <w:vAlign w:val="center"/>
          </w:tcPr>
          <w:p w14:paraId="0E9F800A">
            <w:pPr>
              <w:jc w:val="right"/>
            </w:pPr>
            <w:r>
              <w:rPr>
                <w:rFonts w:hint="eastAsia"/>
              </w:rPr>
              <w:t>-</w:t>
            </w:r>
          </w:p>
        </w:tc>
        <w:tc>
          <w:tcPr>
            <w:tcW w:w="1517" w:type="dxa"/>
            <w:vAlign w:val="center"/>
          </w:tcPr>
          <w:p w14:paraId="34E225EA">
            <w:pPr>
              <w:jc w:val="right"/>
            </w:pPr>
            <w:r>
              <w:rPr>
                <w:rFonts w:hint="eastAsia"/>
              </w:rPr>
              <w:t>-</w:t>
            </w:r>
          </w:p>
        </w:tc>
      </w:tr>
      <w:tr w14:paraId="1563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C42276">
            <w:r>
              <w:rPr>
                <w:rFonts w:hint="eastAsia"/>
              </w:rPr>
              <w:t>合计</w:t>
            </w:r>
          </w:p>
        </w:tc>
        <w:tc>
          <w:tcPr>
            <w:tcW w:w="1860" w:type="dxa"/>
            <w:vAlign w:val="center"/>
          </w:tcPr>
          <w:p w14:paraId="538B2AB8">
            <w:pPr>
              <w:jc w:val="right"/>
            </w:pPr>
            <w:r>
              <w:rPr>
                <w:rFonts w:hint="eastAsia"/>
              </w:rPr>
              <w:t>1,285,041,649.48</w:t>
            </w:r>
          </w:p>
        </w:tc>
        <w:tc>
          <w:tcPr>
            <w:tcW w:w="1517" w:type="dxa"/>
            <w:vAlign w:val="center"/>
          </w:tcPr>
          <w:p w14:paraId="627034E6">
            <w:pPr>
              <w:jc w:val="right"/>
            </w:pPr>
            <w:r>
              <w:rPr>
                <w:rFonts w:hint="eastAsia"/>
              </w:rPr>
              <w:t>2,949.04</w:t>
            </w:r>
          </w:p>
        </w:tc>
        <w:tc>
          <w:tcPr>
            <w:tcW w:w="1860" w:type="dxa"/>
            <w:vAlign w:val="center"/>
          </w:tcPr>
          <w:p w14:paraId="4F8AF992">
            <w:pPr>
              <w:jc w:val="right"/>
            </w:pPr>
            <w:r>
              <w:rPr>
                <w:rFonts w:hint="eastAsia"/>
              </w:rPr>
              <w:t>1,511,723,591.34</w:t>
            </w:r>
          </w:p>
        </w:tc>
        <w:tc>
          <w:tcPr>
            <w:tcW w:w="1517" w:type="dxa"/>
            <w:vAlign w:val="center"/>
          </w:tcPr>
          <w:p w14:paraId="473143C8">
            <w:pPr>
              <w:jc w:val="right"/>
            </w:pPr>
            <w:r>
              <w:rPr>
                <w:rFonts w:hint="eastAsia"/>
              </w:rPr>
              <w:t>226,678,992.82</w:t>
            </w:r>
          </w:p>
        </w:tc>
      </w:tr>
    </w:tbl>
    <w:p w14:paraId="187E00C9">
      <w:pPr>
        <w:pStyle w:val="35"/>
      </w:pPr>
      <w:bookmarkStart w:id="76" w:name="_Toc76"/>
      <w:r>
        <w:t>衍生金融资产/负债</w:t>
      </w:r>
      <w:bookmarkEnd w:id="76"/>
    </w:p>
    <w:p w14:paraId="41FD9218">
      <w:pPr>
        <w:pStyle w:val="36"/>
      </w:pPr>
      <w:bookmarkStart w:id="77" w:name="_Toc77"/>
      <w:r>
        <w:t>衍生金融资产/负债期末余额</w:t>
      </w:r>
      <w:bookmarkEnd w:id="77"/>
    </w:p>
    <w:p w14:paraId="4057143E">
      <w:pPr>
        <w:pStyle w:val="18"/>
        <w:rPr>
          <w:rFonts w:hint="eastAsia"/>
        </w:rPr>
      </w:pPr>
      <w:r>
        <w:rPr>
          <w:rFonts w:hint="eastAsia"/>
        </w:rPr>
        <w:t>无。</w:t>
      </w:r>
    </w:p>
    <w:p w14:paraId="072545F4">
      <w:pPr>
        <w:pStyle w:val="35"/>
      </w:pPr>
      <w:bookmarkStart w:id="78" w:name="_Toc78"/>
      <w:r>
        <w:t xml:space="preserve"> 买入返售金融资产</w:t>
      </w:r>
      <w:bookmarkEnd w:id="78"/>
    </w:p>
    <w:p w14:paraId="378F5094">
      <w:pPr>
        <w:pStyle w:val="36"/>
      </w:pPr>
      <w:bookmarkStart w:id="79" w:name="_Toc79"/>
      <w:r>
        <w:t>各项买入返售金融资产期末余额</w:t>
      </w:r>
      <w:bookmarkEnd w:id="79"/>
    </w:p>
    <w:p w14:paraId="0E3FCC45">
      <w:pPr>
        <w:pStyle w:val="18"/>
        <w:rPr>
          <w:rFonts w:hint="eastAsia"/>
        </w:rPr>
      </w:pPr>
      <w:r>
        <w:rPr>
          <w:rFonts w:hint="eastAsia"/>
        </w:rPr>
        <w:t>无。</w:t>
      </w:r>
    </w:p>
    <w:p w14:paraId="104F8EA9">
      <w:pPr>
        <w:pStyle w:val="36"/>
      </w:pPr>
      <w:bookmarkStart w:id="80" w:name="_Toc80"/>
      <w:r>
        <w:t xml:space="preserve"> 期末买断式逆回购交易中取得的债券</w:t>
      </w:r>
      <w:bookmarkEnd w:id="80"/>
    </w:p>
    <w:p w14:paraId="731BB196">
      <w:pPr>
        <w:pStyle w:val="18"/>
        <w:rPr>
          <w:rFonts w:hint="eastAsia"/>
        </w:rPr>
      </w:pPr>
      <w:r>
        <w:rPr>
          <w:rFonts w:hint="eastAsia"/>
        </w:rPr>
        <w:t>无。</w:t>
      </w:r>
    </w:p>
    <w:p w14:paraId="0C4D3B58">
      <w:pPr>
        <w:pStyle w:val="35"/>
      </w:pPr>
      <w:bookmarkStart w:id="81" w:name="_Toc81"/>
      <w:r>
        <w:t xml:space="preserve"> 其他资产</w:t>
      </w:r>
      <w:bookmarkEnd w:id="81"/>
    </w:p>
    <w:p w14:paraId="6009D58F">
      <w:pPr>
        <w:pStyle w:val="18"/>
        <w:rPr>
          <w:rFonts w:hint="eastAsia"/>
        </w:rPr>
      </w:pPr>
      <w:r>
        <w:rPr>
          <w:rFonts w:hint="eastAsia"/>
        </w:rPr>
        <w:t>无。</w:t>
      </w:r>
    </w:p>
    <w:p w14:paraId="0D1296BE">
      <w:pPr>
        <w:pStyle w:val="35"/>
      </w:pPr>
      <w:bookmarkStart w:id="82" w:name="_Toc82"/>
      <w:r>
        <w:t>其他负债</w:t>
      </w:r>
      <w:bookmarkEnd w:id="82"/>
    </w:p>
    <w:p w14:paraId="4C45AF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244C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69EE4725">
            <w:pPr>
              <w:jc w:val="center"/>
            </w:pPr>
            <w:r>
              <w:rPr>
                <w:rFonts w:hint="eastAsia"/>
                <w:b/>
              </w:rPr>
              <w:t>项目</w:t>
            </w:r>
          </w:p>
        </w:tc>
        <w:tc>
          <w:tcPr>
            <w:tcW w:w="4706" w:type="dxa"/>
            <w:shd w:val="clear" w:color="auto" w:fill="BFBFBF"/>
            <w:vAlign w:val="center"/>
          </w:tcPr>
          <w:p w14:paraId="108EE1A3">
            <w:pPr>
              <w:jc w:val="center"/>
            </w:pPr>
            <w:r>
              <w:rPr>
                <w:rFonts w:hint="eastAsia"/>
                <w:b/>
              </w:rPr>
              <w:t>本期末2025年12月31日</w:t>
            </w:r>
          </w:p>
        </w:tc>
      </w:tr>
      <w:tr w14:paraId="7395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43ECC57">
            <w:r>
              <w:rPr>
                <w:rFonts w:hint="eastAsia"/>
              </w:rPr>
              <w:t>应付券商交易单元保证金</w:t>
            </w:r>
          </w:p>
        </w:tc>
        <w:tc>
          <w:tcPr>
            <w:tcW w:w="4706" w:type="dxa"/>
            <w:vAlign w:val="center"/>
          </w:tcPr>
          <w:p w14:paraId="23F46980">
            <w:pPr>
              <w:jc w:val="right"/>
            </w:pPr>
            <w:r>
              <w:rPr>
                <w:rFonts w:hint="eastAsia"/>
              </w:rPr>
              <w:t>-</w:t>
            </w:r>
          </w:p>
        </w:tc>
      </w:tr>
      <w:tr w14:paraId="6427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9D341A9">
            <w:r>
              <w:rPr>
                <w:rFonts w:hint="eastAsia"/>
              </w:rPr>
              <w:t>应付赎回费</w:t>
            </w:r>
          </w:p>
        </w:tc>
        <w:tc>
          <w:tcPr>
            <w:tcW w:w="4706" w:type="dxa"/>
            <w:vAlign w:val="center"/>
          </w:tcPr>
          <w:p w14:paraId="2C1E816C">
            <w:pPr>
              <w:jc w:val="right"/>
            </w:pPr>
            <w:r>
              <w:rPr>
                <w:rFonts w:hint="eastAsia"/>
              </w:rPr>
              <w:t>2.43</w:t>
            </w:r>
          </w:p>
        </w:tc>
      </w:tr>
      <w:tr w14:paraId="70B9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AA51E93">
            <w:r>
              <w:rPr>
                <w:rFonts w:hint="eastAsia"/>
              </w:rPr>
              <w:t>应付证券出借违约金</w:t>
            </w:r>
          </w:p>
        </w:tc>
        <w:tc>
          <w:tcPr>
            <w:tcW w:w="4706" w:type="dxa"/>
            <w:vAlign w:val="center"/>
          </w:tcPr>
          <w:p w14:paraId="214ED965">
            <w:pPr>
              <w:jc w:val="right"/>
            </w:pPr>
            <w:r>
              <w:rPr>
                <w:rFonts w:hint="eastAsia"/>
              </w:rPr>
              <w:t>-</w:t>
            </w:r>
          </w:p>
        </w:tc>
      </w:tr>
      <w:tr w14:paraId="2536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DDB5496">
            <w:r>
              <w:rPr>
                <w:rFonts w:hint="eastAsia"/>
              </w:rPr>
              <w:t>应付交易费用</w:t>
            </w:r>
          </w:p>
        </w:tc>
        <w:tc>
          <w:tcPr>
            <w:tcW w:w="4706" w:type="dxa"/>
            <w:vAlign w:val="center"/>
          </w:tcPr>
          <w:p w14:paraId="12171F21">
            <w:pPr>
              <w:jc w:val="right"/>
            </w:pPr>
            <w:r>
              <w:rPr>
                <w:rFonts w:hint="eastAsia"/>
              </w:rPr>
              <w:t>-</w:t>
            </w:r>
          </w:p>
        </w:tc>
      </w:tr>
      <w:tr w14:paraId="097B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35AE368">
            <w:r>
              <w:rPr>
                <w:rFonts w:hint="eastAsia"/>
              </w:rPr>
              <w:t>其中：交易所市场</w:t>
            </w:r>
          </w:p>
        </w:tc>
        <w:tc>
          <w:tcPr>
            <w:tcW w:w="4706" w:type="dxa"/>
            <w:vAlign w:val="center"/>
          </w:tcPr>
          <w:p w14:paraId="6B39E80B">
            <w:pPr>
              <w:jc w:val="right"/>
            </w:pPr>
            <w:r>
              <w:rPr>
                <w:rFonts w:hint="eastAsia"/>
              </w:rPr>
              <w:t>-</w:t>
            </w:r>
          </w:p>
        </w:tc>
      </w:tr>
      <w:tr w14:paraId="3AF3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D19634B">
            <w:r>
              <w:rPr>
                <w:rFonts w:hint="eastAsia"/>
              </w:rPr>
              <w:t xml:space="preserve">      银行间市场</w:t>
            </w:r>
          </w:p>
        </w:tc>
        <w:tc>
          <w:tcPr>
            <w:tcW w:w="4706" w:type="dxa"/>
            <w:vAlign w:val="center"/>
          </w:tcPr>
          <w:p w14:paraId="3431D880">
            <w:pPr>
              <w:jc w:val="right"/>
            </w:pPr>
            <w:r>
              <w:rPr>
                <w:rFonts w:hint="eastAsia"/>
              </w:rPr>
              <w:t>-</w:t>
            </w:r>
          </w:p>
        </w:tc>
      </w:tr>
      <w:tr w14:paraId="3589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407EC82">
            <w:r>
              <w:rPr>
                <w:rFonts w:hint="eastAsia"/>
              </w:rPr>
              <w:t>应付利息</w:t>
            </w:r>
          </w:p>
        </w:tc>
        <w:tc>
          <w:tcPr>
            <w:tcW w:w="4706" w:type="dxa"/>
            <w:vAlign w:val="center"/>
          </w:tcPr>
          <w:p w14:paraId="69CFA7D9">
            <w:pPr>
              <w:jc w:val="right"/>
            </w:pPr>
            <w:r>
              <w:rPr>
                <w:rFonts w:hint="eastAsia"/>
              </w:rPr>
              <w:t>-</w:t>
            </w:r>
          </w:p>
        </w:tc>
      </w:tr>
      <w:tr w14:paraId="2C7D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AE3913A">
            <w:r>
              <w:rPr>
                <w:rFonts w:hint="eastAsia"/>
              </w:rPr>
              <w:t>应退退补款</w:t>
            </w:r>
          </w:p>
        </w:tc>
        <w:tc>
          <w:tcPr>
            <w:tcW w:w="4706" w:type="dxa"/>
            <w:vAlign w:val="center"/>
          </w:tcPr>
          <w:p w14:paraId="216E735F">
            <w:pPr>
              <w:jc w:val="right"/>
            </w:pPr>
            <w:r>
              <w:rPr>
                <w:rFonts w:hint="eastAsia"/>
              </w:rPr>
              <w:t>-</w:t>
            </w:r>
          </w:p>
        </w:tc>
      </w:tr>
      <w:tr w14:paraId="5575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D35782D">
            <w:r>
              <w:rPr>
                <w:rFonts w:hint="eastAsia"/>
              </w:rPr>
              <w:t>预提费用</w:t>
            </w:r>
          </w:p>
        </w:tc>
        <w:tc>
          <w:tcPr>
            <w:tcW w:w="4706" w:type="dxa"/>
            <w:vAlign w:val="center"/>
          </w:tcPr>
          <w:p w14:paraId="26C5556F">
            <w:pPr>
              <w:jc w:val="right"/>
            </w:pPr>
            <w:r>
              <w:rPr>
                <w:rFonts w:hint="eastAsia"/>
              </w:rPr>
              <w:t>48,000.00</w:t>
            </w:r>
          </w:p>
        </w:tc>
      </w:tr>
      <w:tr w14:paraId="47CE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AADE36C">
            <w:r>
              <w:rPr>
                <w:rFonts w:hint="eastAsia"/>
              </w:rPr>
              <w:t>应付指数使用费</w:t>
            </w:r>
          </w:p>
        </w:tc>
        <w:tc>
          <w:tcPr>
            <w:tcW w:w="4706" w:type="dxa"/>
            <w:vAlign w:val="center"/>
          </w:tcPr>
          <w:p w14:paraId="1EEF7F50">
            <w:pPr>
              <w:jc w:val="right"/>
            </w:pPr>
            <w:r>
              <w:rPr>
                <w:rFonts w:hint="eastAsia"/>
              </w:rPr>
              <w:t>-</w:t>
            </w:r>
          </w:p>
        </w:tc>
      </w:tr>
      <w:tr w14:paraId="25A6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1D08F9E">
            <w:r>
              <w:rPr>
                <w:rFonts w:hint="eastAsia"/>
              </w:rPr>
              <w:t>可退替代款</w:t>
            </w:r>
          </w:p>
        </w:tc>
        <w:tc>
          <w:tcPr>
            <w:tcW w:w="4706" w:type="dxa"/>
            <w:vAlign w:val="center"/>
          </w:tcPr>
          <w:p w14:paraId="68A9F777">
            <w:pPr>
              <w:jc w:val="right"/>
            </w:pPr>
            <w:r>
              <w:rPr>
                <w:rFonts w:hint="eastAsia"/>
              </w:rPr>
              <w:t>-</w:t>
            </w:r>
          </w:p>
        </w:tc>
      </w:tr>
      <w:tr w14:paraId="3BE1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5D69022">
            <w:r>
              <w:rPr>
                <w:rFonts w:hint="eastAsia"/>
              </w:rPr>
              <w:t>合计</w:t>
            </w:r>
          </w:p>
        </w:tc>
        <w:tc>
          <w:tcPr>
            <w:tcW w:w="4706" w:type="dxa"/>
            <w:vAlign w:val="center"/>
          </w:tcPr>
          <w:p w14:paraId="21B1F8B3">
            <w:pPr>
              <w:jc w:val="right"/>
            </w:pPr>
            <w:r>
              <w:rPr>
                <w:rFonts w:hint="eastAsia"/>
              </w:rPr>
              <w:t>48,002.43</w:t>
            </w:r>
          </w:p>
        </w:tc>
      </w:tr>
    </w:tbl>
    <w:p w14:paraId="323991C9">
      <w:pPr>
        <w:pStyle w:val="35"/>
      </w:pPr>
      <w:bookmarkStart w:id="83" w:name="_Toc83"/>
      <w:r>
        <w:t xml:space="preserve">实收基金 </w:t>
      </w:r>
      <w:bookmarkEnd w:id="83"/>
    </w:p>
    <w:p w14:paraId="06218E5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AB1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7B78815">
            <w:pPr>
              <w:jc w:val="center"/>
            </w:pPr>
            <w:r>
              <w:rPr>
                <w:rFonts w:hint="eastAsia"/>
                <w:b/>
              </w:rPr>
              <w:t>南方创业板人工智能ETF联接A</w:t>
            </w:r>
          </w:p>
        </w:tc>
      </w:tr>
      <w:tr w14:paraId="52FB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8FA07E4">
            <w:pPr>
              <w:jc w:val="center"/>
            </w:pPr>
            <w:r>
              <w:rPr>
                <w:rFonts w:hint="eastAsia"/>
                <w:b/>
              </w:rPr>
              <w:t>项目</w:t>
            </w:r>
          </w:p>
        </w:tc>
        <w:tc>
          <w:tcPr>
            <w:tcW w:w="2491" w:type="dxa"/>
            <w:gridSpan w:val="2"/>
            <w:shd w:val="clear" w:color="auto" w:fill="BFBFBF"/>
            <w:vAlign w:val="center"/>
          </w:tcPr>
          <w:p w14:paraId="313AF669">
            <w:pPr>
              <w:jc w:val="center"/>
            </w:pPr>
            <w:r>
              <w:rPr>
                <w:rFonts w:hint="eastAsia"/>
                <w:b/>
              </w:rPr>
              <w:t>本期2025年10月30日（基金合同生效日）至2025年12月31日</w:t>
            </w:r>
          </w:p>
        </w:tc>
      </w:tr>
      <w:tr w14:paraId="570C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054A755"/>
        </w:tc>
        <w:tc>
          <w:tcPr>
            <w:tcW w:w="2491" w:type="dxa"/>
            <w:shd w:val="clear" w:color="auto" w:fill="BFBFBF"/>
            <w:vAlign w:val="center"/>
          </w:tcPr>
          <w:p w14:paraId="23AFDEE3">
            <w:pPr>
              <w:jc w:val="center"/>
            </w:pPr>
            <w:r>
              <w:rPr>
                <w:rFonts w:hint="eastAsia"/>
                <w:b/>
              </w:rPr>
              <w:t>基金份额（份）</w:t>
            </w:r>
          </w:p>
        </w:tc>
        <w:tc>
          <w:tcPr>
            <w:tcW w:w="2907" w:type="dxa"/>
            <w:shd w:val="clear" w:color="auto" w:fill="BFBFBF"/>
            <w:vAlign w:val="center"/>
          </w:tcPr>
          <w:p w14:paraId="1130E0FD">
            <w:pPr>
              <w:jc w:val="center"/>
            </w:pPr>
            <w:r>
              <w:rPr>
                <w:rFonts w:hint="eastAsia"/>
                <w:b/>
              </w:rPr>
              <w:t>账面金额</w:t>
            </w:r>
          </w:p>
        </w:tc>
      </w:tr>
      <w:tr w14:paraId="6B79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B81B55">
            <w:r>
              <w:rPr>
                <w:rFonts w:hint="eastAsia"/>
              </w:rPr>
              <w:t>基金合同生效日</w:t>
            </w:r>
          </w:p>
        </w:tc>
        <w:tc>
          <w:tcPr>
            <w:tcW w:w="2491" w:type="dxa"/>
            <w:vAlign w:val="center"/>
          </w:tcPr>
          <w:p w14:paraId="2F4759E9">
            <w:pPr>
              <w:jc w:val="right"/>
            </w:pPr>
            <w:r>
              <w:rPr>
                <w:rFonts w:hint="eastAsia"/>
              </w:rPr>
              <w:t>3,056,193,885.92</w:t>
            </w:r>
          </w:p>
        </w:tc>
        <w:tc>
          <w:tcPr>
            <w:tcW w:w="2907" w:type="dxa"/>
            <w:vAlign w:val="center"/>
          </w:tcPr>
          <w:p w14:paraId="0D42EE3F">
            <w:pPr>
              <w:jc w:val="right"/>
            </w:pPr>
            <w:r>
              <w:rPr>
                <w:rFonts w:hint="eastAsia"/>
              </w:rPr>
              <w:t>3,056,193,885.92</w:t>
            </w:r>
          </w:p>
        </w:tc>
      </w:tr>
      <w:tr w14:paraId="572E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29C2E1">
            <w:r>
              <w:rPr>
                <w:rFonts w:hint="eastAsia"/>
              </w:rPr>
              <w:t>本期申购</w:t>
            </w:r>
          </w:p>
        </w:tc>
        <w:tc>
          <w:tcPr>
            <w:tcW w:w="2491" w:type="dxa"/>
            <w:vAlign w:val="center"/>
          </w:tcPr>
          <w:p w14:paraId="4EE28A6D">
            <w:pPr>
              <w:jc w:val="right"/>
            </w:pPr>
            <w:r>
              <w:rPr>
                <w:rFonts w:hint="eastAsia"/>
              </w:rPr>
              <w:t>232,441,750.01</w:t>
            </w:r>
          </w:p>
        </w:tc>
        <w:tc>
          <w:tcPr>
            <w:tcW w:w="2907" w:type="dxa"/>
            <w:vAlign w:val="center"/>
          </w:tcPr>
          <w:p w14:paraId="3A4757E1">
            <w:pPr>
              <w:jc w:val="right"/>
            </w:pPr>
            <w:r>
              <w:rPr>
                <w:rFonts w:hint="eastAsia"/>
              </w:rPr>
              <w:t>232,441,750.01</w:t>
            </w:r>
          </w:p>
        </w:tc>
      </w:tr>
      <w:tr w14:paraId="5F85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FF824A">
            <w:r>
              <w:rPr>
                <w:rFonts w:hint="eastAsia"/>
              </w:rPr>
              <w:t>本期赎回（以“-”号填列）</w:t>
            </w:r>
          </w:p>
        </w:tc>
        <w:tc>
          <w:tcPr>
            <w:tcW w:w="2491" w:type="dxa"/>
            <w:vAlign w:val="center"/>
          </w:tcPr>
          <w:p w14:paraId="5C2E6D0A">
            <w:pPr>
              <w:jc w:val="right"/>
            </w:pPr>
            <w:r>
              <w:rPr>
                <w:rFonts w:hint="eastAsia"/>
              </w:rPr>
              <w:t>-2,422,328,393.50</w:t>
            </w:r>
          </w:p>
        </w:tc>
        <w:tc>
          <w:tcPr>
            <w:tcW w:w="2907" w:type="dxa"/>
            <w:vAlign w:val="center"/>
          </w:tcPr>
          <w:p w14:paraId="76BCDE29">
            <w:pPr>
              <w:jc w:val="right"/>
            </w:pPr>
            <w:r>
              <w:rPr>
                <w:rFonts w:hint="eastAsia"/>
              </w:rPr>
              <w:t>-2,422,328,393.50</w:t>
            </w:r>
          </w:p>
        </w:tc>
      </w:tr>
      <w:tr w14:paraId="37C9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1909EB">
            <w:r>
              <w:rPr>
                <w:rFonts w:hint="eastAsia"/>
              </w:rPr>
              <w:t>基金拆分/份额折算前</w:t>
            </w:r>
          </w:p>
        </w:tc>
        <w:tc>
          <w:tcPr>
            <w:tcW w:w="2491" w:type="dxa"/>
            <w:vAlign w:val="center"/>
          </w:tcPr>
          <w:p w14:paraId="629E8796">
            <w:pPr>
              <w:jc w:val="right"/>
            </w:pPr>
            <w:r>
              <w:rPr>
                <w:rFonts w:hint="eastAsia"/>
              </w:rPr>
              <w:t>-</w:t>
            </w:r>
          </w:p>
        </w:tc>
        <w:tc>
          <w:tcPr>
            <w:tcW w:w="2907" w:type="dxa"/>
            <w:vAlign w:val="center"/>
          </w:tcPr>
          <w:p w14:paraId="41D517AC">
            <w:pPr>
              <w:jc w:val="right"/>
            </w:pPr>
            <w:r>
              <w:rPr>
                <w:rFonts w:hint="eastAsia"/>
              </w:rPr>
              <w:t>-</w:t>
            </w:r>
          </w:p>
        </w:tc>
      </w:tr>
      <w:tr w14:paraId="604A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A06162">
            <w:r>
              <w:rPr>
                <w:rFonts w:hint="eastAsia"/>
              </w:rPr>
              <w:t>基金拆分/份额折算调整</w:t>
            </w:r>
          </w:p>
        </w:tc>
        <w:tc>
          <w:tcPr>
            <w:tcW w:w="2491" w:type="dxa"/>
            <w:vAlign w:val="center"/>
          </w:tcPr>
          <w:p w14:paraId="0F1660F7">
            <w:pPr>
              <w:jc w:val="right"/>
            </w:pPr>
            <w:r>
              <w:rPr>
                <w:rFonts w:hint="eastAsia"/>
              </w:rPr>
              <w:t>-</w:t>
            </w:r>
          </w:p>
        </w:tc>
        <w:tc>
          <w:tcPr>
            <w:tcW w:w="2907" w:type="dxa"/>
            <w:vAlign w:val="center"/>
          </w:tcPr>
          <w:p w14:paraId="672871F3">
            <w:pPr>
              <w:jc w:val="right"/>
            </w:pPr>
            <w:r>
              <w:rPr>
                <w:rFonts w:hint="eastAsia"/>
              </w:rPr>
              <w:t>-</w:t>
            </w:r>
          </w:p>
        </w:tc>
      </w:tr>
      <w:tr w14:paraId="7954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75A43A">
            <w:r>
              <w:rPr>
                <w:rFonts w:hint="eastAsia"/>
              </w:rPr>
              <w:t>本期申购</w:t>
            </w:r>
          </w:p>
        </w:tc>
        <w:tc>
          <w:tcPr>
            <w:tcW w:w="2491" w:type="dxa"/>
            <w:vAlign w:val="center"/>
          </w:tcPr>
          <w:p w14:paraId="0E0906C5">
            <w:pPr>
              <w:jc w:val="right"/>
            </w:pPr>
            <w:r>
              <w:rPr>
                <w:rFonts w:hint="eastAsia"/>
              </w:rPr>
              <w:t>-</w:t>
            </w:r>
          </w:p>
        </w:tc>
        <w:tc>
          <w:tcPr>
            <w:tcW w:w="2907" w:type="dxa"/>
            <w:vAlign w:val="center"/>
          </w:tcPr>
          <w:p w14:paraId="54A30164">
            <w:pPr>
              <w:jc w:val="right"/>
            </w:pPr>
            <w:r>
              <w:rPr>
                <w:rFonts w:hint="eastAsia"/>
              </w:rPr>
              <w:t>-</w:t>
            </w:r>
          </w:p>
        </w:tc>
      </w:tr>
      <w:tr w14:paraId="2EFD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715FB3">
            <w:r>
              <w:rPr>
                <w:rFonts w:hint="eastAsia"/>
              </w:rPr>
              <w:t>本期赎回（以“-”号填列）</w:t>
            </w:r>
          </w:p>
        </w:tc>
        <w:tc>
          <w:tcPr>
            <w:tcW w:w="2491" w:type="dxa"/>
            <w:vAlign w:val="center"/>
          </w:tcPr>
          <w:p w14:paraId="194DB9B1">
            <w:pPr>
              <w:jc w:val="right"/>
            </w:pPr>
            <w:r>
              <w:rPr>
                <w:rFonts w:hint="eastAsia"/>
              </w:rPr>
              <w:t>-</w:t>
            </w:r>
          </w:p>
        </w:tc>
        <w:tc>
          <w:tcPr>
            <w:tcW w:w="2907" w:type="dxa"/>
            <w:vAlign w:val="center"/>
          </w:tcPr>
          <w:p w14:paraId="11644959">
            <w:pPr>
              <w:jc w:val="right"/>
            </w:pPr>
            <w:r>
              <w:rPr>
                <w:rFonts w:hint="eastAsia"/>
              </w:rPr>
              <w:t>-</w:t>
            </w:r>
          </w:p>
        </w:tc>
      </w:tr>
      <w:tr w14:paraId="1A65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0091C1">
            <w:r>
              <w:rPr>
                <w:rFonts w:hint="eastAsia"/>
              </w:rPr>
              <w:t>本期末</w:t>
            </w:r>
          </w:p>
        </w:tc>
        <w:tc>
          <w:tcPr>
            <w:tcW w:w="2491" w:type="dxa"/>
            <w:vAlign w:val="center"/>
          </w:tcPr>
          <w:p w14:paraId="31701F36">
            <w:pPr>
              <w:jc w:val="right"/>
            </w:pPr>
            <w:r>
              <w:rPr>
                <w:rFonts w:hint="eastAsia"/>
              </w:rPr>
              <w:t>866,307,242.43</w:t>
            </w:r>
          </w:p>
        </w:tc>
        <w:tc>
          <w:tcPr>
            <w:tcW w:w="2907" w:type="dxa"/>
            <w:vAlign w:val="center"/>
          </w:tcPr>
          <w:p w14:paraId="01346941">
            <w:pPr>
              <w:jc w:val="right"/>
            </w:pPr>
            <w:r>
              <w:rPr>
                <w:rFonts w:hint="eastAsia"/>
              </w:rPr>
              <w:t>866,307,242.43</w:t>
            </w:r>
          </w:p>
        </w:tc>
      </w:tr>
    </w:tbl>
    <w:p w14:paraId="6DA5428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543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49559A8">
            <w:pPr>
              <w:jc w:val="center"/>
            </w:pPr>
            <w:r>
              <w:rPr>
                <w:rFonts w:hint="eastAsia"/>
                <w:b/>
              </w:rPr>
              <w:t>南方创业板人工智能ETF联接C</w:t>
            </w:r>
          </w:p>
        </w:tc>
      </w:tr>
      <w:tr w14:paraId="5B55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2686816">
            <w:pPr>
              <w:jc w:val="center"/>
            </w:pPr>
            <w:r>
              <w:rPr>
                <w:rFonts w:hint="eastAsia"/>
                <w:b/>
              </w:rPr>
              <w:t>项目</w:t>
            </w:r>
          </w:p>
        </w:tc>
        <w:tc>
          <w:tcPr>
            <w:tcW w:w="2491" w:type="dxa"/>
            <w:gridSpan w:val="2"/>
            <w:shd w:val="clear" w:color="auto" w:fill="BFBFBF"/>
            <w:vAlign w:val="center"/>
          </w:tcPr>
          <w:p w14:paraId="712B0190">
            <w:pPr>
              <w:jc w:val="center"/>
            </w:pPr>
            <w:r>
              <w:rPr>
                <w:rFonts w:hint="eastAsia"/>
                <w:b/>
              </w:rPr>
              <w:t>本期2025年10月30日（基金合同生效日）至2025年12月31日</w:t>
            </w:r>
          </w:p>
        </w:tc>
      </w:tr>
      <w:tr w14:paraId="150B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D79E447"/>
        </w:tc>
        <w:tc>
          <w:tcPr>
            <w:tcW w:w="2491" w:type="dxa"/>
            <w:shd w:val="clear" w:color="auto" w:fill="BFBFBF"/>
            <w:vAlign w:val="center"/>
          </w:tcPr>
          <w:p w14:paraId="1EBB6451">
            <w:pPr>
              <w:jc w:val="center"/>
            </w:pPr>
            <w:r>
              <w:rPr>
                <w:rFonts w:hint="eastAsia"/>
                <w:b/>
              </w:rPr>
              <w:t>基金份额（份）</w:t>
            </w:r>
          </w:p>
        </w:tc>
        <w:tc>
          <w:tcPr>
            <w:tcW w:w="2907" w:type="dxa"/>
            <w:shd w:val="clear" w:color="auto" w:fill="BFBFBF"/>
            <w:vAlign w:val="center"/>
          </w:tcPr>
          <w:p w14:paraId="330B1BE1">
            <w:pPr>
              <w:jc w:val="center"/>
            </w:pPr>
            <w:r>
              <w:rPr>
                <w:rFonts w:hint="eastAsia"/>
                <w:b/>
              </w:rPr>
              <w:t>账面金额</w:t>
            </w:r>
          </w:p>
        </w:tc>
      </w:tr>
      <w:tr w14:paraId="03BB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22D321">
            <w:r>
              <w:rPr>
                <w:rFonts w:hint="eastAsia"/>
              </w:rPr>
              <w:t>基金合同生效日</w:t>
            </w:r>
          </w:p>
        </w:tc>
        <w:tc>
          <w:tcPr>
            <w:tcW w:w="2491" w:type="dxa"/>
            <w:vAlign w:val="center"/>
          </w:tcPr>
          <w:p w14:paraId="5727454A">
            <w:pPr>
              <w:jc w:val="right"/>
            </w:pPr>
            <w:r>
              <w:rPr>
                <w:rFonts w:hint="eastAsia"/>
              </w:rPr>
              <w:t>987,270,799.49</w:t>
            </w:r>
          </w:p>
        </w:tc>
        <w:tc>
          <w:tcPr>
            <w:tcW w:w="2907" w:type="dxa"/>
            <w:vAlign w:val="center"/>
          </w:tcPr>
          <w:p w14:paraId="37C72843">
            <w:pPr>
              <w:jc w:val="right"/>
            </w:pPr>
            <w:r>
              <w:rPr>
                <w:rFonts w:hint="eastAsia"/>
              </w:rPr>
              <w:t>987,270,799.49</w:t>
            </w:r>
          </w:p>
        </w:tc>
      </w:tr>
      <w:tr w14:paraId="0BBB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ABE9C9">
            <w:r>
              <w:rPr>
                <w:rFonts w:hint="eastAsia"/>
              </w:rPr>
              <w:t>本期申购</w:t>
            </w:r>
          </w:p>
        </w:tc>
        <w:tc>
          <w:tcPr>
            <w:tcW w:w="2491" w:type="dxa"/>
            <w:vAlign w:val="center"/>
          </w:tcPr>
          <w:p w14:paraId="24DBD3EC">
            <w:pPr>
              <w:jc w:val="right"/>
            </w:pPr>
            <w:r>
              <w:rPr>
                <w:rFonts w:hint="eastAsia"/>
              </w:rPr>
              <w:t>339,619,213.71</w:t>
            </w:r>
          </w:p>
        </w:tc>
        <w:tc>
          <w:tcPr>
            <w:tcW w:w="2907" w:type="dxa"/>
            <w:vAlign w:val="center"/>
          </w:tcPr>
          <w:p w14:paraId="163ABED0">
            <w:pPr>
              <w:jc w:val="right"/>
            </w:pPr>
            <w:r>
              <w:rPr>
                <w:rFonts w:hint="eastAsia"/>
              </w:rPr>
              <w:t>339,619,213.71</w:t>
            </w:r>
          </w:p>
        </w:tc>
      </w:tr>
      <w:tr w14:paraId="3D09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4A3E63">
            <w:r>
              <w:rPr>
                <w:rFonts w:hint="eastAsia"/>
              </w:rPr>
              <w:t>本期赎回（以“-”号填列）</w:t>
            </w:r>
          </w:p>
        </w:tc>
        <w:tc>
          <w:tcPr>
            <w:tcW w:w="2491" w:type="dxa"/>
            <w:vAlign w:val="center"/>
          </w:tcPr>
          <w:p w14:paraId="13954D10">
            <w:pPr>
              <w:jc w:val="right"/>
            </w:pPr>
            <w:r>
              <w:rPr>
                <w:rFonts w:hint="eastAsia"/>
              </w:rPr>
              <w:t>-835,372,415.34</w:t>
            </w:r>
          </w:p>
        </w:tc>
        <w:tc>
          <w:tcPr>
            <w:tcW w:w="2907" w:type="dxa"/>
            <w:vAlign w:val="center"/>
          </w:tcPr>
          <w:p w14:paraId="60BE9B3D">
            <w:pPr>
              <w:jc w:val="right"/>
            </w:pPr>
            <w:r>
              <w:rPr>
                <w:rFonts w:hint="eastAsia"/>
              </w:rPr>
              <w:t>-835,372,415.34</w:t>
            </w:r>
          </w:p>
        </w:tc>
      </w:tr>
      <w:tr w14:paraId="58EC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72370A">
            <w:r>
              <w:rPr>
                <w:rFonts w:hint="eastAsia"/>
              </w:rPr>
              <w:t>基金拆分/份额折算前</w:t>
            </w:r>
          </w:p>
        </w:tc>
        <w:tc>
          <w:tcPr>
            <w:tcW w:w="2491" w:type="dxa"/>
            <w:vAlign w:val="center"/>
          </w:tcPr>
          <w:p w14:paraId="29422B9E">
            <w:pPr>
              <w:jc w:val="right"/>
            </w:pPr>
            <w:r>
              <w:rPr>
                <w:rFonts w:hint="eastAsia"/>
              </w:rPr>
              <w:t>-</w:t>
            </w:r>
          </w:p>
        </w:tc>
        <w:tc>
          <w:tcPr>
            <w:tcW w:w="2907" w:type="dxa"/>
            <w:vAlign w:val="center"/>
          </w:tcPr>
          <w:p w14:paraId="09A5A3CF">
            <w:pPr>
              <w:jc w:val="right"/>
            </w:pPr>
            <w:r>
              <w:rPr>
                <w:rFonts w:hint="eastAsia"/>
              </w:rPr>
              <w:t>-</w:t>
            </w:r>
          </w:p>
        </w:tc>
      </w:tr>
      <w:tr w14:paraId="4C9D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8BA983">
            <w:r>
              <w:rPr>
                <w:rFonts w:hint="eastAsia"/>
              </w:rPr>
              <w:t>基金拆分/份额折算调整</w:t>
            </w:r>
          </w:p>
        </w:tc>
        <w:tc>
          <w:tcPr>
            <w:tcW w:w="2491" w:type="dxa"/>
            <w:vAlign w:val="center"/>
          </w:tcPr>
          <w:p w14:paraId="5760FBAB">
            <w:pPr>
              <w:jc w:val="right"/>
            </w:pPr>
            <w:r>
              <w:rPr>
                <w:rFonts w:hint="eastAsia"/>
              </w:rPr>
              <w:t>-</w:t>
            </w:r>
          </w:p>
        </w:tc>
        <w:tc>
          <w:tcPr>
            <w:tcW w:w="2907" w:type="dxa"/>
            <w:vAlign w:val="center"/>
          </w:tcPr>
          <w:p w14:paraId="79DEC880">
            <w:pPr>
              <w:jc w:val="right"/>
            </w:pPr>
            <w:r>
              <w:rPr>
                <w:rFonts w:hint="eastAsia"/>
              </w:rPr>
              <w:t>-</w:t>
            </w:r>
          </w:p>
        </w:tc>
      </w:tr>
      <w:tr w14:paraId="52B2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F3BEFF">
            <w:r>
              <w:rPr>
                <w:rFonts w:hint="eastAsia"/>
              </w:rPr>
              <w:t>本期申购</w:t>
            </w:r>
          </w:p>
        </w:tc>
        <w:tc>
          <w:tcPr>
            <w:tcW w:w="2491" w:type="dxa"/>
            <w:vAlign w:val="center"/>
          </w:tcPr>
          <w:p w14:paraId="5015E89B">
            <w:pPr>
              <w:jc w:val="right"/>
            </w:pPr>
            <w:r>
              <w:rPr>
                <w:rFonts w:hint="eastAsia"/>
              </w:rPr>
              <w:t>-</w:t>
            </w:r>
          </w:p>
        </w:tc>
        <w:tc>
          <w:tcPr>
            <w:tcW w:w="2907" w:type="dxa"/>
            <w:vAlign w:val="center"/>
          </w:tcPr>
          <w:p w14:paraId="6D1E0718">
            <w:pPr>
              <w:jc w:val="right"/>
            </w:pPr>
            <w:r>
              <w:rPr>
                <w:rFonts w:hint="eastAsia"/>
              </w:rPr>
              <w:t>-</w:t>
            </w:r>
          </w:p>
        </w:tc>
      </w:tr>
      <w:tr w14:paraId="3C31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F1AE06">
            <w:r>
              <w:rPr>
                <w:rFonts w:hint="eastAsia"/>
              </w:rPr>
              <w:t>本期赎回（以“-”号填列）</w:t>
            </w:r>
          </w:p>
        </w:tc>
        <w:tc>
          <w:tcPr>
            <w:tcW w:w="2491" w:type="dxa"/>
            <w:vAlign w:val="center"/>
          </w:tcPr>
          <w:p w14:paraId="5A563B94">
            <w:pPr>
              <w:jc w:val="right"/>
            </w:pPr>
            <w:r>
              <w:rPr>
                <w:rFonts w:hint="eastAsia"/>
              </w:rPr>
              <w:t>-</w:t>
            </w:r>
          </w:p>
        </w:tc>
        <w:tc>
          <w:tcPr>
            <w:tcW w:w="2907" w:type="dxa"/>
            <w:vAlign w:val="center"/>
          </w:tcPr>
          <w:p w14:paraId="07BFA7FB">
            <w:pPr>
              <w:jc w:val="right"/>
            </w:pPr>
            <w:r>
              <w:rPr>
                <w:rFonts w:hint="eastAsia"/>
              </w:rPr>
              <w:t>-</w:t>
            </w:r>
          </w:p>
        </w:tc>
      </w:tr>
      <w:tr w14:paraId="32A2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612589">
            <w:r>
              <w:rPr>
                <w:rFonts w:hint="eastAsia"/>
              </w:rPr>
              <w:t>本期末</w:t>
            </w:r>
          </w:p>
        </w:tc>
        <w:tc>
          <w:tcPr>
            <w:tcW w:w="2491" w:type="dxa"/>
            <w:vAlign w:val="center"/>
          </w:tcPr>
          <w:p w14:paraId="3C52BDD7">
            <w:pPr>
              <w:jc w:val="right"/>
            </w:pPr>
            <w:r>
              <w:rPr>
                <w:rFonts w:hint="eastAsia"/>
              </w:rPr>
              <w:t>491,517,597.86</w:t>
            </w:r>
          </w:p>
        </w:tc>
        <w:tc>
          <w:tcPr>
            <w:tcW w:w="2907" w:type="dxa"/>
            <w:vAlign w:val="center"/>
          </w:tcPr>
          <w:p w14:paraId="66747E3D">
            <w:pPr>
              <w:jc w:val="right"/>
            </w:pPr>
            <w:r>
              <w:rPr>
                <w:rFonts w:hint="eastAsia"/>
              </w:rPr>
              <w:t>491,517,597.86</w:t>
            </w:r>
          </w:p>
        </w:tc>
      </w:tr>
    </w:tbl>
    <w:p w14:paraId="54688A14">
      <w:pPr>
        <w:pStyle w:val="47"/>
        <w:rPr>
          <w:rFonts w:hint="eastAsia"/>
        </w:rPr>
      </w:pPr>
      <w:r>
        <w:rPr>
          <w:rFonts w:hint="eastAsia"/>
        </w:rPr>
        <w:t>注：（1）本基金申购含红利再投份额（如有）、转换入份额（如有）；赎回含转出份额（如有）。</w:t>
      </w:r>
    </w:p>
    <w:p w14:paraId="2FD27C3B">
      <w:pPr>
        <w:pStyle w:val="47"/>
        <w:rPr>
          <w:rFonts w:hint="eastAsia"/>
        </w:rPr>
      </w:pPr>
      <w:r>
        <w:tab/>
      </w:r>
      <w:r>
        <w:rPr>
          <w:rFonts w:hint="eastAsia"/>
        </w:rPr>
        <w:t>（2）本基金合同于2025年10月30日生效，基金合同生效日的基金份额总额为4,043,464,685.41份基金份额，其中认购资金利息折合1,380,252.81份基金份额。</w:t>
      </w:r>
    </w:p>
    <w:p w14:paraId="7EDEBD46">
      <w:pPr>
        <w:pStyle w:val="35"/>
      </w:pPr>
      <w:bookmarkStart w:id="84" w:name="_Toc84"/>
      <w:r>
        <w:t xml:space="preserve"> 未分配利润 </w:t>
      </w:r>
      <w:bookmarkEnd w:id="84"/>
    </w:p>
    <w:p w14:paraId="4734E7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74C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89B2FDE">
            <w:pPr>
              <w:jc w:val="center"/>
            </w:pPr>
            <w:r>
              <w:rPr>
                <w:rFonts w:hint="eastAsia"/>
                <w:b/>
              </w:rPr>
              <w:t>南方创业板人工智能ETF联接A</w:t>
            </w:r>
          </w:p>
        </w:tc>
      </w:tr>
      <w:tr w14:paraId="5B44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7F942E8">
            <w:pPr>
              <w:jc w:val="center"/>
            </w:pPr>
            <w:r>
              <w:rPr>
                <w:rFonts w:hint="eastAsia"/>
                <w:b/>
              </w:rPr>
              <w:t>项目</w:t>
            </w:r>
          </w:p>
        </w:tc>
        <w:tc>
          <w:tcPr>
            <w:tcW w:w="2076" w:type="dxa"/>
            <w:shd w:val="clear" w:color="auto" w:fill="BFBFBF"/>
            <w:vAlign w:val="center"/>
          </w:tcPr>
          <w:p w14:paraId="52B21463">
            <w:pPr>
              <w:jc w:val="center"/>
            </w:pPr>
            <w:r>
              <w:rPr>
                <w:rFonts w:hint="eastAsia"/>
                <w:b/>
              </w:rPr>
              <w:t>已实现部分</w:t>
            </w:r>
          </w:p>
        </w:tc>
        <w:tc>
          <w:tcPr>
            <w:tcW w:w="2076" w:type="dxa"/>
            <w:shd w:val="clear" w:color="auto" w:fill="BFBFBF"/>
            <w:vAlign w:val="center"/>
          </w:tcPr>
          <w:p w14:paraId="01A9CCC7">
            <w:pPr>
              <w:jc w:val="center"/>
            </w:pPr>
            <w:r>
              <w:rPr>
                <w:rFonts w:hint="eastAsia"/>
                <w:b/>
              </w:rPr>
              <w:t>未实现部分</w:t>
            </w:r>
          </w:p>
        </w:tc>
        <w:tc>
          <w:tcPr>
            <w:tcW w:w="2076" w:type="dxa"/>
            <w:shd w:val="clear" w:color="auto" w:fill="BFBFBF"/>
            <w:vAlign w:val="center"/>
          </w:tcPr>
          <w:p w14:paraId="5B43A7CB">
            <w:pPr>
              <w:jc w:val="center"/>
            </w:pPr>
            <w:r>
              <w:rPr>
                <w:rFonts w:hint="eastAsia"/>
                <w:b/>
              </w:rPr>
              <w:t>未分配利润合计</w:t>
            </w:r>
          </w:p>
        </w:tc>
      </w:tr>
      <w:tr w14:paraId="65B3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015D9C">
            <w:r>
              <w:rPr>
                <w:rFonts w:hint="eastAsia"/>
              </w:rPr>
              <w:t>基金合同生效日</w:t>
            </w:r>
          </w:p>
        </w:tc>
        <w:tc>
          <w:tcPr>
            <w:tcW w:w="2076" w:type="dxa"/>
            <w:vAlign w:val="center"/>
          </w:tcPr>
          <w:p w14:paraId="611CD53F">
            <w:pPr>
              <w:jc w:val="right"/>
            </w:pPr>
            <w:r>
              <w:rPr>
                <w:rFonts w:hint="eastAsia"/>
              </w:rPr>
              <w:t>-</w:t>
            </w:r>
          </w:p>
        </w:tc>
        <w:tc>
          <w:tcPr>
            <w:tcW w:w="2076" w:type="dxa"/>
            <w:vAlign w:val="center"/>
          </w:tcPr>
          <w:p w14:paraId="3E2EDD6B">
            <w:pPr>
              <w:jc w:val="right"/>
            </w:pPr>
            <w:r>
              <w:rPr>
                <w:rFonts w:hint="eastAsia"/>
              </w:rPr>
              <w:t>-</w:t>
            </w:r>
          </w:p>
        </w:tc>
        <w:tc>
          <w:tcPr>
            <w:tcW w:w="2076" w:type="dxa"/>
            <w:vAlign w:val="center"/>
          </w:tcPr>
          <w:p w14:paraId="7986D4D4">
            <w:pPr>
              <w:jc w:val="right"/>
            </w:pPr>
            <w:r>
              <w:rPr>
                <w:rFonts w:hint="eastAsia"/>
              </w:rPr>
              <w:t>-</w:t>
            </w:r>
          </w:p>
        </w:tc>
      </w:tr>
      <w:tr w14:paraId="038D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C95608">
            <w:r>
              <w:rPr>
                <w:rFonts w:hint="eastAsia"/>
              </w:rPr>
              <w:t>加：会计政策变更</w:t>
            </w:r>
          </w:p>
        </w:tc>
        <w:tc>
          <w:tcPr>
            <w:tcW w:w="2076" w:type="dxa"/>
            <w:vAlign w:val="center"/>
          </w:tcPr>
          <w:p w14:paraId="3488BF83">
            <w:pPr>
              <w:jc w:val="right"/>
            </w:pPr>
            <w:r>
              <w:rPr>
                <w:rFonts w:hint="eastAsia"/>
              </w:rPr>
              <w:t>-</w:t>
            </w:r>
          </w:p>
        </w:tc>
        <w:tc>
          <w:tcPr>
            <w:tcW w:w="2076" w:type="dxa"/>
            <w:vAlign w:val="center"/>
          </w:tcPr>
          <w:p w14:paraId="517A5B0A">
            <w:pPr>
              <w:jc w:val="right"/>
            </w:pPr>
            <w:r>
              <w:rPr>
                <w:rFonts w:hint="eastAsia"/>
              </w:rPr>
              <w:t>-</w:t>
            </w:r>
          </w:p>
        </w:tc>
        <w:tc>
          <w:tcPr>
            <w:tcW w:w="2076" w:type="dxa"/>
            <w:vAlign w:val="center"/>
          </w:tcPr>
          <w:p w14:paraId="7D2BF88B">
            <w:pPr>
              <w:jc w:val="right"/>
            </w:pPr>
            <w:r>
              <w:rPr>
                <w:rFonts w:hint="eastAsia"/>
              </w:rPr>
              <w:t>-</w:t>
            </w:r>
          </w:p>
        </w:tc>
      </w:tr>
      <w:tr w14:paraId="6CCE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E6D5CC">
            <w:r>
              <w:rPr>
                <w:rFonts w:hint="eastAsia"/>
              </w:rPr>
              <w:t xml:space="preserve">      前期差错更正</w:t>
            </w:r>
          </w:p>
        </w:tc>
        <w:tc>
          <w:tcPr>
            <w:tcW w:w="2076" w:type="dxa"/>
            <w:vAlign w:val="center"/>
          </w:tcPr>
          <w:p w14:paraId="788424B4">
            <w:pPr>
              <w:jc w:val="right"/>
            </w:pPr>
            <w:r>
              <w:rPr>
                <w:rFonts w:hint="eastAsia"/>
              </w:rPr>
              <w:t>-</w:t>
            </w:r>
          </w:p>
        </w:tc>
        <w:tc>
          <w:tcPr>
            <w:tcW w:w="2076" w:type="dxa"/>
            <w:vAlign w:val="center"/>
          </w:tcPr>
          <w:p w14:paraId="2522BFA4">
            <w:pPr>
              <w:jc w:val="right"/>
            </w:pPr>
            <w:r>
              <w:rPr>
                <w:rFonts w:hint="eastAsia"/>
              </w:rPr>
              <w:t>-</w:t>
            </w:r>
          </w:p>
        </w:tc>
        <w:tc>
          <w:tcPr>
            <w:tcW w:w="2076" w:type="dxa"/>
            <w:vAlign w:val="center"/>
          </w:tcPr>
          <w:p w14:paraId="793FFBEC">
            <w:pPr>
              <w:jc w:val="right"/>
            </w:pPr>
            <w:r>
              <w:rPr>
                <w:rFonts w:hint="eastAsia"/>
              </w:rPr>
              <w:t>-</w:t>
            </w:r>
          </w:p>
        </w:tc>
      </w:tr>
      <w:tr w14:paraId="3359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9E0220">
            <w:r>
              <w:rPr>
                <w:rFonts w:hint="eastAsia"/>
              </w:rPr>
              <w:t xml:space="preserve">      其他</w:t>
            </w:r>
          </w:p>
        </w:tc>
        <w:tc>
          <w:tcPr>
            <w:tcW w:w="2076" w:type="dxa"/>
            <w:vAlign w:val="center"/>
          </w:tcPr>
          <w:p w14:paraId="4702DB2F">
            <w:pPr>
              <w:jc w:val="right"/>
            </w:pPr>
            <w:r>
              <w:rPr>
                <w:rFonts w:hint="eastAsia"/>
              </w:rPr>
              <w:t>-</w:t>
            </w:r>
          </w:p>
        </w:tc>
        <w:tc>
          <w:tcPr>
            <w:tcW w:w="2076" w:type="dxa"/>
            <w:vAlign w:val="center"/>
          </w:tcPr>
          <w:p w14:paraId="4EF43DAC">
            <w:pPr>
              <w:jc w:val="right"/>
            </w:pPr>
            <w:r>
              <w:rPr>
                <w:rFonts w:hint="eastAsia"/>
              </w:rPr>
              <w:t>-</w:t>
            </w:r>
          </w:p>
        </w:tc>
        <w:tc>
          <w:tcPr>
            <w:tcW w:w="2076" w:type="dxa"/>
            <w:vAlign w:val="center"/>
          </w:tcPr>
          <w:p w14:paraId="26A86C7A">
            <w:pPr>
              <w:jc w:val="right"/>
            </w:pPr>
            <w:r>
              <w:rPr>
                <w:rFonts w:hint="eastAsia"/>
              </w:rPr>
              <w:t>-</w:t>
            </w:r>
          </w:p>
        </w:tc>
      </w:tr>
      <w:tr w14:paraId="1090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A08998">
            <w:r>
              <w:rPr>
                <w:rFonts w:hint="eastAsia"/>
              </w:rPr>
              <w:t>本期期初</w:t>
            </w:r>
          </w:p>
        </w:tc>
        <w:tc>
          <w:tcPr>
            <w:tcW w:w="2076" w:type="dxa"/>
            <w:vAlign w:val="center"/>
          </w:tcPr>
          <w:p w14:paraId="4D2130C6">
            <w:pPr>
              <w:jc w:val="right"/>
            </w:pPr>
            <w:r>
              <w:rPr>
                <w:rFonts w:hint="eastAsia"/>
              </w:rPr>
              <w:t>-</w:t>
            </w:r>
          </w:p>
        </w:tc>
        <w:tc>
          <w:tcPr>
            <w:tcW w:w="2076" w:type="dxa"/>
            <w:vAlign w:val="center"/>
          </w:tcPr>
          <w:p w14:paraId="16F16CAF">
            <w:pPr>
              <w:jc w:val="right"/>
            </w:pPr>
            <w:r>
              <w:rPr>
                <w:rFonts w:hint="eastAsia"/>
              </w:rPr>
              <w:t>-</w:t>
            </w:r>
          </w:p>
        </w:tc>
        <w:tc>
          <w:tcPr>
            <w:tcW w:w="2076" w:type="dxa"/>
            <w:vAlign w:val="center"/>
          </w:tcPr>
          <w:p w14:paraId="6F9A4035">
            <w:pPr>
              <w:jc w:val="right"/>
            </w:pPr>
            <w:r>
              <w:rPr>
                <w:rFonts w:hint="eastAsia"/>
              </w:rPr>
              <w:t>-</w:t>
            </w:r>
          </w:p>
        </w:tc>
      </w:tr>
      <w:tr w14:paraId="7CB8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153E4F">
            <w:r>
              <w:rPr>
                <w:rFonts w:hint="eastAsia"/>
              </w:rPr>
              <w:t>本期利润</w:t>
            </w:r>
          </w:p>
        </w:tc>
        <w:tc>
          <w:tcPr>
            <w:tcW w:w="2076" w:type="dxa"/>
            <w:vAlign w:val="center"/>
          </w:tcPr>
          <w:p w14:paraId="5DA4C5F8">
            <w:pPr>
              <w:jc w:val="right"/>
            </w:pPr>
            <w:r>
              <w:rPr>
                <w:rFonts w:hint="eastAsia"/>
              </w:rPr>
              <w:t>150,489,415.99</w:t>
            </w:r>
          </w:p>
        </w:tc>
        <w:tc>
          <w:tcPr>
            <w:tcW w:w="2076" w:type="dxa"/>
            <w:vAlign w:val="center"/>
          </w:tcPr>
          <w:p w14:paraId="6225B874">
            <w:pPr>
              <w:jc w:val="right"/>
            </w:pPr>
            <w:r>
              <w:rPr>
                <w:rFonts w:hint="eastAsia"/>
              </w:rPr>
              <w:t>173,810,830.51</w:t>
            </w:r>
          </w:p>
        </w:tc>
        <w:tc>
          <w:tcPr>
            <w:tcW w:w="2076" w:type="dxa"/>
            <w:vAlign w:val="center"/>
          </w:tcPr>
          <w:p w14:paraId="13A6B0B7">
            <w:pPr>
              <w:jc w:val="right"/>
            </w:pPr>
            <w:r>
              <w:rPr>
                <w:rFonts w:hint="eastAsia"/>
              </w:rPr>
              <w:t>324,300,246.50</w:t>
            </w:r>
          </w:p>
        </w:tc>
      </w:tr>
      <w:tr w14:paraId="19DB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9D2A98">
            <w:r>
              <w:rPr>
                <w:rFonts w:hint="eastAsia"/>
              </w:rPr>
              <w:t>本期基金份额交易产生的变动数</w:t>
            </w:r>
          </w:p>
        </w:tc>
        <w:tc>
          <w:tcPr>
            <w:tcW w:w="2076" w:type="dxa"/>
            <w:vAlign w:val="center"/>
          </w:tcPr>
          <w:p w14:paraId="1C3E99E8">
            <w:pPr>
              <w:jc w:val="right"/>
            </w:pPr>
            <w:r>
              <w:rPr>
                <w:rFonts w:hint="eastAsia"/>
              </w:rPr>
              <w:t>-57,211,652.52</w:t>
            </w:r>
          </w:p>
        </w:tc>
        <w:tc>
          <w:tcPr>
            <w:tcW w:w="2076" w:type="dxa"/>
            <w:vAlign w:val="center"/>
          </w:tcPr>
          <w:p w14:paraId="434A84EC">
            <w:pPr>
              <w:jc w:val="right"/>
            </w:pPr>
            <w:r>
              <w:rPr>
                <w:rFonts w:hint="eastAsia"/>
              </w:rPr>
              <w:t>-118,560,894.19</w:t>
            </w:r>
          </w:p>
        </w:tc>
        <w:tc>
          <w:tcPr>
            <w:tcW w:w="2076" w:type="dxa"/>
            <w:vAlign w:val="center"/>
          </w:tcPr>
          <w:p w14:paraId="4A0EDA1B">
            <w:pPr>
              <w:jc w:val="right"/>
            </w:pPr>
            <w:r>
              <w:rPr>
                <w:rFonts w:hint="eastAsia"/>
              </w:rPr>
              <w:t>-175,772,546.71</w:t>
            </w:r>
          </w:p>
        </w:tc>
      </w:tr>
      <w:tr w14:paraId="1D7D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FA8330">
            <w:r>
              <w:rPr>
                <w:rFonts w:hint="eastAsia"/>
              </w:rPr>
              <w:t>其中：基金申购款</w:t>
            </w:r>
          </w:p>
        </w:tc>
        <w:tc>
          <w:tcPr>
            <w:tcW w:w="2076" w:type="dxa"/>
            <w:vAlign w:val="center"/>
          </w:tcPr>
          <w:p w14:paraId="1E5BB02D">
            <w:pPr>
              <w:jc w:val="right"/>
            </w:pPr>
            <w:r>
              <w:rPr>
                <w:rFonts w:hint="eastAsia"/>
              </w:rPr>
              <w:t>14,446,168.11</w:t>
            </w:r>
          </w:p>
        </w:tc>
        <w:tc>
          <w:tcPr>
            <w:tcW w:w="2076" w:type="dxa"/>
            <w:vAlign w:val="center"/>
          </w:tcPr>
          <w:p w14:paraId="408AB1C0">
            <w:pPr>
              <w:jc w:val="right"/>
            </w:pPr>
            <w:r>
              <w:rPr>
                <w:rFonts w:hint="eastAsia"/>
              </w:rPr>
              <w:t>12,518,194.01</w:t>
            </w:r>
          </w:p>
        </w:tc>
        <w:tc>
          <w:tcPr>
            <w:tcW w:w="2076" w:type="dxa"/>
            <w:vAlign w:val="center"/>
          </w:tcPr>
          <w:p w14:paraId="6ACF2A5A">
            <w:pPr>
              <w:jc w:val="right"/>
            </w:pPr>
            <w:r>
              <w:rPr>
                <w:rFonts w:hint="eastAsia"/>
              </w:rPr>
              <w:t>26,964,362.12</w:t>
            </w:r>
          </w:p>
        </w:tc>
      </w:tr>
      <w:tr w14:paraId="5B8F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1703D7">
            <w:r>
              <w:rPr>
                <w:rFonts w:hint="eastAsia"/>
              </w:rPr>
              <w:t xml:space="preserve">      基金赎回款</w:t>
            </w:r>
          </w:p>
        </w:tc>
        <w:tc>
          <w:tcPr>
            <w:tcW w:w="2076" w:type="dxa"/>
            <w:vAlign w:val="center"/>
          </w:tcPr>
          <w:p w14:paraId="64C91773">
            <w:pPr>
              <w:jc w:val="right"/>
            </w:pPr>
            <w:r>
              <w:rPr>
                <w:rFonts w:hint="eastAsia"/>
              </w:rPr>
              <w:t>-71,657,820.63</w:t>
            </w:r>
          </w:p>
        </w:tc>
        <w:tc>
          <w:tcPr>
            <w:tcW w:w="2076" w:type="dxa"/>
            <w:vAlign w:val="center"/>
          </w:tcPr>
          <w:p w14:paraId="74DA1B7C">
            <w:pPr>
              <w:jc w:val="right"/>
            </w:pPr>
            <w:r>
              <w:rPr>
                <w:rFonts w:hint="eastAsia"/>
              </w:rPr>
              <w:t>-131,079,088.20</w:t>
            </w:r>
          </w:p>
        </w:tc>
        <w:tc>
          <w:tcPr>
            <w:tcW w:w="2076" w:type="dxa"/>
            <w:vAlign w:val="center"/>
          </w:tcPr>
          <w:p w14:paraId="259FBD88">
            <w:pPr>
              <w:jc w:val="right"/>
            </w:pPr>
            <w:r>
              <w:rPr>
                <w:rFonts w:hint="eastAsia"/>
              </w:rPr>
              <w:t>-202,736,908.83</w:t>
            </w:r>
          </w:p>
        </w:tc>
      </w:tr>
      <w:tr w14:paraId="4B97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AF15C9">
            <w:r>
              <w:rPr>
                <w:rFonts w:hint="eastAsia"/>
              </w:rPr>
              <w:t>本期已分配利润</w:t>
            </w:r>
          </w:p>
        </w:tc>
        <w:tc>
          <w:tcPr>
            <w:tcW w:w="2076" w:type="dxa"/>
            <w:vAlign w:val="center"/>
          </w:tcPr>
          <w:p w14:paraId="3B32DC8C">
            <w:pPr>
              <w:jc w:val="right"/>
            </w:pPr>
            <w:r>
              <w:rPr>
                <w:rFonts w:hint="eastAsia"/>
              </w:rPr>
              <w:t>-</w:t>
            </w:r>
          </w:p>
        </w:tc>
        <w:tc>
          <w:tcPr>
            <w:tcW w:w="2076" w:type="dxa"/>
            <w:vAlign w:val="center"/>
          </w:tcPr>
          <w:p w14:paraId="6FDF2921">
            <w:pPr>
              <w:jc w:val="right"/>
            </w:pPr>
            <w:r>
              <w:rPr>
                <w:rFonts w:hint="eastAsia"/>
              </w:rPr>
              <w:t>-</w:t>
            </w:r>
          </w:p>
        </w:tc>
        <w:tc>
          <w:tcPr>
            <w:tcW w:w="2076" w:type="dxa"/>
            <w:vAlign w:val="center"/>
          </w:tcPr>
          <w:p w14:paraId="0AA90B86">
            <w:pPr>
              <w:jc w:val="right"/>
            </w:pPr>
            <w:r>
              <w:rPr>
                <w:rFonts w:hint="eastAsia"/>
              </w:rPr>
              <w:t>-</w:t>
            </w:r>
          </w:p>
        </w:tc>
      </w:tr>
      <w:tr w14:paraId="21DB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E5DD30">
            <w:r>
              <w:rPr>
                <w:rFonts w:hint="eastAsia"/>
              </w:rPr>
              <w:t>本期末</w:t>
            </w:r>
          </w:p>
        </w:tc>
        <w:tc>
          <w:tcPr>
            <w:tcW w:w="2076" w:type="dxa"/>
            <w:vAlign w:val="center"/>
          </w:tcPr>
          <w:p w14:paraId="50AE5493">
            <w:pPr>
              <w:jc w:val="right"/>
            </w:pPr>
            <w:r>
              <w:rPr>
                <w:rFonts w:hint="eastAsia"/>
              </w:rPr>
              <w:t>93,277,763.47</w:t>
            </w:r>
          </w:p>
        </w:tc>
        <w:tc>
          <w:tcPr>
            <w:tcW w:w="2076" w:type="dxa"/>
            <w:vAlign w:val="center"/>
          </w:tcPr>
          <w:p w14:paraId="40245632">
            <w:pPr>
              <w:jc w:val="right"/>
            </w:pPr>
            <w:r>
              <w:rPr>
                <w:rFonts w:hint="eastAsia"/>
              </w:rPr>
              <w:t>55,249,936.32</w:t>
            </w:r>
          </w:p>
        </w:tc>
        <w:tc>
          <w:tcPr>
            <w:tcW w:w="2076" w:type="dxa"/>
            <w:vAlign w:val="center"/>
          </w:tcPr>
          <w:p w14:paraId="01D85F5F">
            <w:pPr>
              <w:jc w:val="right"/>
            </w:pPr>
            <w:r>
              <w:rPr>
                <w:rFonts w:hint="eastAsia"/>
              </w:rPr>
              <w:t>148,527,699.79</w:t>
            </w:r>
          </w:p>
        </w:tc>
      </w:tr>
    </w:tbl>
    <w:p w14:paraId="2D46115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2B7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90E99D2">
            <w:pPr>
              <w:jc w:val="center"/>
            </w:pPr>
            <w:r>
              <w:rPr>
                <w:rFonts w:hint="eastAsia"/>
                <w:b/>
              </w:rPr>
              <w:t>南方创业板人工智能ETF联接C</w:t>
            </w:r>
          </w:p>
        </w:tc>
      </w:tr>
      <w:tr w14:paraId="3EC8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C1F8700">
            <w:pPr>
              <w:jc w:val="center"/>
            </w:pPr>
            <w:r>
              <w:rPr>
                <w:rFonts w:hint="eastAsia"/>
                <w:b/>
              </w:rPr>
              <w:t>项目</w:t>
            </w:r>
          </w:p>
        </w:tc>
        <w:tc>
          <w:tcPr>
            <w:tcW w:w="2076" w:type="dxa"/>
            <w:shd w:val="clear" w:color="auto" w:fill="BFBFBF"/>
            <w:vAlign w:val="center"/>
          </w:tcPr>
          <w:p w14:paraId="3DF31E22">
            <w:pPr>
              <w:jc w:val="center"/>
            </w:pPr>
            <w:r>
              <w:rPr>
                <w:rFonts w:hint="eastAsia"/>
                <w:b/>
              </w:rPr>
              <w:t>已实现部分</w:t>
            </w:r>
          </w:p>
        </w:tc>
        <w:tc>
          <w:tcPr>
            <w:tcW w:w="2076" w:type="dxa"/>
            <w:shd w:val="clear" w:color="auto" w:fill="BFBFBF"/>
            <w:vAlign w:val="center"/>
          </w:tcPr>
          <w:p w14:paraId="2E53C6EB">
            <w:pPr>
              <w:jc w:val="center"/>
            </w:pPr>
            <w:r>
              <w:rPr>
                <w:rFonts w:hint="eastAsia"/>
                <w:b/>
              </w:rPr>
              <w:t>未实现部分</w:t>
            </w:r>
          </w:p>
        </w:tc>
        <w:tc>
          <w:tcPr>
            <w:tcW w:w="2076" w:type="dxa"/>
            <w:shd w:val="clear" w:color="auto" w:fill="BFBFBF"/>
            <w:vAlign w:val="center"/>
          </w:tcPr>
          <w:p w14:paraId="5CB22DF6">
            <w:pPr>
              <w:jc w:val="center"/>
            </w:pPr>
            <w:r>
              <w:rPr>
                <w:rFonts w:hint="eastAsia"/>
                <w:b/>
              </w:rPr>
              <w:t>未分配利润合计</w:t>
            </w:r>
          </w:p>
        </w:tc>
      </w:tr>
      <w:tr w14:paraId="127D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D4C434">
            <w:r>
              <w:rPr>
                <w:rFonts w:hint="eastAsia"/>
              </w:rPr>
              <w:t>基金合同生效日</w:t>
            </w:r>
          </w:p>
        </w:tc>
        <w:tc>
          <w:tcPr>
            <w:tcW w:w="2076" w:type="dxa"/>
            <w:vAlign w:val="center"/>
          </w:tcPr>
          <w:p w14:paraId="23129802">
            <w:pPr>
              <w:jc w:val="right"/>
            </w:pPr>
            <w:r>
              <w:rPr>
                <w:rFonts w:hint="eastAsia"/>
              </w:rPr>
              <w:t>-</w:t>
            </w:r>
          </w:p>
        </w:tc>
        <w:tc>
          <w:tcPr>
            <w:tcW w:w="2076" w:type="dxa"/>
            <w:vAlign w:val="center"/>
          </w:tcPr>
          <w:p w14:paraId="5391F3D9">
            <w:pPr>
              <w:jc w:val="right"/>
            </w:pPr>
            <w:r>
              <w:rPr>
                <w:rFonts w:hint="eastAsia"/>
              </w:rPr>
              <w:t>-</w:t>
            </w:r>
          </w:p>
        </w:tc>
        <w:tc>
          <w:tcPr>
            <w:tcW w:w="2076" w:type="dxa"/>
            <w:vAlign w:val="center"/>
          </w:tcPr>
          <w:p w14:paraId="01DD187A">
            <w:pPr>
              <w:jc w:val="right"/>
            </w:pPr>
            <w:r>
              <w:rPr>
                <w:rFonts w:hint="eastAsia"/>
              </w:rPr>
              <w:t>-</w:t>
            </w:r>
          </w:p>
        </w:tc>
      </w:tr>
      <w:tr w14:paraId="3193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0E411A">
            <w:r>
              <w:rPr>
                <w:rFonts w:hint="eastAsia"/>
              </w:rPr>
              <w:t>加：会计政策变更</w:t>
            </w:r>
          </w:p>
        </w:tc>
        <w:tc>
          <w:tcPr>
            <w:tcW w:w="2076" w:type="dxa"/>
            <w:vAlign w:val="center"/>
          </w:tcPr>
          <w:p w14:paraId="6236F535">
            <w:pPr>
              <w:jc w:val="right"/>
            </w:pPr>
            <w:r>
              <w:rPr>
                <w:rFonts w:hint="eastAsia"/>
              </w:rPr>
              <w:t>-</w:t>
            </w:r>
          </w:p>
        </w:tc>
        <w:tc>
          <w:tcPr>
            <w:tcW w:w="2076" w:type="dxa"/>
            <w:vAlign w:val="center"/>
          </w:tcPr>
          <w:p w14:paraId="6F22FC37">
            <w:pPr>
              <w:jc w:val="right"/>
            </w:pPr>
            <w:r>
              <w:rPr>
                <w:rFonts w:hint="eastAsia"/>
              </w:rPr>
              <w:t>-</w:t>
            </w:r>
          </w:p>
        </w:tc>
        <w:tc>
          <w:tcPr>
            <w:tcW w:w="2076" w:type="dxa"/>
            <w:vAlign w:val="center"/>
          </w:tcPr>
          <w:p w14:paraId="6CF33DBB">
            <w:pPr>
              <w:jc w:val="right"/>
            </w:pPr>
            <w:r>
              <w:rPr>
                <w:rFonts w:hint="eastAsia"/>
              </w:rPr>
              <w:t>-</w:t>
            </w:r>
          </w:p>
        </w:tc>
      </w:tr>
      <w:tr w14:paraId="5380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D02386">
            <w:r>
              <w:rPr>
                <w:rFonts w:hint="eastAsia"/>
              </w:rPr>
              <w:t xml:space="preserve">      前期差错更正</w:t>
            </w:r>
          </w:p>
        </w:tc>
        <w:tc>
          <w:tcPr>
            <w:tcW w:w="2076" w:type="dxa"/>
            <w:vAlign w:val="center"/>
          </w:tcPr>
          <w:p w14:paraId="5E43A00C">
            <w:pPr>
              <w:jc w:val="right"/>
            </w:pPr>
            <w:r>
              <w:rPr>
                <w:rFonts w:hint="eastAsia"/>
              </w:rPr>
              <w:t>-</w:t>
            </w:r>
          </w:p>
        </w:tc>
        <w:tc>
          <w:tcPr>
            <w:tcW w:w="2076" w:type="dxa"/>
            <w:vAlign w:val="center"/>
          </w:tcPr>
          <w:p w14:paraId="67F992D4">
            <w:pPr>
              <w:jc w:val="right"/>
            </w:pPr>
            <w:r>
              <w:rPr>
                <w:rFonts w:hint="eastAsia"/>
              </w:rPr>
              <w:t>-</w:t>
            </w:r>
          </w:p>
        </w:tc>
        <w:tc>
          <w:tcPr>
            <w:tcW w:w="2076" w:type="dxa"/>
            <w:vAlign w:val="center"/>
          </w:tcPr>
          <w:p w14:paraId="127E86EF">
            <w:pPr>
              <w:jc w:val="right"/>
            </w:pPr>
            <w:r>
              <w:rPr>
                <w:rFonts w:hint="eastAsia"/>
              </w:rPr>
              <w:t>-</w:t>
            </w:r>
          </w:p>
        </w:tc>
      </w:tr>
      <w:tr w14:paraId="4EF4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09C057">
            <w:r>
              <w:rPr>
                <w:rFonts w:hint="eastAsia"/>
              </w:rPr>
              <w:t xml:space="preserve">      其他</w:t>
            </w:r>
          </w:p>
        </w:tc>
        <w:tc>
          <w:tcPr>
            <w:tcW w:w="2076" w:type="dxa"/>
            <w:vAlign w:val="center"/>
          </w:tcPr>
          <w:p w14:paraId="40CE3E71">
            <w:pPr>
              <w:jc w:val="right"/>
            </w:pPr>
            <w:r>
              <w:rPr>
                <w:rFonts w:hint="eastAsia"/>
              </w:rPr>
              <w:t>-</w:t>
            </w:r>
          </w:p>
        </w:tc>
        <w:tc>
          <w:tcPr>
            <w:tcW w:w="2076" w:type="dxa"/>
            <w:vAlign w:val="center"/>
          </w:tcPr>
          <w:p w14:paraId="3CACB14C">
            <w:pPr>
              <w:jc w:val="right"/>
            </w:pPr>
            <w:r>
              <w:rPr>
                <w:rFonts w:hint="eastAsia"/>
              </w:rPr>
              <w:t>-</w:t>
            </w:r>
          </w:p>
        </w:tc>
        <w:tc>
          <w:tcPr>
            <w:tcW w:w="2076" w:type="dxa"/>
            <w:vAlign w:val="center"/>
          </w:tcPr>
          <w:p w14:paraId="3C952CD7">
            <w:pPr>
              <w:jc w:val="right"/>
            </w:pPr>
            <w:r>
              <w:rPr>
                <w:rFonts w:hint="eastAsia"/>
              </w:rPr>
              <w:t>-</w:t>
            </w:r>
          </w:p>
        </w:tc>
      </w:tr>
      <w:tr w14:paraId="170E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53BD7E">
            <w:r>
              <w:rPr>
                <w:rFonts w:hint="eastAsia"/>
              </w:rPr>
              <w:t>本期期初</w:t>
            </w:r>
          </w:p>
        </w:tc>
        <w:tc>
          <w:tcPr>
            <w:tcW w:w="2076" w:type="dxa"/>
            <w:vAlign w:val="center"/>
          </w:tcPr>
          <w:p w14:paraId="37C3D800">
            <w:pPr>
              <w:jc w:val="right"/>
            </w:pPr>
            <w:r>
              <w:rPr>
                <w:rFonts w:hint="eastAsia"/>
              </w:rPr>
              <w:t>-</w:t>
            </w:r>
          </w:p>
        </w:tc>
        <w:tc>
          <w:tcPr>
            <w:tcW w:w="2076" w:type="dxa"/>
            <w:vAlign w:val="center"/>
          </w:tcPr>
          <w:p w14:paraId="5496BD14">
            <w:pPr>
              <w:jc w:val="right"/>
            </w:pPr>
            <w:r>
              <w:rPr>
                <w:rFonts w:hint="eastAsia"/>
              </w:rPr>
              <w:t>-</w:t>
            </w:r>
          </w:p>
        </w:tc>
        <w:tc>
          <w:tcPr>
            <w:tcW w:w="2076" w:type="dxa"/>
            <w:vAlign w:val="center"/>
          </w:tcPr>
          <w:p w14:paraId="6C8AD95A">
            <w:pPr>
              <w:jc w:val="right"/>
            </w:pPr>
            <w:r>
              <w:rPr>
                <w:rFonts w:hint="eastAsia"/>
              </w:rPr>
              <w:t>-</w:t>
            </w:r>
          </w:p>
        </w:tc>
      </w:tr>
      <w:tr w14:paraId="0AC6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3C57EB">
            <w:r>
              <w:rPr>
                <w:rFonts w:hint="eastAsia"/>
              </w:rPr>
              <w:t>本期利润</w:t>
            </w:r>
          </w:p>
        </w:tc>
        <w:tc>
          <w:tcPr>
            <w:tcW w:w="2076" w:type="dxa"/>
            <w:vAlign w:val="center"/>
          </w:tcPr>
          <w:p w14:paraId="2B9472CF">
            <w:pPr>
              <w:jc w:val="right"/>
            </w:pPr>
            <w:r>
              <w:rPr>
                <w:rFonts w:hint="eastAsia"/>
              </w:rPr>
              <w:t>58,110,175.08</w:t>
            </w:r>
          </w:p>
        </w:tc>
        <w:tc>
          <w:tcPr>
            <w:tcW w:w="2076" w:type="dxa"/>
            <w:vAlign w:val="center"/>
          </w:tcPr>
          <w:p w14:paraId="07ABF76E">
            <w:pPr>
              <w:jc w:val="right"/>
            </w:pPr>
            <w:r>
              <w:rPr>
                <w:rFonts w:hint="eastAsia"/>
              </w:rPr>
              <w:t>52,868,162.31</w:t>
            </w:r>
          </w:p>
        </w:tc>
        <w:tc>
          <w:tcPr>
            <w:tcW w:w="2076" w:type="dxa"/>
            <w:vAlign w:val="center"/>
          </w:tcPr>
          <w:p w14:paraId="4ABB8C43">
            <w:pPr>
              <w:jc w:val="right"/>
            </w:pPr>
            <w:r>
              <w:rPr>
                <w:rFonts w:hint="eastAsia"/>
              </w:rPr>
              <w:t>110,978,337.39</w:t>
            </w:r>
          </w:p>
        </w:tc>
      </w:tr>
      <w:tr w14:paraId="0EA9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95FF2D">
            <w:r>
              <w:rPr>
                <w:rFonts w:hint="eastAsia"/>
              </w:rPr>
              <w:t>本期基金份额交易产生的变动数</w:t>
            </w:r>
          </w:p>
        </w:tc>
        <w:tc>
          <w:tcPr>
            <w:tcW w:w="2076" w:type="dxa"/>
            <w:vAlign w:val="center"/>
          </w:tcPr>
          <w:p w14:paraId="1065A758">
            <w:pPr>
              <w:jc w:val="right"/>
            </w:pPr>
            <w:r>
              <w:rPr>
                <w:rFonts w:hint="eastAsia"/>
              </w:rPr>
              <w:t>-5,469,823.25</w:t>
            </w:r>
          </w:p>
        </w:tc>
        <w:tc>
          <w:tcPr>
            <w:tcW w:w="2076" w:type="dxa"/>
            <w:vAlign w:val="center"/>
          </w:tcPr>
          <w:p w14:paraId="6A860C27">
            <w:pPr>
              <w:jc w:val="right"/>
            </w:pPr>
            <w:r>
              <w:rPr>
                <w:rFonts w:hint="eastAsia"/>
              </w:rPr>
              <w:t>-21,529,176.53</w:t>
            </w:r>
          </w:p>
        </w:tc>
        <w:tc>
          <w:tcPr>
            <w:tcW w:w="2076" w:type="dxa"/>
            <w:vAlign w:val="center"/>
          </w:tcPr>
          <w:p w14:paraId="6FDF8126">
            <w:pPr>
              <w:jc w:val="right"/>
            </w:pPr>
            <w:r>
              <w:rPr>
                <w:rFonts w:hint="eastAsia"/>
              </w:rPr>
              <w:t>-26,998,999.78</w:t>
            </w:r>
          </w:p>
        </w:tc>
      </w:tr>
      <w:tr w14:paraId="73F3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7802F4">
            <w:r>
              <w:rPr>
                <w:rFonts w:hint="eastAsia"/>
              </w:rPr>
              <w:t>其中：基金申购款</w:t>
            </w:r>
          </w:p>
        </w:tc>
        <w:tc>
          <w:tcPr>
            <w:tcW w:w="2076" w:type="dxa"/>
            <w:vAlign w:val="center"/>
          </w:tcPr>
          <w:p w14:paraId="19F0E296">
            <w:pPr>
              <w:jc w:val="right"/>
            </w:pPr>
            <w:r>
              <w:rPr>
                <w:rFonts w:hint="eastAsia"/>
              </w:rPr>
              <w:t>22,177,680.22</w:t>
            </w:r>
          </w:p>
        </w:tc>
        <w:tc>
          <w:tcPr>
            <w:tcW w:w="2076" w:type="dxa"/>
            <w:vAlign w:val="center"/>
          </w:tcPr>
          <w:p w14:paraId="6290B45C">
            <w:pPr>
              <w:jc w:val="right"/>
            </w:pPr>
            <w:r>
              <w:rPr>
                <w:rFonts w:hint="eastAsia"/>
              </w:rPr>
              <w:t>19,342,940.18</w:t>
            </w:r>
          </w:p>
        </w:tc>
        <w:tc>
          <w:tcPr>
            <w:tcW w:w="2076" w:type="dxa"/>
            <w:vAlign w:val="center"/>
          </w:tcPr>
          <w:p w14:paraId="3A73465F">
            <w:pPr>
              <w:jc w:val="right"/>
            </w:pPr>
            <w:r>
              <w:rPr>
                <w:rFonts w:hint="eastAsia"/>
              </w:rPr>
              <w:t>41,520,620.40</w:t>
            </w:r>
          </w:p>
        </w:tc>
      </w:tr>
      <w:tr w14:paraId="016C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E1C1DB">
            <w:r>
              <w:rPr>
                <w:rFonts w:hint="eastAsia"/>
              </w:rPr>
              <w:t xml:space="preserve">      基金赎回款</w:t>
            </w:r>
          </w:p>
        </w:tc>
        <w:tc>
          <w:tcPr>
            <w:tcW w:w="2076" w:type="dxa"/>
            <w:vAlign w:val="center"/>
          </w:tcPr>
          <w:p w14:paraId="745CC255">
            <w:pPr>
              <w:jc w:val="right"/>
            </w:pPr>
            <w:r>
              <w:rPr>
                <w:rFonts w:hint="eastAsia"/>
              </w:rPr>
              <w:t>-27,647,503.47</w:t>
            </w:r>
          </w:p>
        </w:tc>
        <w:tc>
          <w:tcPr>
            <w:tcW w:w="2076" w:type="dxa"/>
            <w:vAlign w:val="center"/>
          </w:tcPr>
          <w:p w14:paraId="38B13520">
            <w:pPr>
              <w:jc w:val="right"/>
            </w:pPr>
            <w:r>
              <w:rPr>
                <w:rFonts w:hint="eastAsia"/>
              </w:rPr>
              <w:t>-40,872,116.71</w:t>
            </w:r>
          </w:p>
        </w:tc>
        <w:tc>
          <w:tcPr>
            <w:tcW w:w="2076" w:type="dxa"/>
            <w:vAlign w:val="center"/>
          </w:tcPr>
          <w:p w14:paraId="68B08197">
            <w:pPr>
              <w:jc w:val="right"/>
            </w:pPr>
            <w:r>
              <w:rPr>
                <w:rFonts w:hint="eastAsia"/>
              </w:rPr>
              <w:t>-68,519,620.18</w:t>
            </w:r>
          </w:p>
        </w:tc>
      </w:tr>
      <w:tr w14:paraId="0650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E2FF6A">
            <w:r>
              <w:rPr>
                <w:rFonts w:hint="eastAsia"/>
              </w:rPr>
              <w:t>本期已分配利润</w:t>
            </w:r>
          </w:p>
        </w:tc>
        <w:tc>
          <w:tcPr>
            <w:tcW w:w="2076" w:type="dxa"/>
            <w:vAlign w:val="center"/>
          </w:tcPr>
          <w:p w14:paraId="6F113257">
            <w:pPr>
              <w:jc w:val="right"/>
            </w:pPr>
            <w:r>
              <w:rPr>
                <w:rFonts w:hint="eastAsia"/>
              </w:rPr>
              <w:t>-</w:t>
            </w:r>
          </w:p>
        </w:tc>
        <w:tc>
          <w:tcPr>
            <w:tcW w:w="2076" w:type="dxa"/>
            <w:vAlign w:val="center"/>
          </w:tcPr>
          <w:p w14:paraId="50CF0770">
            <w:pPr>
              <w:jc w:val="right"/>
            </w:pPr>
            <w:r>
              <w:rPr>
                <w:rFonts w:hint="eastAsia"/>
              </w:rPr>
              <w:t>-</w:t>
            </w:r>
          </w:p>
        </w:tc>
        <w:tc>
          <w:tcPr>
            <w:tcW w:w="2076" w:type="dxa"/>
            <w:vAlign w:val="center"/>
          </w:tcPr>
          <w:p w14:paraId="01F0AF28">
            <w:pPr>
              <w:jc w:val="right"/>
            </w:pPr>
            <w:r>
              <w:rPr>
                <w:rFonts w:hint="eastAsia"/>
              </w:rPr>
              <w:t>-</w:t>
            </w:r>
          </w:p>
        </w:tc>
      </w:tr>
      <w:tr w14:paraId="1D19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4B5090">
            <w:r>
              <w:rPr>
                <w:rFonts w:hint="eastAsia"/>
              </w:rPr>
              <w:t>本期末</w:t>
            </w:r>
          </w:p>
        </w:tc>
        <w:tc>
          <w:tcPr>
            <w:tcW w:w="2076" w:type="dxa"/>
            <w:vAlign w:val="center"/>
          </w:tcPr>
          <w:p w14:paraId="3E404309">
            <w:pPr>
              <w:jc w:val="right"/>
            </w:pPr>
            <w:r>
              <w:rPr>
                <w:rFonts w:hint="eastAsia"/>
              </w:rPr>
              <w:t>52,640,351.83</w:t>
            </w:r>
          </w:p>
        </w:tc>
        <w:tc>
          <w:tcPr>
            <w:tcW w:w="2076" w:type="dxa"/>
            <w:vAlign w:val="center"/>
          </w:tcPr>
          <w:p w14:paraId="5A35A09C">
            <w:pPr>
              <w:jc w:val="right"/>
            </w:pPr>
            <w:r>
              <w:rPr>
                <w:rFonts w:hint="eastAsia"/>
              </w:rPr>
              <w:t>31,338,985.78</w:t>
            </w:r>
          </w:p>
        </w:tc>
        <w:tc>
          <w:tcPr>
            <w:tcW w:w="2076" w:type="dxa"/>
            <w:vAlign w:val="center"/>
          </w:tcPr>
          <w:p w14:paraId="18819329">
            <w:pPr>
              <w:jc w:val="right"/>
            </w:pPr>
            <w:r>
              <w:rPr>
                <w:rFonts w:hint="eastAsia"/>
              </w:rPr>
              <w:t>83,979,337.61</w:t>
            </w:r>
          </w:p>
        </w:tc>
      </w:tr>
    </w:tbl>
    <w:p w14:paraId="3930AA94">
      <w:pPr>
        <w:pStyle w:val="35"/>
      </w:pPr>
      <w:bookmarkStart w:id="85" w:name="_Toc85"/>
      <w:r>
        <w:t xml:space="preserve"> 存款利息收入</w:t>
      </w:r>
      <w:bookmarkEnd w:id="85"/>
    </w:p>
    <w:p w14:paraId="111117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2CFE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25C7FAE5">
            <w:pPr>
              <w:jc w:val="center"/>
            </w:pPr>
            <w:r>
              <w:rPr>
                <w:rFonts w:hint="eastAsia"/>
                <w:b/>
              </w:rPr>
              <w:t>项目</w:t>
            </w:r>
          </w:p>
        </w:tc>
        <w:tc>
          <w:tcPr>
            <w:tcW w:w="5814" w:type="dxa"/>
            <w:shd w:val="clear" w:color="auto" w:fill="BFBFBF"/>
            <w:vAlign w:val="center"/>
          </w:tcPr>
          <w:p w14:paraId="185B7116">
            <w:pPr>
              <w:jc w:val="center"/>
            </w:pPr>
            <w:r>
              <w:rPr>
                <w:rFonts w:hint="eastAsia"/>
                <w:b/>
              </w:rPr>
              <w:t>本期2025年10月30日（基金合同生效日）至2025年12月31日</w:t>
            </w:r>
          </w:p>
        </w:tc>
      </w:tr>
      <w:tr w14:paraId="678B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1CDC4CE">
            <w:r>
              <w:rPr>
                <w:rFonts w:hint="eastAsia"/>
              </w:rPr>
              <w:t>活期存款利息收入</w:t>
            </w:r>
          </w:p>
        </w:tc>
        <w:tc>
          <w:tcPr>
            <w:tcW w:w="5814" w:type="dxa"/>
            <w:vAlign w:val="center"/>
          </w:tcPr>
          <w:p w14:paraId="620E9359">
            <w:pPr>
              <w:jc w:val="right"/>
            </w:pPr>
            <w:r>
              <w:rPr>
                <w:rFonts w:hint="eastAsia"/>
              </w:rPr>
              <w:t>93,805.34</w:t>
            </w:r>
          </w:p>
        </w:tc>
      </w:tr>
      <w:tr w14:paraId="2F47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1A262C60">
            <w:r>
              <w:rPr>
                <w:rFonts w:hint="eastAsia"/>
              </w:rPr>
              <w:t>定期存款利息收入</w:t>
            </w:r>
          </w:p>
        </w:tc>
        <w:tc>
          <w:tcPr>
            <w:tcW w:w="5814" w:type="dxa"/>
            <w:vAlign w:val="center"/>
          </w:tcPr>
          <w:p w14:paraId="2E424214">
            <w:pPr>
              <w:jc w:val="right"/>
            </w:pPr>
            <w:r>
              <w:rPr>
                <w:rFonts w:hint="eastAsia"/>
              </w:rPr>
              <w:t>-</w:t>
            </w:r>
          </w:p>
        </w:tc>
      </w:tr>
      <w:tr w14:paraId="31D6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DFB2F7A">
            <w:r>
              <w:rPr>
                <w:rFonts w:hint="eastAsia"/>
              </w:rPr>
              <w:t>其他存款利息收入</w:t>
            </w:r>
          </w:p>
        </w:tc>
        <w:tc>
          <w:tcPr>
            <w:tcW w:w="5814" w:type="dxa"/>
            <w:vAlign w:val="center"/>
          </w:tcPr>
          <w:p w14:paraId="2A02783C">
            <w:pPr>
              <w:jc w:val="right"/>
            </w:pPr>
            <w:r>
              <w:rPr>
                <w:rFonts w:hint="eastAsia"/>
              </w:rPr>
              <w:t>19,324.10</w:t>
            </w:r>
          </w:p>
        </w:tc>
      </w:tr>
      <w:tr w14:paraId="44E4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B9A9F27">
            <w:r>
              <w:rPr>
                <w:rFonts w:hint="eastAsia"/>
              </w:rPr>
              <w:t>结算备付金利息收入</w:t>
            </w:r>
          </w:p>
        </w:tc>
        <w:tc>
          <w:tcPr>
            <w:tcW w:w="5814" w:type="dxa"/>
            <w:vAlign w:val="center"/>
          </w:tcPr>
          <w:p w14:paraId="5BD58816">
            <w:pPr>
              <w:jc w:val="right"/>
            </w:pPr>
            <w:r>
              <w:rPr>
                <w:rFonts w:hint="eastAsia"/>
              </w:rPr>
              <w:t>-</w:t>
            </w:r>
          </w:p>
        </w:tc>
      </w:tr>
      <w:tr w14:paraId="078D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6B4BFF30">
            <w:r>
              <w:rPr>
                <w:rFonts w:hint="eastAsia"/>
              </w:rPr>
              <w:t>其他</w:t>
            </w:r>
          </w:p>
        </w:tc>
        <w:tc>
          <w:tcPr>
            <w:tcW w:w="5814" w:type="dxa"/>
            <w:vAlign w:val="center"/>
          </w:tcPr>
          <w:p w14:paraId="054D98E6">
            <w:pPr>
              <w:jc w:val="right"/>
            </w:pPr>
            <w:r>
              <w:rPr>
                <w:rFonts w:hint="eastAsia"/>
              </w:rPr>
              <w:t>329.76</w:t>
            </w:r>
          </w:p>
        </w:tc>
      </w:tr>
      <w:tr w14:paraId="0846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A81B41A">
            <w:r>
              <w:rPr>
                <w:rFonts w:hint="eastAsia"/>
              </w:rPr>
              <w:t>合计</w:t>
            </w:r>
          </w:p>
        </w:tc>
        <w:tc>
          <w:tcPr>
            <w:tcW w:w="5814" w:type="dxa"/>
            <w:vAlign w:val="center"/>
          </w:tcPr>
          <w:p w14:paraId="7878A621">
            <w:pPr>
              <w:jc w:val="right"/>
            </w:pPr>
            <w:r>
              <w:rPr>
                <w:rFonts w:hint="eastAsia"/>
              </w:rPr>
              <w:t>113,459.20</w:t>
            </w:r>
          </w:p>
        </w:tc>
      </w:tr>
    </w:tbl>
    <w:p w14:paraId="67EB8E6E">
      <w:pPr>
        <w:pStyle w:val="47"/>
        <w:rPr>
          <w:rFonts w:hint="eastAsia"/>
        </w:rPr>
      </w:pPr>
      <w:r>
        <w:rPr>
          <w:rFonts w:hint="eastAsia"/>
        </w:rPr>
        <w:t>注：其他存款利息收入为存放在证券经纪商基金专用证券账户的证券交易结算资金产生的利息收入。</w:t>
      </w:r>
    </w:p>
    <w:p w14:paraId="64EB2C00">
      <w:pPr>
        <w:pStyle w:val="35"/>
      </w:pPr>
      <w:bookmarkStart w:id="86" w:name="_Toc86"/>
      <w:r>
        <w:t>股票投资收益</w:t>
      </w:r>
      <w:bookmarkEnd w:id="86"/>
    </w:p>
    <w:p w14:paraId="557951B1">
      <w:pPr>
        <w:pStyle w:val="36"/>
      </w:pPr>
      <w:bookmarkStart w:id="87" w:name="_Toc87"/>
      <w:r>
        <w:t>股票投资收益项目构成</w:t>
      </w:r>
      <w:bookmarkEnd w:id="87"/>
    </w:p>
    <w:p w14:paraId="120EA4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674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3FBB42B">
            <w:pPr>
              <w:jc w:val="center"/>
            </w:pPr>
            <w:r>
              <w:rPr>
                <w:rFonts w:hint="eastAsia"/>
                <w:b/>
              </w:rPr>
              <w:t>项目</w:t>
            </w:r>
          </w:p>
        </w:tc>
        <w:tc>
          <w:tcPr>
            <w:tcW w:w="4153" w:type="dxa"/>
            <w:shd w:val="clear" w:color="auto" w:fill="BFBFBF"/>
            <w:vAlign w:val="center"/>
          </w:tcPr>
          <w:p w14:paraId="208DE229">
            <w:pPr>
              <w:jc w:val="center"/>
            </w:pPr>
            <w:r>
              <w:rPr>
                <w:rFonts w:hint="eastAsia"/>
                <w:b/>
              </w:rPr>
              <w:t>本期2025年10月30日（基金合同生效日）至2025年12月31日</w:t>
            </w:r>
          </w:p>
        </w:tc>
      </w:tr>
      <w:tr w14:paraId="0421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8EF680">
            <w:r>
              <w:rPr>
                <w:rFonts w:hint="eastAsia"/>
              </w:rPr>
              <w:t>股票投资收益——买卖股票差价收入</w:t>
            </w:r>
          </w:p>
        </w:tc>
        <w:tc>
          <w:tcPr>
            <w:tcW w:w="4153" w:type="dxa"/>
            <w:vAlign w:val="center"/>
          </w:tcPr>
          <w:p w14:paraId="3C9576F8">
            <w:pPr>
              <w:jc w:val="right"/>
            </w:pPr>
            <w:r>
              <w:rPr>
                <w:rFonts w:hint="eastAsia"/>
              </w:rPr>
              <w:t>-308.19</w:t>
            </w:r>
          </w:p>
        </w:tc>
      </w:tr>
      <w:tr w14:paraId="4E32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E20924">
            <w:r>
              <w:rPr>
                <w:rFonts w:hint="eastAsia"/>
              </w:rPr>
              <w:t>股票投资收益——赎回差价收入</w:t>
            </w:r>
          </w:p>
        </w:tc>
        <w:tc>
          <w:tcPr>
            <w:tcW w:w="4153" w:type="dxa"/>
            <w:vAlign w:val="center"/>
          </w:tcPr>
          <w:p w14:paraId="3DC618C9">
            <w:pPr>
              <w:jc w:val="right"/>
            </w:pPr>
            <w:r>
              <w:rPr>
                <w:rFonts w:hint="eastAsia"/>
              </w:rPr>
              <w:t>-</w:t>
            </w:r>
          </w:p>
        </w:tc>
      </w:tr>
      <w:tr w14:paraId="1C776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41A952">
            <w:r>
              <w:rPr>
                <w:rFonts w:hint="eastAsia"/>
              </w:rPr>
              <w:t>股票投资收益——申购差价收入</w:t>
            </w:r>
          </w:p>
        </w:tc>
        <w:tc>
          <w:tcPr>
            <w:tcW w:w="4153" w:type="dxa"/>
            <w:vAlign w:val="center"/>
          </w:tcPr>
          <w:p w14:paraId="082BB7A7">
            <w:pPr>
              <w:jc w:val="right"/>
            </w:pPr>
            <w:r>
              <w:rPr>
                <w:rFonts w:hint="eastAsia"/>
              </w:rPr>
              <w:t>-19,908.91</w:t>
            </w:r>
          </w:p>
        </w:tc>
      </w:tr>
      <w:tr w14:paraId="2437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7658B5">
            <w:r>
              <w:rPr>
                <w:rFonts w:hint="eastAsia"/>
              </w:rPr>
              <w:t>股票投资收益——证券出借差价收入</w:t>
            </w:r>
          </w:p>
        </w:tc>
        <w:tc>
          <w:tcPr>
            <w:tcW w:w="4153" w:type="dxa"/>
            <w:vAlign w:val="center"/>
          </w:tcPr>
          <w:p w14:paraId="7DCAC1F0">
            <w:pPr>
              <w:jc w:val="right"/>
            </w:pPr>
            <w:r>
              <w:rPr>
                <w:rFonts w:hint="eastAsia"/>
              </w:rPr>
              <w:t>-</w:t>
            </w:r>
          </w:p>
        </w:tc>
      </w:tr>
      <w:tr w14:paraId="5BFA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363CA2">
            <w:r>
              <w:rPr>
                <w:rFonts w:hint="eastAsia"/>
              </w:rPr>
              <w:t>合计</w:t>
            </w:r>
          </w:p>
        </w:tc>
        <w:tc>
          <w:tcPr>
            <w:tcW w:w="4153" w:type="dxa"/>
            <w:vAlign w:val="center"/>
          </w:tcPr>
          <w:p w14:paraId="519A2DF5">
            <w:pPr>
              <w:jc w:val="right"/>
            </w:pPr>
            <w:r>
              <w:rPr>
                <w:rFonts w:hint="eastAsia"/>
              </w:rPr>
              <w:t>-20,217.10</w:t>
            </w:r>
          </w:p>
        </w:tc>
      </w:tr>
    </w:tbl>
    <w:p w14:paraId="4C4A3360">
      <w:pPr>
        <w:pStyle w:val="36"/>
      </w:pPr>
      <w:bookmarkStart w:id="88" w:name="_Toc88"/>
      <w:r>
        <w:t xml:space="preserve"> 股票投资收益——买卖股票差价收入</w:t>
      </w:r>
      <w:bookmarkEnd w:id="88"/>
    </w:p>
    <w:p w14:paraId="28E239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B5C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53A0B52">
            <w:pPr>
              <w:jc w:val="center"/>
            </w:pPr>
            <w:r>
              <w:rPr>
                <w:rFonts w:hint="eastAsia"/>
                <w:b/>
              </w:rPr>
              <w:t>项目</w:t>
            </w:r>
          </w:p>
        </w:tc>
        <w:tc>
          <w:tcPr>
            <w:tcW w:w="4153" w:type="dxa"/>
            <w:shd w:val="clear" w:color="auto" w:fill="BFBFBF"/>
            <w:vAlign w:val="center"/>
          </w:tcPr>
          <w:p w14:paraId="508FBD90">
            <w:pPr>
              <w:jc w:val="center"/>
            </w:pPr>
            <w:r>
              <w:rPr>
                <w:rFonts w:hint="eastAsia"/>
                <w:b/>
              </w:rPr>
              <w:t>本期2025年10月30日（基金合同生效日）至2025年12月31日</w:t>
            </w:r>
          </w:p>
        </w:tc>
      </w:tr>
      <w:tr w14:paraId="198A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AFEE8F">
            <w:r>
              <w:rPr>
                <w:rFonts w:hint="eastAsia"/>
              </w:rPr>
              <w:t>卖出股票成交总额</w:t>
            </w:r>
          </w:p>
        </w:tc>
        <w:tc>
          <w:tcPr>
            <w:tcW w:w="4153" w:type="dxa"/>
            <w:vAlign w:val="center"/>
          </w:tcPr>
          <w:p w14:paraId="1516B144">
            <w:pPr>
              <w:jc w:val="right"/>
            </w:pPr>
            <w:r>
              <w:rPr>
                <w:rFonts w:hint="eastAsia"/>
              </w:rPr>
              <w:t>-</w:t>
            </w:r>
          </w:p>
        </w:tc>
      </w:tr>
      <w:tr w14:paraId="47D0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6015A0">
            <w:r>
              <w:rPr>
                <w:rFonts w:hint="eastAsia"/>
              </w:rPr>
              <w:t>减：卖出股票成本总额</w:t>
            </w:r>
          </w:p>
        </w:tc>
        <w:tc>
          <w:tcPr>
            <w:tcW w:w="4153" w:type="dxa"/>
            <w:vAlign w:val="center"/>
          </w:tcPr>
          <w:p w14:paraId="35AA0770">
            <w:pPr>
              <w:jc w:val="right"/>
            </w:pPr>
            <w:r>
              <w:rPr>
                <w:rFonts w:hint="eastAsia"/>
              </w:rPr>
              <w:t>-</w:t>
            </w:r>
          </w:p>
        </w:tc>
      </w:tr>
      <w:tr w14:paraId="218F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739CE6">
            <w:r>
              <w:rPr>
                <w:rFonts w:hint="eastAsia"/>
              </w:rPr>
              <w:t>减：交易费用</w:t>
            </w:r>
          </w:p>
        </w:tc>
        <w:tc>
          <w:tcPr>
            <w:tcW w:w="4153" w:type="dxa"/>
            <w:vAlign w:val="center"/>
          </w:tcPr>
          <w:p w14:paraId="09433F9D">
            <w:pPr>
              <w:jc w:val="right"/>
            </w:pPr>
            <w:r>
              <w:rPr>
                <w:rFonts w:hint="eastAsia"/>
              </w:rPr>
              <w:t>308.19</w:t>
            </w:r>
          </w:p>
        </w:tc>
      </w:tr>
      <w:tr w14:paraId="6F8F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C619B0">
            <w:r>
              <w:rPr>
                <w:rFonts w:hint="eastAsia"/>
              </w:rPr>
              <w:t>买卖股票差价收入</w:t>
            </w:r>
          </w:p>
        </w:tc>
        <w:tc>
          <w:tcPr>
            <w:tcW w:w="4153" w:type="dxa"/>
            <w:vAlign w:val="center"/>
          </w:tcPr>
          <w:p w14:paraId="5CC50C35">
            <w:pPr>
              <w:jc w:val="right"/>
            </w:pPr>
            <w:r>
              <w:rPr>
                <w:rFonts w:hint="eastAsia"/>
              </w:rPr>
              <w:t>-308.19</w:t>
            </w:r>
          </w:p>
        </w:tc>
      </w:tr>
    </w:tbl>
    <w:p w14:paraId="58D428E8">
      <w:pPr>
        <w:pStyle w:val="47"/>
        <w:rPr>
          <w:rFonts w:hint="eastAsia"/>
        </w:rPr>
      </w:pPr>
      <w:r>
        <w:rPr>
          <w:rFonts w:hint="eastAsia"/>
        </w:rPr>
        <w:t>注：上述交易费用（如有）包含股票买卖产生的交易费用。</w:t>
      </w:r>
    </w:p>
    <w:p w14:paraId="4EEBBD92">
      <w:pPr>
        <w:pStyle w:val="36"/>
      </w:pPr>
      <w:bookmarkStart w:id="89" w:name="_Toc89"/>
      <w:r>
        <w:t>股票投资收益——申购差价收入</w:t>
      </w:r>
      <w:bookmarkEnd w:id="89"/>
    </w:p>
    <w:p w14:paraId="721011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615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CE42CA8">
            <w:pPr>
              <w:jc w:val="center"/>
            </w:pPr>
            <w:r>
              <w:rPr>
                <w:rFonts w:hint="eastAsia"/>
                <w:b/>
              </w:rPr>
              <w:t>项目</w:t>
            </w:r>
          </w:p>
        </w:tc>
        <w:tc>
          <w:tcPr>
            <w:tcW w:w="4153" w:type="dxa"/>
            <w:shd w:val="clear" w:color="auto" w:fill="BFBFBF"/>
            <w:vAlign w:val="center"/>
          </w:tcPr>
          <w:p w14:paraId="23CCB498">
            <w:pPr>
              <w:jc w:val="center"/>
            </w:pPr>
            <w:r>
              <w:rPr>
                <w:rFonts w:hint="eastAsia"/>
                <w:b/>
              </w:rPr>
              <w:t>本期2025年10月30日（基金合同生效日）至2025年12月31日</w:t>
            </w:r>
          </w:p>
        </w:tc>
      </w:tr>
      <w:tr w14:paraId="58B9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AF5A56">
            <w:r>
              <w:rPr>
                <w:rFonts w:hint="eastAsia"/>
              </w:rPr>
              <w:t>申购基金份额总额</w:t>
            </w:r>
          </w:p>
        </w:tc>
        <w:tc>
          <w:tcPr>
            <w:tcW w:w="4153" w:type="dxa"/>
            <w:vAlign w:val="center"/>
          </w:tcPr>
          <w:p w14:paraId="48C04443">
            <w:pPr>
              <w:jc w:val="right"/>
            </w:pPr>
            <w:r>
              <w:rPr>
                <w:rFonts w:hint="eastAsia"/>
              </w:rPr>
              <w:t>1,859,500.00</w:t>
            </w:r>
          </w:p>
        </w:tc>
      </w:tr>
      <w:tr w14:paraId="3EBD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012AC8">
            <w:r>
              <w:rPr>
                <w:rFonts w:hint="eastAsia"/>
              </w:rPr>
              <w:t>减：现金支付申购款总额</w:t>
            </w:r>
          </w:p>
        </w:tc>
        <w:tc>
          <w:tcPr>
            <w:tcW w:w="4153" w:type="dxa"/>
            <w:vAlign w:val="center"/>
          </w:tcPr>
          <w:p w14:paraId="1283F8F0">
            <w:pPr>
              <w:jc w:val="right"/>
            </w:pPr>
            <w:r>
              <w:rPr>
                <w:rFonts w:hint="eastAsia"/>
              </w:rPr>
              <w:t>217.91</w:t>
            </w:r>
          </w:p>
        </w:tc>
      </w:tr>
      <w:tr w14:paraId="1705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6D6499">
            <w:r>
              <w:rPr>
                <w:rFonts w:hint="eastAsia"/>
              </w:rPr>
              <w:t>减：申购股票成本总额</w:t>
            </w:r>
          </w:p>
        </w:tc>
        <w:tc>
          <w:tcPr>
            <w:tcW w:w="4153" w:type="dxa"/>
            <w:vAlign w:val="center"/>
          </w:tcPr>
          <w:p w14:paraId="0303AB64">
            <w:pPr>
              <w:jc w:val="right"/>
            </w:pPr>
            <w:r>
              <w:rPr>
                <w:rFonts w:hint="eastAsia"/>
              </w:rPr>
              <w:t>1,879,191.00</w:t>
            </w:r>
          </w:p>
        </w:tc>
      </w:tr>
      <w:tr w14:paraId="4864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52D3C1">
            <w:r>
              <w:rPr>
                <w:rFonts w:hint="eastAsia"/>
              </w:rPr>
              <w:t>减：交易费用</w:t>
            </w:r>
          </w:p>
        </w:tc>
        <w:tc>
          <w:tcPr>
            <w:tcW w:w="4153" w:type="dxa"/>
            <w:vAlign w:val="center"/>
          </w:tcPr>
          <w:p w14:paraId="18172F45">
            <w:pPr>
              <w:jc w:val="right"/>
            </w:pPr>
            <w:r>
              <w:rPr>
                <w:rFonts w:hint="eastAsia"/>
              </w:rPr>
              <w:t>-</w:t>
            </w:r>
          </w:p>
        </w:tc>
      </w:tr>
      <w:tr w14:paraId="0EBA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8FE94B">
            <w:r>
              <w:rPr>
                <w:rFonts w:hint="eastAsia"/>
              </w:rPr>
              <w:t>申购差价收入</w:t>
            </w:r>
          </w:p>
        </w:tc>
        <w:tc>
          <w:tcPr>
            <w:tcW w:w="4153" w:type="dxa"/>
            <w:vAlign w:val="center"/>
          </w:tcPr>
          <w:p w14:paraId="6C91C611">
            <w:pPr>
              <w:jc w:val="right"/>
            </w:pPr>
            <w:r>
              <w:rPr>
                <w:rFonts w:hint="eastAsia"/>
              </w:rPr>
              <w:t>-19,908.91</w:t>
            </w:r>
          </w:p>
        </w:tc>
      </w:tr>
    </w:tbl>
    <w:p w14:paraId="50D53FA3">
      <w:pPr>
        <w:pStyle w:val="35"/>
      </w:pPr>
      <w:bookmarkStart w:id="90" w:name="_Toc90"/>
      <w:r>
        <w:t>基金投资收益</w:t>
      </w:r>
      <w:bookmarkEnd w:id="90"/>
    </w:p>
    <w:p w14:paraId="40DDA0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522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A467798">
            <w:pPr>
              <w:jc w:val="center"/>
            </w:pPr>
            <w:r>
              <w:rPr>
                <w:rFonts w:hint="eastAsia"/>
                <w:b/>
              </w:rPr>
              <w:t>项目</w:t>
            </w:r>
          </w:p>
        </w:tc>
        <w:tc>
          <w:tcPr>
            <w:tcW w:w="4153" w:type="dxa"/>
            <w:shd w:val="clear" w:color="auto" w:fill="BFBFBF"/>
            <w:vAlign w:val="center"/>
          </w:tcPr>
          <w:p w14:paraId="40BE6EBF">
            <w:pPr>
              <w:jc w:val="center"/>
            </w:pPr>
            <w:r>
              <w:rPr>
                <w:rFonts w:hint="eastAsia"/>
                <w:b/>
              </w:rPr>
              <w:t>本期2025年10月30日（基金合同生效日）至2025年12月31日</w:t>
            </w:r>
          </w:p>
        </w:tc>
      </w:tr>
      <w:tr w14:paraId="7FFB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80213E">
            <w:r>
              <w:rPr>
                <w:rFonts w:hint="eastAsia"/>
              </w:rPr>
              <w:t>卖出/赎回基金成交总额</w:t>
            </w:r>
          </w:p>
        </w:tc>
        <w:tc>
          <w:tcPr>
            <w:tcW w:w="4153" w:type="dxa"/>
            <w:vAlign w:val="center"/>
          </w:tcPr>
          <w:p w14:paraId="12C4670F">
            <w:pPr>
              <w:jc w:val="right"/>
            </w:pPr>
            <w:r>
              <w:rPr>
                <w:rFonts w:hint="eastAsia"/>
              </w:rPr>
              <w:t>2,350,416,362.70</w:t>
            </w:r>
          </w:p>
        </w:tc>
      </w:tr>
      <w:tr w14:paraId="617F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805C3">
            <w:r>
              <w:rPr>
                <w:rFonts w:hint="eastAsia"/>
              </w:rPr>
              <w:t>减：卖出/赎回基金成本总额</w:t>
            </w:r>
          </w:p>
        </w:tc>
        <w:tc>
          <w:tcPr>
            <w:tcW w:w="4153" w:type="dxa"/>
            <w:vAlign w:val="center"/>
          </w:tcPr>
          <w:p w14:paraId="57EA9132">
            <w:pPr>
              <w:jc w:val="right"/>
            </w:pPr>
            <w:r>
              <w:rPr>
                <w:rFonts w:hint="eastAsia"/>
              </w:rPr>
              <w:t>2,135,292,216.92</w:t>
            </w:r>
          </w:p>
        </w:tc>
      </w:tr>
      <w:tr w14:paraId="1491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431315">
            <w:r>
              <w:rPr>
                <w:rFonts w:hint="eastAsia"/>
              </w:rPr>
              <w:t>减：买卖基金差价收入应缴纳增值税额</w:t>
            </w:r>
          </w:p>
        </w:tc>
        <w:tc>
          <w:tcPr>
            <w:tcW w:w="4153" w:type="dxa"/>
            <w:vAlign w:val="center"/>
          </w:tcPr>
          <w:p w14:paraId="73C6F4F6">
            <w:pPr>
              <w:jc w:val="right"/>
            </w:pPr>
            <w:r>
              <w:rPr>
                <w:rFonts w:hint="eastAsia"/>
              </w:rPr>
              <w:t>6,265,751.82</w:t>
            </w:r>
          </w:p>
        </w:tc>
      </w:tr>
      <w:tr w14:paraId="59B8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D8A963">
            <w:r>
              <w:rPr>
                <w:rFonts w:hint="eastAsia"/>
              </w:rPr>
              <w:t>减：交易费用</w:t>
            </w:r>
          </w:p>
        </w:tc>
        <w:tc>
          <w:tcPr>
            <w:tcW w:w="4153" w:type="dxa"/>
            <w:vAlign w:val="center"/>
          </w:tcPr>
          <w:p w14:paraId="65A24D2C">
            <w:pPr>
              <w:jc w:val="right"/>
            </w:pPr>
            <w:r>
              <w:rPr>
                <w:rFonts w:hint="eastAsia"/>
              </w:rPr>
              <w:t>230,725.36</w:t>
            </w:r>
          </w:p>
        </w:tc>
      </w:tr>
      <w:tr w14:paraId="4F3E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FD9355">
            <w:r>
              <w:rPr>
                <w:rFonts w:hint="eastAsia"/>
              </w:rPr>
              <w:t>基金投资收益</w:t>
            </w:r>
          </w:p>
        </w:tc>
        <w:tc>
          <w:tcPr>
            <w:tcW w:w="4153" w:type="dxa"/>
            <w:vAlign w:val="center"/>
          </w:tcPr>
          <w:p w14:paraId="0D0CEC63">
            <w:pPr>
              <w:jc w:val="right"/>
            </w:pPr>
            <w:r>
              <w:rPr>
                <w:rFonts w:hint="eastAsia"/>
              </w:rPr>
              <w:t>208,627,668.60</w:t>
            </w:r>
          </w:p>
        </w:tc>
      </w:tr>
    </w:tbl>
    <w:p w14:paraId="4D5C36C6">
      <w:pPr>
        <w:pStyle w:val="47"/>
        <w:rPr>
          <w:rFonts w:hint="eastAsia"/>
        </w:rPr>
      </w:pPr>
      <w:r>
        <w:rPr>
          <w:rFonts w:hint="eastAsia"/>
        </w:rPr>
        <w:t>注：上述交易费用（如有）包含基金买卖或申赎产生的交易费用。</w:t>
      </w:r>
    </w:p>
    <w:p w14:paraId="1B06050C">
      <w:pPr>
        <w:pStyle w:val="35"/>
      </w:pPr>
      <w:bookmarkStart w:id="91" w:name="_Toc91"/>
      <w:r>
        <w:t>债券投资收益</w:t>
      </w:r>
      <w:bookmarkEnd w:id="91"/>
    </w:p>
    <w:p w14:paraId="6772B67A">
      <w:pPr>
        <w:pStyle w:val="36"/>
      </w:pPr>
      <w:bookmarkStart w:id="92" w:name="_Toc92"/>
      <w:r>
        <w:t>债券投资收益项目构成</w:t>
      </w:r>
      <w:bookmarkEnd w:id="92"/>
    </w:p>
    <w:p w14:paraId="7C1E24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946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8BB3456">
            <w:pPr>
              <w:jc w:val="center"/>
            </w:pPr>
            <w:r>
              <w:rPr>
                <w:rFonts w:hint="eastAsia"/>
                <w:b/>
              </w:rPr>
              <w:t>项目</w:t>
            </w:r>
          </w:p>
        </w:tc>
        <w:tc>
          <w:tcPr>
            <w:tcW w:w="4153" w:type="dxa"/>
            <w:shd w:val="clear" w:color="auto" w:fill="BFBFBF"/>
            <w:vAlign w:val="center"/>
          </w:tcPr>
          <w:p w14:paraId="344F0F29">
            <w:pPr>
              <w:jc w:val="center"/>
            </w:pPr>
            <w:r>
              <w:rPr>
                <w:rFonts w:hint="eastAsia"/>
                <w:b/>
              </w:rPr>
              <w:t>本期2025年10月30日（基金合同生效日）至2025年12月31日</w:t>
            </w:r>
          </w:p>
        </w:tc>
      </w:tr>
      <w:tr w14:paraId="0829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08D85A">
            <w:r>
              <w:rPr>
                <w:rFonts w:hint="eastAsia"/>
              </w:rPr>
              <w:t>债券投资收益——利息收入</w:t>
            </w:r>
          </w:p>
        </w:tc>
        <w:tc>
          <w:tcPr>
            <w:tcW w:w="4153" w:type="dxa"/>
            <w:vAlign w:val="center"/>
          </w:tcPr>
          <w:p w14:paraId="31E2888B">
            <w:pPr>
              <w:jc w:val="right"/>
            </w:pPr>
            <w:r>
              <w:rPr>
                <w:rFonts w:hint="eastAsia"/>
              </w:rPr>
              <w:t>1,505.04</w:t>
            </w:r>
          </w:p>
        </w:tc>
      </w:tr>
      <w:tr w14:paraId="350F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6E2C21">
            <w:r>
              <w:rPr>
                <w:rFonts w:hint="eastAsia"/>
              </w:rPr>
              <w:t>债券投资收益——买卖债券（债转股及债券到期兑付）差价收入</w:t>
            </w:r>
          </w:p>
        </w:tc>
        <w:tc>
          <w:tcPr>
            <w:tcW w:w="4153" w:type="dxa"/>
            <w:vAlign w:val="center"/>
          </w:tcPr>
          <w:p w14:paraId="37F21762">
            <w:pPr>
              <w:jc w:val="right"/>
            </w:pPr>
            <w:r>
              <w:rPr>
                <w:rFonts w:hint="eastAsia"/>
              </w:rPr>
              <w:t>-</w:t>
            </w:r>
          </w:p>
        </w:tc>
      </w:tr>
      <w:tr w14:paraId="49E0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63D7DD">
            <w:r>
              <w:rPr>
                <w:rFonts w:hint="eastAsia"/>
              </w:rPr>
              <w:t>债券投资收益——赎回差价收入</w:t>
            </w:r>
          </w:p>
        </w:tc>
        <w:tc>
          <w:tcPr>
            <w:tcW w:w="4153" w:type="dxa"/>
            <w:vAlign w:val="center"/>
          </w:tcPr>
          <w:p w14:paraId="3D53A498">
            <w:pPr>
              <w:jc w:val="right"/>
            </w:pPr>
            <w:r>
              <w:rPr>
                <w:rFonts w:hint="eastAsia"/>
              </w:rPr>
              <w:t>-</w:t>
            </w:r>
          </w:p>
        </w:tc>
      </w:tr>
      <w:tr w14:paraId="193D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12CCBA">
            <w:r>
              <w:rPr>
                <w:rFonts w:hint="eastAsia"/>
              </w:rPr>
              <w:t>债券投资收益——申购差价收入</w:t>
            </w:r>
          </w:p>
        </w:tc>
        <w:tc>
          <w:tcPr>
            <w:tcW w:w="4153" w:type="dxa"/>
            <w:vAlign w:val="center"/>
          </w:tcPr>
          <w:p w14:paraId="21CED873">
            <w:pPr>
              <w:jc w:val="right"/>
            </w:pPr>
            <w:r>
              <w:rPr>
                <w:rFonts w:hint="eastAsia"/>
              </w:rPr>
              <w:t>-</w:t>
            </w:r>
          </w:p>
        </w:tc>
      </w:tr>
      <w:tr w14:paraId="3185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EAF51F">
            <w:r>
              <w:rPr>
                <w:rFonts w:hint="eastAsia"/>
              </w:rPr>
              <w:t>合计</w:t>
            </w:r>
          </w:p>
        </w:tc>
        <w:tc>
          <w:tcPr>
            <w:tcW w:w="4153" w:type="dxa"/>
            <w:vAlign w:val="center"/>
          </w:tcPr>
          <w:p w14:paraId="3FCC5C56">
            <w:pPr>
              <w:jc w:val="right"/>
            </w:pPr>
            <w:r>
              <w:rPr>
                <w:rFonts w:hint="eastAsia"/>
              </w:rPr>
              <w:t>1,505.04</w:t>
            </w:r>
          </w:p>
        </w:tc>
      </w:tr>
    </w:tbl>
    <w:p w14:paraId="10D618D7">
      <w:pPr>
        <w:pStyle w:val="36"/>
      </w:pPr>
      <w:bookmarkStart w:id="93" w:name="_Toc93"/>
      <w:r>
        <w:t>债券投资收益——买卖债券差价收入</w:t>
      </w:r>
      <w:bookmarkEnd w:id="93"/>
    </w:p>
    <w:p w14:paraId="306EEA73">
      <w:pPr>
        <w:pStyle w:val="18"/>
        <w:rPr>
          <w:rFonts w:hint="eastAsia"/>
        </w:rPr>
      </w:pPr>
      <w:r>
        <w:rPr>
          <w:rFonts w:hint="eastAsia"/>
        </w:rPr>
        <w:t>无。</w:t>
      </w:r>
    </w:p>
    <w:p w14:paraId="2D9BA532">
      <w:pPr>
        <w:pStyle w:val="35"/>
      </w:pPr>
      <w:bookmarkStart w:id="94" w:name="_Toc94"/>
      <w:r>
        <w:t>资产支持证券投资收益</w:t>
      </w:r>
      <w:bookmarkEnd w:id="94"/>
    </w:p>
    <w:p w14:paraId="60344F9A">
      <w:pPr>
        <w:pStyle w:val="36"/>
      </w:pPr>
      <w:bookmarkStart w:id="95" w:name="_Toc95"/>
      <w:r>
        <w:t>资产支持证券投资收益——买卖资产支持证券差价收入</w:t>
      </w:r>
      <w:bookmarkEnd w:id="95"/>
    </w:p>
    <w:p w14:paraId="6A6A9D0B">
      <w:pPr>
        <w:pStyle w:val="18"/>
        <w:rPr>
          <w:rFonts w:hint="eastAsia"/>
        </w:rPr>
      </w:pPr>
      <w:r>
        <w:rPr>
          <w:rFonts w:hint="eastAsia"/>
        </w:rPr>
        <w:t>无。</w:t>
      </w:r>
    </w:p>
    <w:p w14:paraId="32C9C6F3">
      <w:pPr>
        <w:pStyle w:val="35"/>
      </w:pPr>
      <w:bookmarkStart w:id="96" w:name="_Toc96"/>
      <w:r>
        <w:t>衍生工具收益</w:t>
      </w:r>
      <w:bookmarkEnd w:id="96"/>
    </w:p>
    <w:p w14:paraId="7237D7B6">
      <w:pPr>
        <w:pStyle w:val="36"/>
      </w:pPr>
      <w:bookmarkStart w:id="97" w:name="_Toc97"/>
      <w:r>
        <w:t xml:space="preserve">衍生工具收益——买卖权证差价收入 </w:t>
      </w:r>
      <w:bookmarkEnd w:id="97"/>
    </w:p>
    <w:p w14:paraId="5D973839">
      <w:pPr>
        <w:pStyle w:val="18"/>
        <w:rPr>
          <w:rFonts w:hint="eastAsia"/>
        </w:rPr>
      </w:pPr>
      <w:r>
        <w:rPr>
          <w:rFonts w:hint="eastAsia"/>
        </w:rPr>
        <w:t>无。</w:t>
      </w:r>
    </w:p>
    <w:p w14:paraId="027B99DE">
      <w:pPr>
        <w:pStyle w:val="36"/>
      </w:pPr>
      <w:bookmarkStart w:id="98" w:name="_Toc98"/>
      <w:r>
        <w:t>衍生工具收益——其他投资收益</w:t>
      </w:r>
      <w:bookmarkEnd w:id="98"/>
    </w:p>
    <w:p w14:paraId="3A111249">
      <w:pPr>
        <w:pStyle w:val="18"/>
        <w:rPr>
          <w:rFonts w:hint="eastAsia"/>
        </w:rPr>
      </w:pPr>
      <w:r>
        <w:rPr>
          <w:rFonts w:hint="eastAsia"/>
        </w:rPr>
        <w:t>无。</w:t>
      </w:r>
    </w:p>
    <w:p w14:paraId="072D340D">
      <w:pPr>
        <w:pStyle w:val="35"/>
      </w:pPr>
      <w:bookmarkStart w:id="99" w:name="_Toc99"/>
      <w:r>
        <w:t>股利收益</w:t>
      </w:r>
      <w:bookmarkEnd w:id="99"/>
    </w:p>
    <w:p w14:paraId="38636A71">
      <w:pPr>
        <w:pStyle w:val="18"/>
        <w:rPr>
          <w:rFonts w:hint="eastAsia"/>
        </w:rPr>
      </w:pPr>
      <w:r>
        <w:rPr>
          <w:rFonts w:hint="eastAsia"/>
        </w:rPr>
        <w:t>无。</w:t>
      </w:r>
    </w:p>
    <w:p w14:paraId="0FA2BC3A">
      <w:pPr>
        <w:pStyle w:val="35"/>
      </w:pPr>
      <w:bookmarkStart w:id="100" w:name="_Toc100"/>
      <w:r>
        <w:t>公允价值变动收益</w:t>
      </w:r>
      <w:bookmarkEnd w:id="100"/>
    </w:p>
    <w:p w14:paraId="5714D3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54A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E703146">
            <w:pPr>
              <w:jc w:val="center"/>
            </w:pPr>
            <w:r>
              <w:rPr>
                <w:rFonts w:hint="eastAsia"/>
                <w:b/>
              </w:rPr>
              <w:t>项目名称</w:t>
            </w:r>
          </w:p>
        </w:tc>
        <w:tc>
          <w:tcPr>
            <w:tcW w:w="4153" w:type="dxa"/>
            <w:shd w:val="clear" w:color="auto" w:fill="BFBFBF"/>
            <w:vAlign w:val="center"/>
          </w:tcPr>
          <w:p w14:paraId="44F53D94">
            <w:pPr>
              <w:jc w:val="center"/>
            </w:pPr>
            <w:r>
              <w:rPr>
                <w:rFonts w:hint="eastAsia"/>
                <w:b/>
              </w:rPr>
              <w:t>本期2025年10月30日（基金合同生效日）至2025年12月31日</w:t>
            </w:r>
          </w:p>
        </w:tc>
      </w:tr>
      <w:tr w14:paraId="038D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E7253B">
            <w:r>
              <w:rPr>
                <w:rFonts w:hint="eastAsia"/>
              </w:rPr>
              <w:t>1.交易性金融资产</w:t>
            </w:r>
          </w:p>
        </w:tc>
        <w:tc>
          <w:tcPr>
            <w:tcW w:w="4153" w:type="dxa"/>
            <w:vAlign w:val="center"/>
          </w:tcPr>
          <w:p w14:paraId="501AF54A">
            <w:pPr>
              <w:jc w:val="right"/>
            </w:pPr>
            <w:r>
              <w:rPr>
                <w:rFonts w:hint="eastAsia"/>
              </w:rPr>
              <w:t>226,678,992.82</w:t>
            </w:r>
          </w:p>
        </w:tc>
      </w:tr>
      <w:tr w14:paraId="53AA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EEF0C4">
            <w:r>
              <w:rPr>
                <w:rFonts w:hint="eastAsia"/>
              </w:rPr>
              <w:t>——股票投资</w:t>
            </w:r>
          </w:p>
        </w:tc>
        <w:tc>
          <w:tcPr>
            <w:tcW w:w="4153" w:type="dxa"/>
            <w:vAlign w:val="center"/>
          </w:tcPr>
          <w:p w14:paraId="06397C50">
            <w:pPr>
              <w:jc w:val="right"/>
            </w:pPr>
            <w:r>
              <w:rPr>
                <w:rFonts w:hint="eastAsia"/>
              </w:rPr>
              <w:t>-</w:t>
            </w:r>
          </w:p>
        </w:tc>
      </w:tr>
      <w:tr w14:paraId="7D3E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277469">
            <w:r>
              <w:rPr>
                <w:rFonts w:hint="eastAsia"/>
              </w:rPr>
              <w:t>——债券投资</w:t>
            </w:r>
          </w:p>
        </w:tc>
        <w:tc>
          <w:tcPr>
            <w:tcW w:w="4153" w:type="dxa"/>
            <w:vAlign w:val="center"/>
          </w:tcPr>
          <w:p w14:paraId="6B81C1E7">
            <w:pPr>
              <w:jc w:val="right"/>
            </w:pPr>
            <w:r>
              <w:rPr>
                <w:rFonts w:hint="eastAsia"/>
              </w:rPr>
              <w:t>440.00</w:t>
            </w:r>
          </w:p>
        </w:tc>
      </w:tr>
      <w:tr w14:paraId="6FD2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B9A3C2">
            <w:r>
              <w:rPr>
                <w:rFonts w:hint="eastAsia"/>
              </w:rPr>
              <w:t>——资产支持证券投资</w:t>
            </w:r>
          </w:p>
        </w:tc>
        <w:tc>
          <w:tcPr>
            <w:tcW w:w="4153" w:type="dxa"/>
            <w:vAlign w:val="center"/>
          </w:tcPr>
          <w:p w14:paraId="71C760E7">
            <w:pPr>
              <w:jc w:val="right"/>
            </w:pPr>
            <w:r>
              <w:rPr>
                <w:rFonts w:hint="eastAsia"/>
              </w:rPr>
              <w:t>-</w:t>
            </w:r>
          </w:p>
        </w:tc>
      </w:tr>
      <w:tr w14:paraId="0989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A15212">
            <w:r>
              <w:rPr>
                <w:rFonts w:hint="eastAsia"/>
              </w:rPr>
              <w:t>——基金投资</w:t>
            </w:r>
          </w:p>
        </w:tc>
        <w:tc>
          <w:tcPr>
            <w:tcW w:w="4153" w:type="dxa"/>
            <w:vAlign w:val="center"/>
          </w:tcPr>
          <w:p w14:paraId="3D60D173">
            <w:pPr>
              <w:jc w:val="right"/>
            </w:pPr>
            <w:r>
              <w:rPr>
                <w:rFonts w:hint="eastAsia"/>
              </w:rPr>
              <w:t>226,678,552.82</w:t>
            </w:r>
          </w:p>
        </w:tc>
      </w:tr>
      <w:tr w14:paraId="626C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1B7FF5">
            <w:r>
              <w:rPr>
                <w:rFonts w:hint="eastAsia"/>
              </w:rPr>
              <w:t>——贵金属投资</w:t>
            </w:r>
          </w:p>
        </w:tc>
        <w:tc>
          <w:tcPr>
            <w:tcW w:w="4153" w:type="dxa"/>
            <w:vAlign w:val="center"/>
          </w:tcPr>
          <w:p w14:paraId="74CEC778">
            <w:pPr>
              <w:jc w:val="right"/>
            </w:pPr>
            <w:r>
              <w:rPr>
                <w:rFonts w:hint="eastAsia"/>
              </w:rPr>
              <w:t>-</w:t>
            </w:r>
          </w:p>
        </w:tc>
      </w:tr>
      <w:tr w14:paraId="7DA4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11EB47">
            <w:r>
              <w:rPr>
                <w:rFonts w:hint="eastAsia"/>
              </w:rPr>
              <w:t>——其他</w:t>
            </w:r>
          </w:p>
        </w:tc>
        <w:tc>
          <w:tcPr>
            <w:tcW w:w="4153" w:type="dxa"/>
            <w:vAlign w:val="center"/>
          </w:tcPr>
          <w:p w14:paraId="062FD0AE">
            <w:pPr>
              <w:jc w:val="right"/>
            </w:pPr>
            <w:r>
              <w:rPr>
                <w:rFonts w:hint="eastAsia"/>
              </w:rPr>
              <w:t>-</w:t>
            </w:r>
          </w:p>
        </w:tc>
      </w:tr>
      <w:tr w14:paraId="28E6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F58925">
            <w:r>
              <w:rPr>
                <w:rFonts w:hint="eastAsia"/>
              </w:rPr>
              <w:t>2.衍生工具</w:t>
            </w:r>
          </w:p>
        </w:tc>
        <w:tc>
          <w:tcPr>
            <w:tcW w:w="4153" w:type="dxa"/>
            <w:vAlign w:val="center"/>
          </w:tcPr>
          <w:p w14:paraId="33D1A115">
            <w:pPr>
              <w:jc w:val="right"/>
            </w:pPr>
            <w:r>
              <w:rPr>
                <w:rFonts w:hint="eastAsia"/>
              </w:rPr>
              <w:t>-</w:t>
            </w:r>
          </w:p>
        </w:tc>
      </w:tr>
      <w:tr w14:paraId="09F8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2E380B">
            <w:r>
              <w:rPr>
                <w:rFonts w:hint="eastAsia"/>
              </w:rPr>
              <w:t>——权证投资</w:t>
            </w:r>
          </w:p>
        </w:tc>
        <w:tc>
          <w:tcPr>
            <w:tcW w:w="4153" w:type="dxa"/>
            <w:vAlign w:val="center"/>
          </w:tcPr>
          <w:p w14:paraId="32A0C097">
            <w:pPr>
              <w:jc w:val="right"/>
            </w:pPr>
            <w:r>
              <w:rPr>
                <w:rFonts w:hint="eastAsia"/>
              </w:rPr>
              <w:t>-</w:t>
            </w:r>
          </w:p>
        </w:tc>
      </w:tr>
      <w:tr w14:paraId="2FA4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C45AE4">
            <w:r>
              <w:rPr>
                <w:rFonts w:hint="eastAsia"/>
              </w:rPr>
              <w:t>——期货投资</w:t>
            </w:r>
          </w:p>
        </w:tc>
        <w:tc>
          <w:tcPr>
            <w:tcW w:w="4153" w:type="dxa"/>
            <w:vAlign w:val="center"/>
          </w:tcPr>
          <w:p w14:paraId="5C04A26A">
            <w:pPr>
              <w:jc w:val="right"/>
            </w:pPr>
            <w:r>
              <w:rPr>
                <w:rFonts w:hint="eastAsia"/>
              </w:rPr>
              <w:t>-</w:t>
            </w:r>
          </w:p>
        </w:tc>
      </w:tr>
      <w:tr w14:paraId="6923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2F6800">
            <w:r>
              <w:rPr>
                <w:rFonts w:hint="eastAsia"/>
              </w:rPr>
              <w:t>3.其他</w:t>
            </w:r>
          </w:p>
        </w:tc>
        <w:tc>
          <w:tcPr>
            <w:tcW w:w="4153" w:type="dxa"/>
            <w:vAlign w:val="center"/>
          </w:tcPr>
          <w:p w14:paraId="5066B2F9">
            <w:pPr>
              <w:jc w:val="right"/>
            </w:pPr>
            <w:r>
              <w:rPr>
                <w:rFonts w:hint="eastAsia"/>
              </w:rPr>
              <w:t>-</w:t>
            </w:r>
          </w:p>
        </w:tc>
      </w:tr>
      <w:tr w14:paraId="76D8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12AC81">
            <w:r>
              <w:rPr>
                <w:rFonts w:hint="eastAsia"/>
              </w:rPr>
              <w:t>减：应税金融商品公允价值变动产生的预估增值税</w:t>
            </w:r>
          </w:p>
        </w:tc>
        <w:tc>
          <w:tcPr>
            <w:tcW w:w="4153" w:type="dxa"/>
            <w:vAlign w:val="center"/>
          </w:tcPr>
          <w:p w14:paraId="12BE0BD7">
            <w:pPr>
              <w:jc w:val="right"/>
            </w:pPr>
            <w:r>
              <w:rPr>
                <w:rFonts w:hint="eastAsia"/>
              </w:rPr>
              <w:t>-</w:t>
            </w:r>
          </w:p>
        </w:tc>
      </w:tr>
      <w:tr w14:paraId="10A8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06C86F">
            <w:r>
              <w:rPr>
                <w:rFonts w:hint="eastAsia"/>
              </w:rPr>
              <w:t>合计</w:t>
            </w:r>
          </w:p>
        </w:tc>
        <w:tc>
          <w:tcPr>
            <w:tcW w:w="4153" w:type="dxa"/>
            <w:vAlign w:val="center"/>
          </w:tcPr>
          <w:p w14:paraId="70A7C7CB">
            <w:pPr>
              <w:jc w:val="right"/>
            </w:pPr>
            <w:r>
              <w:rPr>
                <w:rFonts w:hint="eastAsia"/>
              </w:rPr>
              <w:t>226,678,992.82</w:t>
            </w:r>
          </w:p>
        </w:tc>
      </w:tr>
    </w:tbl>
    <w:p w14:paraId="333D2B22">
      <w:pPr>
        <w:pStyle w:val="35"/>
      </w:pPr>
      <w:bookmarkStart w:id="101" w:name="_Toc101"/>
      <w:r>
        <w:t>其他收入</w:t>
      </w:r>
      <w:bookmarkEnd w:id="101"/>
    </w:p>
    <w:p w14:paraId="5B6161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6E9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590F6EF">
            <w:pPr>
              <w:jc w:val="center"/>
            </w:pPr>
            <w:r>
              <w:rPr>
                <w:rFonts w:hint="eastAsia"/>
                <w:b/>
              </w:rPr>
              <w:t>项目</w:t>
            </w:r>
          </w:p>
        </w:tc>
        <w:tc>
          <w:tcPr>
            <w:tcW w:w="4153" w:type="dxa"/>
            <w:shd w:val="clear" w:color="auto" w:fill="BFBFBF"/>
            <w:vAlign w:val="center"/>
          </w:tcPr>
          <w:p w14:paraId="4D1475CA">
            <w:pPr>
              <w:jc w:val="center"/>
            </w:pPr>
            <w:r>
              <w:rPr>
                <w:rFonts w:hint="eastAsia"/>
                <w:b/>
              </w:rPr>
              <w:t>本期2025年10月30日（基金合同生效日）至2025年12月31日</w:t>
            </w:r>
          </w:p>
        </w:tc>
      </w:tr>
      <w:tr w14:paraId="714A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B0CDB1">
            <w:r>
              <w:rPr>
                <w:rFonts w:hint="eastAsia"/>
              </w:rPr>
              <w:t>基金赎回费收入</w:t>
            </w:r>
          </w:p>
        </w:tc>
        <w:tc>
          <w:tcPr>
            <w:tcW w:w="4153" w:type="dxa"/>
            <w:vAlign w:val="center"/>
          </w:tcPr>
          <w:p w14:paraId="70047607">
            <w:pPr>
              <w:jc w:val="right"/>
            </w:pPr>
            <w:r>
              <w:rPr>
                <w:rFonts w:hint="eastAsia"/>
              </w:rPr>
              <w:t>263,542.94</w:t>
            </w:r>
          </w:p>
        </w:tc>
      </w:tr>
      <w:tr w14:paraId="0A8F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9D5FD9">
            <w:r>
              <w:rPr>
                <w:rFonts w:hint="eastAsia"/>
              </w:rPr>
              <w:t>基金转换费收入</w:t>
            </w:r>
          </w:p>
        </w:tc>
        <w:tc>
          <w:tcPr>
            <w:tcW w:w="4153" w:type="dxa"/>
            <w:vAlign w:val="center"/>
          </w:tcPr>
          <w:p w14:paraId="45F3991B">
            <w:pPr>
              <w:jc w:val="right"/>
            </w:pPr>
            <w:r>
              <w:rPr>
                <w:rFonts w:hint="eastAsia"/>
              </w:rPr>
              <w:t>5,838.74</w:t>
            </w:r>
          </w:p>
        </w:tc>
      </w:tr>
      <w:tr w14:paraId="04F7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8D4AD1">
            <w:r>
              <w:rPr>
                <w:rFonts w:hint="eastAsia"/>
              </w:rPr>
              <w:t>其他</w:t>
            </w:r>
          </w:p>
        </w:tc>
        <w:tc>
          <w:tcPr>
            <w:tcW w:w="4153" w:type="dxa"/>
            <w:vAlign w:val="center"/>
          </w:tcPr>
          <w:p w14:paraId="39479583">
            <w:pPr>
              <w:jc w:val="right"/>
            </w:pPr>
            <w:r>
              <w:rPr>
                <w:rFonts w:hint="eastAsia"/>
              </w:rPr>
              <w:t>210.33</w:t>
            </w:r>
          </w:p>
        </w:tc>
      </w:tr>
      <w:tr w14:paraId="35E4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4D0452">
            <w:r>
              <w:rPr>
                <w:rFonts w:hint="eastAsia"/>
              </w:rPr>
              <w:t>合计</w:t>
            </w:r>
          </w:p>
        </w:tc>
        <w:tc>
          <w:tcPr>
            <w:tcW w:w="4153" w:type="dxa"/>
            <w:vAlign w:val="center"/>
          </w:tcPr>
          <w:p w14:paraId="291DB287">
            <w:pPr>
              <w:jc w:val="right"/>
            </w:pPr>
            <w:r>
              <w:rPr>
                <w:rFonts w:hint="eastAsia"/>
              </w:rPr>
              <w:t>269,592.01</w:t>
            </w:r>
          </w:p>
        </w:tc>
      </w:tr>
    </w:tbl>
    <w:p w14:paraId="7DE828C6">
      <w:pPr>
        <w:pStyle w:val="35"/>
      </w:pPr>
      <w:bookmarkStart w:id="102" w:name="_Toc102"/>
      <w:r>
        <w:t>其他费用</w:t>
      </w:r>
      <w:bookmarkEnd w:id="102"/>
    </w:p>
    <w:p w14:paraId="6D0773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1315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9E2A07">
            <w:pPr>
              <w:jc w:val="center"/>
            </w:pPr>
            <w:r>
              <w:rPr>
                <w:rFonts w:hint="eastAsia"/>
                <w:b/>
              </w:rPr>
              <w:t>项目</w:t>
            </w:r>
          </w:p>
        </w:tc>
        <w:tc>
          <w:tcPr>
            <w:tcW w:w="5537" w:type="dxa"/>
            <w:shd w:val="clear" w:color="auto" w:fill="BFBFBF"/>
            <w:vAlign w:val="center"/>
          </w:tcPr>
          <w:p w14:paraId="5AA8E14C">
            <w:pPr>
              <w:jc w:val="center"/>
            </w:pPr>
            <w:r>
              <w:rPr>
                <w:rFonts w:hint="eastAsia"/>
                <w:b/>
              </w:rPr>
              <w:t>本期2025年10月30日（基金合同生效日）至2025年12月31日</w:t>
            </w:r>
          </w:p>
        </w:tc>
      </w:tr>
      <w:tr w14:paraId="69DB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1E981">
            <w:r>
              <w:rPr>
                <w:rFonts w:hint="eastAsia"/>
              </w:rPr>
              <w:t>审计费用</w:t>
            </w:r>
          </w:p>
        </w:tc>
        <w:tc>
          <w:tcPr>
            <w:tcW w:w="5537" w:type="dxa"/>
            <w:vAlign w:val="center"/>
          </w:tcPr>
          <w:p w14:paraId="430FF227">
            <w:pPr>
              <w:jc w:val="right"/>
            </w:pPr>
            <w:r>
              <w:rPr>
                <w:rFonts w:hint="eastAsia"/>
              </w:rPr>
              <w:t>48,000.00</w:t>
            </w:r>
          </w:p>
        </w:tc>
      </w:tr>
      <w:tr w14:paraId="1FB8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91461E">
            <w:r>
              <w:rPr>
                <w:rFonts w:hint="eastAsia"/>
              </w:rPr>
              <w:t>信息披露费</w:t>
            </w:r>
          </w:p>
        </w:tc>
        <w:tc>
          <w:tcPr>
            <w:tcW w:w="5537" w:type="dxa"/>
            <w:vAlign w:val="center"/>
          </w:tcPr>
          <w:p w14:paraId="57025E9A">
            <w:pPr>
              <w:jc w:val="right"/>
            </w:pPr>
            <w:r>
              <w:rPr>
                <w:rFonts w:hint="eastAsia"/>
              </w:rPr>
              <w:t>-</w:t>
            </w:r>
          </w:p>
        </w:tc>
      </w:tr>
      <w:tr w14:paraId="6AD9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3BD2C">
            <w:r>
              <w:rPr>
                <w:rFonts w:hint="eastAsia"/>
              </w:rPr>
              <w:t>证券出借违约金</w:t>
            </w:r>
          </w:p>
        </w:tc>
        <w:tc>
          <w:tcPr>
            <w:tcW w:w="5537" w:type="dxa"/>
            <w:vAlign w:val="center"/>
          </w:tcPr>
          <w:p w14:paraId="39498F3F">
            <w:pPr>
              <w:jc w:val="right"/>
            </w:pPr>
            <w:r>
              <w:rPr>
                <w:rFonts w:hint="eastAsia"/>
              </w:rPr>
              <w:t>-</w:t>
            </w:r>
          </w:p>
        </w:tc>
      </w:tr>
      <w:tr w14:paraId="4E50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4A2C2">
            <w:r>
              <w:rPr>
                <w:rFonts w:hint="eastAsia"/>
              </w:rPr>
              <w:t>银行费用</w:t>
            </w:r>
          </w:p>
        </w:tc>
        <w:tc>
          <w:tcPr>
            <w:tcW w:w="5537" w:type="dxa"/>
            <w:vAlign w:val="center"/>
          </w:tcPr>
          <w:p w14:paraId="7BF85306">
            <w:pPr>
              <w:jc w:val="right"/>
            </w:pPr>
            <w:r>
              <w:rPr>
                <w:rFonts w:hint="eastAsia"/>
              </w:rPr>
              <w:t>4,647.69</w:t>
            </w:r>
          </w:p>
        </w:tc>
      </w:tr>
      <w:tr w14:paraId="6269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57336">
            <w:r>
              <w:rPr>
                <w:rFonts w:hint="eastAsia"/>
              </w:rPr>
              <w:t>合计</w:t>
            </w:r>
          </w:p>
        </w:tc>
        <w:tc>
          <w:tcPr>
            <w:tcW w:w="5537" w:type="dxa"/>
            <w:vAlign w:val="center"/>
          </w:tcPr>
          <w:p w14:paraId="02529648">
            <w:pPr>
              <w:jc w:val="right"/>
            </w:pPr>
            <w:r>
              <w:rPr>
                <w:rFonts w:hint="eastAsia"/>
              </w:rPr>
              <w:t>52,647.69</w:t>
            </w:r>
          </w:p>
        </w:tc>
      </w:tr>
    </w:tbl>
    <w:p w14:paraId="48D21119">
      <w:pPr>
        <w:pStyle w:val="28"/>
      </w:pPr>
      <w:bookmarkStart w:id="103" w:name="_Toc103"/>
      <w:r>
        <w:t>或有事项、资产负债表日后事项的说明</w:t>
      </w:r>
      <w:bookmarkEnd w:id="103"/>
    </w:p>
    <w:p w14:paraId="2B378474">
      <w:pPr>
        <w:pStyle w:val="35"/>
      </w:pPr>
      <w:bookmarkStart w:id="104" w:name="_Toc104"/>
      <w:r>
        <w:t>或有事项</w:t>
      </w:r>
      <w:bookmarkEnd w:id="104"/>
    </w:p>
    <w:p w14:paraId="68C4B678">
      <w:pPr>
        <w:pStyle w:val="18"/>
        <w:rPr>
          <w:rFonts w:hint="eastAsia"/>
        </w:rPr>
      </w:pPr>
      <w:r>
        <w:rPr>
          <w:rFonts w:hint="eastAsia"/>
        </w:rPr>
        <w:t>无。</w:t>
      </w:r>
    </w:p>
    <w:p w14:paraId="2B31661D">
      <w:pPr>
        <w:pStyle w:val="35"/>
      </w:pPr>
      <w:bookmarkStart w:id="105" w:name="_Toc105"/>
      <w:r>
        <w:t>资产负债表日后事项</w:t>
      </w:r>
      <w:bookmarkEnd w:id="105"/>
    </w:p>
    <w:p w14:paraId="5FB18B8C">
      <w:pPr>
        <w:pStyle w:val="18"/>
        <w:rPr>
          <w:rFonts w:hint="eastAsia"/>
        </w:rPr>
      </w:pPr>
      <w:r>
        <w:rPr>
          <w:rFonts w:hint="eastAsia"/>
        </w:rPr>
        <w:t>截至财务报告批准报出日，本基金无需要披露的资产负债表日后事项。</w:t>
      </w:r>
    </w:p>
    <w:p w14:paraId="0C3D8C2C">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3F2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BD14581">
            <w:pPr>
              <w:jc w:val="center"/>
            </w:pPr>
            <w:r>
              <w:rPr>
                <w:rFonts w:hint="eastAsia"/>
                <w:b/>
              </w:rPr>
              <w:t>关联方名称</w:t>
            </w:r>
          </w:p>
        </w:tc>
        <w:tc>
          <w:tcPr>
            <w:tcW w:w="3322" w:type="dxa"/>
            <w:shd w:val="clear" w:color="auto" w:fill="BFBFBF"/>
            <w:vAlign w:val="center"/>
          </w:tcPr>
          <w:p w14:paraId="2DA979BC">
            <w:pPr>
              <w:jc w:val="center"/>
            </w:pPr>
            <w:r>
              <w:rPr>
                <w:rFonts w:hint="eastAsia"/>
                <w:b/>
              </w:rPr>
              <w:t>与本基金的关系</w:t>
            </w:r>
          </w:p>
        </w:tc>
      </w:tr>
      <w:tr w14:paraId="3D5C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2017F1">
            <w:r>
              <w:rPr>
                <w:rFonts w:hint="eastAsia"/>
              </w:rPr>
              <w:t>南方基金管理股份有限公司(“南方基金”)</w:t>
            </w:r>
          </w:p>
        </w:tc>
        <w:tc>
          <w:tcPr>
            <w:tcW w:w="3322" w:type="dxa"/>
            <w:vAlign w:val="center"/>
          </w:tcPr>
          <w:p w14:paraId="294C6CC4">
            <w:r>
              <w:rPr>
                <w:rFonts w:hint="eastAsia"/>
              </w:rPr>
              <w:t>基金管理人、登记机构、基金销售机构</w:t>
            </w:r>
          </w:p>
        </w:tc>
      </w:tr>
      <w:tr w14:paraId="5EA5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8BBAA7">
            <w:r>
              <w:rPr>
                <w:rFonts w:hint="eastAsia"/>
              </w:rPr>
              <w:t>中国建设银行股份有限公司("中国建设银行")</w:t>
            </w:r>
          </w:p>
        </w:tc>
        <w:tc>
          <w:tcPr>
            <w:tcW w:w="3322" w:type="dxa"/>
            <w:vAlign w:val="center"/>
          </w:tcPr>
          <w:p w14:paraId="1ECD2B36">
            <w:r>
              <w:rPr>
                <w:rFonts w:hint="eastAsia"/>
              </w:rPr>
              <w:t>基金托管人、基金销售机构</w:t>
            </w:r>
          </w:p>
        </w:tc>
      </w:tr>
      <w:tr w14:paraId="0C83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556FA9">
            <w:r>
              <w:rPr>
                <w:rFonts w:hint="eastAsia"/>
              </w:rPr>
              <w:t>华泰证券股份有限公司(“华泰证券”)</w:t>
            </w:r>
          </w:p>
        </w:tc>
        <w:tc>
          <w:tcPr>
            <w:tcW w:w="3322" w:type="dxa"/>
            <w:vAlign w:val="center"/>
          </w:tcPr>
          <w:p w14:paraId="65C38007">
            <w:r>
              <w:rPr>
                <w:rFonts w:hint="eastAsia"/>
              </w:rPr>
              <w:t>基金管理人的股东、基金销售机构</w:t>
            </w:r>
          </w:p>
        </w:tc>
      </w:tr>
      <w:tr w14:paraId="4814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3F2572">
            <w:r>
              <w:rPr>
                <w:rFonts w:hint="eastAsia"/>
              </w:rPr>
              <w:t>兴业证券股份有限公司(“兴业证券”)</w:t>
            </w:r>
          </w:p>
        </w:tc>
        <w:tc>
          <w:tcPr>
            <w:tcW w:w="3322" w:type="dxa"/>
            <w:vAlign w:val="center"/>
          </w:tcPr>
          <w:p w14:paraId="062AA9D2">
            <w:r>
              <w:rPr>
                <w:rFonts w:hint="eastAsia"/>
              </w:rPr>
              <w:t>基金管理人的股东</w:t>
            </w:r>
          </w:p>
        </w:tc>
      </w:tr>
      <w:tr w14:paraId="70C1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ACDDCC">
            <w:r>
              <w:rPr>
                <w:rFonts w:hint="eastAsia"/>
              </w:rPr>
              <w:t>厦门国际信托有限公司(“厦门国际信托”)</w:t>
            </w:r>
          </w:p>
        </w:tc>
        <w:tc>
          <w:tcPr>
            <w:tcW w:w="3322" w:type="dxa"/>
            <w:vAlign w:val="center"/>
          </w:tcPr>
          <w:p w14:paraId="2A475106">
            <w:r>
              <w:rPr>
                <w:rFonts w:hint="eastAsia"/>
              </w:rPr>
              <w:t>基金管理人的股东</w:t>
            </w:r>
          </w:p>
        </w:tc>
      </w:tr>
      <w:tr w14:paraId="72BF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164D55">
            <w:r>
              <w:rPr>
                <w:rFonts w:hint="eastAsia"/>
              </w:rPr>
              <w:t>深圳市投资控股有限公司(“深圳投资控股”)</w:t>
            </w:r>
          </w:p>
        </w:tc>
        <w:tc>
          <w:tcPr>
            <w:tcW w:w="3322" w:type="dxa"/>
            <w:vAlign w:val="center"/>
          </w:tcPr>
          <w:p w14:paraId="0E6AC16E">
            <w:r>
              <w:rPr>
                <w:rFonts w:hint="eastAsia"/>
              </w:rPr>
              <w:t>基金管理人的股东</w:t>
            </w:r>
          </w:p>
        </w:tc>
      </w:tr>
      <w:tr w14:paraId="4708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1BC5B9">
            <w:r>
              <w:rPr>
                <w:rFonts w:hint="eastAsia"/>
              </w:rPr>
              <w:t>厦门合泽吉企业管理合伙企业(有限合伙)</w:t>
            </w:r>
          </w:p>
        </w:tc>
        <w:tc>
          <w:tcPr>
            <w:tcW w:w="3322" w:type="dxa"/>
            <w:vAlign w:val="center"/>
          </w:tcPr>
          <w:p w14:paraId="776AA8A1">
            <w:r>
              <w:rPr>
                <w:rFonts w:hint="eastAsia"/>
              </w:rPr>
              <w:t>基金管理人的股东</w:t>
            </w:r>
          </w:p>
        </w:tc>
      </w:tr>
      <w:tr w14:paraId="6500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F42179">
            <w:r>
              <w:rPr>
                <w:rFonts w:hint="eastAsia"/>
              </w:rPr>
              <w:t>厦门合泽祥企业管理合伙企业(有限合伙)</w:t>
            </w:r>
          </w:p>
        </w:tc>
        <w:tc>
          <w:tcPr>
            <w:tcW w:w="3322" w:type="dxa"/>
            <w:vAlign w:val="center"/>
          </w:tcPr>
          <w:p w14:paraId="4CC56EA1">
            <w:r>
              <w:rPr>
                <w:rFonts w:hint="eastAsia"/>
              </w:rPr>
              <w:t>基金管理人的股东</w:t>
            </w:r>
          </w:p>
        </w:tc>
      </w:tr>
      <w:tr w14:paraId="6EE0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3CA5F7">
            <w:r>
              <w:rPr>
                <w:rFonts w:hint="eastAsia"/>
              </w:rPr>
              <w:t>厦门合泽益企业管理合伙企业(有限合伙)</w:t>
            </w:r>
          </w:p>
        </w:tc>
        <w:tc>
          <w:tcPr>
            <w:tcW w:w="3322" w:type="dxa"/>
            <w:vAlign w:val="center"/>
          </w:tcPr>
          <w:p w14:paraId="3ED42996">
            <w:r>
              <w:rPr>
                <w:rFonts w:hint="eastAsia"/>
              </w:rPr>
              <w:t>基金管理人的股东</w:t>
            </w:r>
          </w:p>
        </w:tc>
      </w:tr>
      <w:tr w14:paraId="0EE0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C4CC9C">
            <w:r>
              <w:rPr>
                <w:rFonts w:hint="eastAsia"/>
              </w:rPr>
              <w:t>厦门合泽盈企业管理合伙企业(有限合伙)</w:t>
            </w:r>
          </w:p>
        </w:tc>
        <w:tc>
          <w:tcPr>
            <w:tcW w:w="3322" w:type="dxa"/>
            <w:vAlign w:val="center"/>
          </w:tcPr>
          <w:p w14:paraId="6888DA16">
            <w:r>
              <w:rPr>
                <w:rFonts w:hint="eastAsia"/>
              </w:rPr>
              <w:t>基金管理人的股东</w:t>
            </w:r>
          </w:p>
        </w:tc>
      </w:tr>
      <w:tr w14:paraId="520A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9262CA">
            <w:r>
              <w:rPr>
                <w:rFonts w:hint="eastAsia"/>
              </w:rPr>
              <w:t>南方资本管理有限公司(“南方资本”)</w:t>
            </w:r>
          </w:p>
        </w:tc>
        <w:tc>
          <w:tcPr>
            <w:tcW w:w="3322" w:type="dxa"/>
            <w:vAlign w:val="center"/>
          </w:tcPr>
          <w:p w14:paraId="064E53AD">
            <w:r>
              <w:rPr>
                <w:rFonts w:hint="eastAsia"/>
              </w:rPr>
              <w:t>基金管理人的子公司</w:t>
            </w:r>
          </w:p>
        </w:tc>
      </w:tr>
      <w:tr w14:paraId="5820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84A3DE">
            <w:r>
              <w:rPr>
                <w:rFonts w:hint="eastAsia"/>
              </w:rPr>
              <w:t>南方东英资产管理有限公司(“南方东英”)</w:t>
            </w:r>
          </w:p>
        </w:tc>
        <w:tc>
          <w:tcPr>
            <w:tcW w:w="3322" w:type="dxa"/>
            <w:vAlign w:val="center"/>
          </w:tcPr>
          <w:p w14:paraId="0E1EB05F">
            <w:r>
              <w:rPr>
                <w:rFonts w:hint="eastAsia"/>
              </w:rPr>
              <w:t>基金管理人的子公司</w:t>
            </w:r>
          </w:p>
        </w:tc>
      </w:tr>
      <w:tr w14:paraId="193C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354C3E">
            <w:r>
              <w:rPr>
                <w:rFonts w:hint="eastAsia"/>
              </w:rPr>
              <w:t>南方创业板人工智能交易型开放式指数证券投资基金(“目标ETF”)</w:t>
            </w:r>
          </w:p>
        </w:tc>
        <w:tc>
          <w:tcPr>
            <w:tcW w:w="3322" w:type="dxa"/>
            <w:vAlign w:val="center"/>
          </w:tcPr>
          <w:p w14:paraId="6337BDFB">
            <w:r>
              <w:rPr>
                <w:rFonts w:hint="eastAsia"/>
              </w:rPr>
              <w:t>本基金的基金管理人管理的其他基金</w:t>
            </w:r>
          </w:p>
        </w:tc>
      </w:tr>
    </w:tbl>
    <w:p w14:paraId="5DB7E1FE">
      <w:pPr>
        <w:pStyle w:val="47"/>
        <w:rPr>
          <w:rFonts w:hint="eastAsia"/>
        </w:rPr>
      </w:pPr>
      <w:r>
        <w:rPr>
          <w:rFonts w:hint="eastAsia"/>
        </w:rPr>
        <w:t>注：下述关联交易均在正常业务范围内按一般商业条款订立。</w:t>
      </w:r>
    </w:p>
    <w:p w14:paraId="2789FD31">
      <w:pPr>
        <w:pStyle w:val="28"/>
      </w:pPr>
      <w:bookmarkStart w:id="107" w:name="_Toc107"/>
      <w:r>
        <w:t>本报告期及上年度可比期间的关联方交易</w:t>
      </w:r>
      <w:bookmarkEnd w:id="107"/>
    </w:p>
    <w:p w14:paraId="58637D41">
      <w:pPr>
        <w:pStyle w:val="35"/>
      </w:pPr>
      <w:bookmarkStart w:id="108" w:name="_Toc108"/>
      <w:r>
        <w:t>通过关联方交易单元进行的交易</w:t>
      </w:r>
      <w:bookmarkEnd w:id="108"/>
    </w:p>
    <w:p w14:paraId="70AF745B">
      <w:pPr>
        <w:pStyle w:val="36"/>
      </w:pPr>
      <w:bookmarkStart w:id="109" w:name="_Toc109"/>
      <w:r>
        <w:t>股票交易</w:t>
      </w:r>
      <w:bookmarkEnd w:id="109"/>
    </w:p>
    <w:p w14:paraId="115AD0AD">
      <w:pPr>
        <w:pStyle w:val="18"/>
        <w:rPr>
          <w:rFonts w:hint="eastAsia"/>
        </w:rPr>
      </w:pPr>
      <w:r>
        <w:rPr>
          <w:rFonts w:hint="eastAsia"/>
        </w:rPr>
        <w:t>无。</w:t>
      </w:r>
    </w:p>
    <w:p w14:paraId="4560DE26">
      <w:pPr>
        <w:pStyle w:val="36"/>
      </w:pPr>
      <w:bookmarkStart w:id="110" w:name="_Toc110"/>
      <w:r>
        <w:t>债券交易</w:t>
      </w:r>
      <w:bookmarkEnd w:id="110"/>
    </w:p>
    <w:p w14:paraId="756BA8BF">
      <w:pPr>
        <w:pStyle w:val="18"/>
        <w:rPr>
          <w:rFonts w:hint="eastAsia"/>
        </w:rPr>
      </w:pPr>
      <w:r>
        <w:rPr>
          <w:rFonts w:hint="eastAsia"/>
        </w:rPr>
        <w:t>无。</w:t>
      </w:r>
    </w:p>
    <w:p w14:paraId="5EC371F0">
      <w:pPr>
        <w:pStyle w:val="36"/>
      </w:pPr>
      <w:bookmarkStart w:id="111" w:name="_Toc111"/>
      <w:r>
        <w:t>债券回购交易</w:t>
      </w:r>
      <w:bookmarkEnd w:id="111"/>
    </w:p>
    <w:p w14:paraId="55E9681C">
      <w:pPr>
        <w:pStyle w:val="18"/>
        <w:rPr>
          <w:rFonts w:hint="eastAsia"/>
        </w:rPr>
      </w:pPr>
      <w:r>
        <w:rPr>
          <w:rFonts w:hint="eastAsia"/>
        </w:rPr>
        <w:t>无。</w:t>
      </w:r>
    </w:p>
    <w:p w14:paraId="60E38C9F">
      <w:pPr>
        <w:pStyle w:val="36"/>
      </w:pPr>
      <w:bookmarkStart w:id="112" w:name="_Toc112"/>
      <w:r>
        <w:t>基金交易</w:t>
      </w:r>
      <w:bookmarkEnd w:id="112"/>
    </w:p>
    <w:p w14:paraId="758229E1">
      <w:pPr>
        <w:pStyle w:val="18"/>
        <w:rPr>
          <w:rFonts w:hint="eastAsia"/>
        </w:rPr>
      </w:pPr>
      <w:r>
        <w:rPr>
          <w:rFonts w:hint="eastAsia"/>
        </w:rPr>
        <w:t>无。</w:t>
      </w:r>
    </w:p>
    <w:p w14:paraId="77FF183A">
      <w:pPr>
        <w:pStyle w:val="36"/>
      </w:pPr>
      <w:bookmarkStart w:id="113" w:name="_Toc113"/>
      <w:r>
        <w:t>权证交易</w:t>
      </w:r>
      <w:bookmarkEnd w:id="113"/>
    </w:p>
    <w:p w14:paraId="56B3BB2B">
      <w:pPr>
        <w:pStyle w:val="18"/>
        <w:rPr>
          <w:rFonts w:hint="eastAsia"/>
        </w:rPr>
      </w:pPr>
      <w:r>
        <w:rPr>
          <w:rFonts w:hint="eastAsia"/>
        </w:rPr>
        <w:t>无。</w:t>
      </w:r>
    </w:p>
    <w:p w14:paraId="68F55B0B">
      <w:pPr>
        <w:pStyle w:val="36"/>
      </w:pPr>
      <w:bookmarkStart w:id="114" w:name="_Toc114"/>
      <w:r>
        <w:t>应支付关联方的佣金</w:t>
      </w:r>
      <w:bookmarkEnd w:id="114"/>
    </w:p>
    <w:p w14:paraId="24C3C083">
      <w:pPr>
        <w:pStyle w:val="18"/>
        <w:rPr>
          <w:rFonts w:hint="eastAsia"/>
        </w:rPr>
      </w:pPr>
      <w:r>
        <w:rPr>
          <w:rFonts w:hint="eastAsia"/>
        </w:rPr>
        <w:t>无。</w:t>
      </w:r>
    </w:p>
    <w:p w14:paraId="2C7DB257">
      <w:pPr>
        <w:pStyle w:val="35"/>
      </w:pPr>
      <w:bookmarkStart w:id="115" w:name="_Toc115"/>
      <w:r>
        <w:t>关联方报酬</w:t>
      </w:r>
      <w:bookmarkEnd w:id="115"/>
    </w:p>
    <w:p w14:paraId="18C80EA5">
      <w:pPr>
        <w:pStyle w:val="36"/>
      </w:pPr>
      <w:bookmarkStart w:id="116" w:name="_Toc116"/>
      <w:r>
        <w:t>基金管理费</w:t>
      </w:r>
      <w:bookmarkEnd w:id="116"/>
    </w:p>
    <w:p w14:paraId="0587D3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662A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1C2F8CED">
            <w:pPr>
              <w:jc w:val="center"/>
            </w:pPr>
            <w:r>
              <w:rPr>
                <w:rFonts w:hint="eastAsia"/>
                <w:b/>
              </w:rPr>
              <w:t>项目</w:t>
            </w:r>
          </w:p>
        </w:tc>
        <w:tc>
          <w:tcPr>
            <w:tcW w:w="3599" w:type="dxa"/>
            <w:shd w:val="clear" w:color="auto" w:fill="BFBFBF"/>
            <w:vAlign w:val="center"/>
          </w:tcPr>
          <w:p w14:paraId="1D6FF294">
            <w:pPr>
              <w:jc w:val="center"/>
            </w:pPr>
            <w:r>
              <w:rPr>
                <w:rFonts w:hint="eastAsia"/>
                <w:b/>
              </w:rPr>
              <w:t>本期2025年10月30日（基金合同生效日）至2025年12月31日</w:t>
            </w:r>
          </w:p>
        </w:tc>
      </w:tr>
      <w:tr w14:paraId="6113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31EE5BEC">
            <w:r>
              <w:rPr>
                <w:rFonts w:hint="eastAsia"/>
              </w:rPr>
              <w:t>当期发生的基金应支付的管理费</w:t>
            </w:r>
          </w:p>
        </w:tc>
        <w:tc>
          <w:tcPr>
            <w:tcW w:w="3599" w:type="dxa"/>
            <w:vAlign w:val="center"/>
          </w:tcPr>
          <w:p w14:paraId="2ED02C0E">
            <w:pPr>
              <w:jc w:val="right"/>
            </w:pPr>
            <w:r>
              <w:rPr>
                <w:rFonts w:hint="eastAsia"/>
              </w:rPr>
              <w:t>1,001,750.78</w:t>
            </w:r>
          </w:p>
        </w:tc>
      </w:tr>
      <w:tr w14:paraId="21D4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26AC0887">
            <w:r>
              <w:rPr>
                <w:rFonts w:hint="eastAsia"/>
              </w:rPr>
              <w:t>其中：应支付销售机构的客户维护费</w:t>
            </w:r>
          </w:p>
        </w:tc>
        <w:tc>
          <w:tcPr>
            <w:tcW w:w="3599" w:type="dxa"/>
            <w:vAlign w:val="center"/>
          </w:tcPr>
          <w:p w14:paraId="5F065585">
            <w:pPr>
              <w:jc w:val="right"/>
            </w:pPr>
            <w:r>
              <w:rPr>
                <w:rFonts w:hint="eastAsia"/>
              </w:rPr>
              <w:t>1,210,324.90</w:t>
            </w:r>
          </w:p>
        </w:tc>
      </w:tr>
      <w:tr w14:paraId="5BC5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E31CE0F">
            <w:r>
              <w:rPr>
                <w:rFonts w:hint="eastAsia"/>
              </w:rPr>
              <w:t xml:space="preserve">      应支付基金管理人的净管理费</w:t>
            </w:r>
          </w:p>
        </w:tc>
        <w:tc>
          <w:tcPr>
            <w:tcW w:w="3599" w:type="dxa"/>
            <w:vAlign w:val="center"/>
          </w:tcPr>
          <w:p w14:paraId="3D007838">
            <w:pPr>
              <w:jc w:val="right"/>
            </w:pPr>
            <w:r>
              <w:rPr>
                <w:rFonts w:hint="eastAsia"/>
              </w:rPr>
              <w:t>-208,574.12</w:t>
            </w:r>
          </w:p>
        </w:tc>
      </w:tr>
    </w:tbl>
    <w:p w14:paraId="5EF35E33">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634E4F55">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2A4AC733">
      <w:pPr>
        <w:pStyle w:val="47"/>
        <w:rPr>
          <w:rFonts w:hint="eastAsia"/>
        </w:rPr>
      </w:pPr>
      <w:r>
        <w:tab/>
      </w:r>
      <w:r>
        <w:rPr>
          <w:rFonts w:hint="eastAsia"/>
        </w:rPr>
        <w:t>日管理人报酬＝(前一日基金资产净值-前一日所持有目标ETF基金份额部分的基金资产)×0.50%÷当年天数。</w:t>
      </w:r>
    </w:p>
    <w:p w14:paraId="2007CD85">
      <w:pPr>
        <w:pStyle w:val="36"/>
      </w:pPr>
      <w:bookmarkStart w:id="117" w:name="_Toc117"/>
      <w:r>
        <w:t>基金托管费</w:t>
      </w:r>
      <w:bookmarkEnd w:id="117"/>
    </w:p>
    <w:p w14:paraId="630578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6AAC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2EA6D5F0">
            <w:pPr>
              <w:jc w:val="center"/>
            </w:pPr>
            <w:r>
              <w:rPr>
                <w:rFonts w:hint="eastAsia"/>
                <w:b/>
              </w:rPr>
              <w:t>项目</w:t>
            </w:r>
          </w:p>
        </w:tc>
        <w:tc>
          <w:tcPr>
            <w:tcW w:w="3599" w:type="dxa"/>
            <w:shd w:val="clear" w:color="auto" w:fill="BFBFBF"/>
            <w:vAlign w:val="center"/>
          </w:tcPr>
          <w:p w14:paraId="44A81C47">
            <w:pPr>
              <w:jc w:val="center"/>
            </w:pPr>
            <w:r>
              <w:rPr>
                <w:rFonts w:hint="eastAsia"/>
                <w:b/>
              </w:rPr>
              <w:t>本期2025年10月30日（基金合同生效日）至2025年12月31日</w:t>
            </w:r>
          </w:p>
        </w:tc>
      </w:tr>
      <w:tr w14:paraId="7C83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14470BBE">
            <w:r>
              <w:rPr>
                <w:rFonts w:hint="eastAsia"/>
              </w:rPr>
              <w:t>当期发生的基金应支付的托管费</w:t>
            </w:r>
          </w:p>
        </w:tc>
        <w:tc>
          <w:tcPr>
            <w:tcW w:w="3599" w:type="dxa"/>
            <w:vAlign w:val="center"/>
          </w:tcPr>
          <w:p w14:paraId="26B35922">
            <w:pPr>
              <w:jc w:val="right"/>
            </w:pPr>
            <w:r>
              <w:rPr>
                <w:rFonts w:hint="eastAsia"/>
              </w:rPr>
              <w:t>200,350.12</w:t>
            </w:r>
          </w:p>
        </w:tc>
      </w:tr>
    </w:tbl>
    <w:p w14:paraId="58B1E3E7">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w:t>
      </w:r>
    </w:p>
    <w:p w14:paraId="3D9B778F">
      <w:pPr>
        <w:pStyle w:val="47"/>
        <w:rPr>
          <w:rFonts w:hint="eastAsia"/>
        </w:rPr>
      </w:pPr>
      <w:r>
        <w:tab/>
      </w:r>
      <w:r>
        <w:rPr>
          <w:rFonts w:hint="eastAsia"/>
        </w:rPr>
        <w:t>日托管费＝(前一日基金资产净值-前一日所持有目标ETF基金份额部分的基金资产)×0.10%÷当年天数。</w:t>
      </w:r>
    </w:p>
    <w:p w14:paraId="3DBCD729">
      <w:pPr>
        <w:pStyle w:val="36"/>
      </w:pPr>
      <w:bookmarkStart w:id="118" w:name="_Toc118"/>
      <w:r>
        <w:t>销售服务费</w:t>
      </w:r>
      <w:bookmarkEnd w:id="118"/>
    </w:p>
    <w:p w14:paraId="07A63C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8A2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4674B0F">
            <w:r>
              <w:rPr>
                <w:rFonts w:hint="eastAsia"/>
              </w:rPr>
              <w:t>获得销售服务费的各关联方名称</w:t>
            </w:r>
          </w:p>
        </w:tc>
        <w:tc>
          <w:tcPr>
            <w:tcW w:w="2214" w:type="dxa"/>
            <w:gridSpan w:val="3"/>
            <w:vAlign w:val="center"/>
          </w:tcPr>
          <w:p w14:paraId="51A84DDE">
            <w:r>
              <w:rPr>
                <w:rFonts w:hint="eastAsia"/>
              </w:rPr>
              <w:t>本期2025年10月30日(基金合同生效日)至2025年12月31日</w:t>
            </w:r>
          </w:p>
        </w:tc>
      </w:tr>
      <w:tr w14:paraId="76E8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659AF13"/>
        </w:tc>
        <w:tc>
          <w:tcPr>
            <w:tcW w:w="2214" w:type="dxa"/>
            <w:gridSpan w:val="3"/>
            <w:vAlign w:val="center"/>
          </w:tcPr>
          <w:p w14:paraId="7695B7B7">
            <w:r>
              <w:rPr>
                <w:rFonts w:hint="eastAsia"/>
              </w:rPr>
              <w:t>当期发生的基金应支付的销售服务费</w:t>
            </w:r>
          </w:p>
        </w:tc>
      </w:tr>
      <w:tr w14:paraId="1D02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22224BA"/>
        </w:tc>
        <w:tc>
          <w:tcPr>
            <w:tcW w:w="2214" w:type="dxa"/>
            <w:vAlign w:val="center"/>
          </w:tcPr>
          <w:p w14:paraId="533EECEB">
            <w:r>
              <w:rPr>
                <w:rFonts w:hint="eastAsia"/>
              </w:rPr>
              <w:t>南方创业板人工智能ETF联接A</w:t>
            </w:r>
          </w:p>
        </w:tc>
        <w:tc>
          <w:tcPr>
            <w:tcW w:w="2214" w:type="dxa"/>
            <w:vAlign w:val="center"/>
          </w:tcPr>
          <w:p w14:paraId="52C2F3B8">
            <w:r>
              <w:rPr>
                <w:rFonts w:hint="eastAsia"/>
              </w:rPr>
              <w:t>南方创业板人工智能ETF联接C</w:t>
            </w:r>
          </w:p>
        </w:tc>
        <w:tc>
          <w:tcPr>
            <w:tcW w:w="1938" w:type="dxa"/>
            <w:vAlign w:val="center"/>
          </w:tcPr>
          <w:p w14:paraId="477CC2BE">
            <w:r>
              <w:rPr>
                <w:rFonts w:hint="eastAsia"/>
              </w:rPr>
              <w:t>合计</w:t>
            </w:r>
          </w:p>
        </w:tc>
      </w:tr>
      <w:tr w14:paraId="3CF2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30A4E1">
            <w:r>
              <w:rPr>
                <w:rFonts w:hint="eastAsia"/>
              </w:rPr>
              <w:t>华泰证券</w:t>
            </w:r>
          </w:p>
        </w:tc>
        <w:tc>
          <w:tcPr>
            <w:tcW w:w="2214" w:type="dxa"/>
            <w:vAlign w:val="center"/>
          </w:tcPr>
          <w:p w14:paraId="56EA8FD6">
            <w:pPr>
              <w:jc w:val="right"/>
            </w:pPr>
            <w:r>
              <w:rPr>
                <w:rFonts w:hint="eastAsia"/>
              </w:rPr>
              <w:t>-</w:t>
            </w:r>
          </w:p>
        </w:tc>
        <w:tc>
          <w:tcPr>
            <w:tcW w:w="2214" w:type="dxa"/>
            <w:vAlign w:val="center"/>
          </w:tcPr>
          <w:p w14:paraId="39592446">
            <w:pPr>
              <w:jc w:val="right"/>
            </w:pPr>
            <w:r>
              <w:rPr>
                <w:rFonts w:hint="eastAsia"/>
              </w:rPr>
              <w:t>478.94</w:t>
            </w:r>
          </w:p>
        </w:tc>
        <w:tc>
          <w:tcPr>
            <w:tcW w:w="1938" w:type="dxa"/>
            <w:vAlign w:val="center"/>
          </w:tcPr>
          <w:p w14:paraId="1D8BD737">
            <w:pPr>
              <w:jc w:val="right"/>
            </w:pPr>
            <w:r>
              <w:rPr>
                <w:rFonts w:hint="eastAsia"/>
              </w:rPr>
              <w:t>478.94</w:t>
            </w:r>
          </w:p>
        </w:tc>
      </w:tr>
      <w:tr w14:paraId="0033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9EE5C1">
            <w:r>
              <w:rPr>
                <w:rFonts w:hint="eastAsia"/>
              </w:rPr>
              <w:t>建设银行</w:t>
            </w:r>
          </w:p>
        </w:tc>
        <w:tc>
          <w:tcPr>
            <w:tcW w:w="2214" w:type="dxa"/>
            <w:vAlign w:val="center"/>
          </w:tcPr>
          <w:p w14:paraId="3380C053">
            <w:pPr>
              <w:jc w:val="right"/>
            </w:pPr>
            <w:r>
              <w:rPr>
                <w:rFonts w:hint="eastAsia"/>
              </w:rPr>
              <w:t>-</w:t>
            </w:r>
          </w:p>
        </w:tc>
        <w:tc>
          <w:tcPr>
            <w:tcW w:w="2214" w:type="dxa"/>
            <w:vAlign w:val="center"/>
          </w:tcPr>
          <w:p w14:paraId="0051EC9B">
            <w:pPr>
              <w:jc w:val="right"/>
            </w:pPr>
            <w:r>
              <w:rPr>
                <w:rFonts w:hint="eastAsia"/>
              </w:rPr>
              <w:t>304,478.89</w:t>
            </w:r>
          </w:p>
        </w:tc>
        <w:tc>
          <w:tcPr>
            <w:tcW w:w="1938" w:type="dxa"/>
            <w:vAlign w:val="center"/>
          </w:tcPr>
          <w:p w14:paraId="5EBA190C">
            <w:pPr>
              <w:jc w:val="right"/>
            </w:pPr>
            <w:r>
              <w:rPr>
                <w:rFonts w:hint="eastAsia"/>
              </w:rPr>
              <w:t>304,478.89</w:t>
            </w:r>
          </w:p>
        </w:tc>
      </w:tr>
      <w:tr w14:paraId="1183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3CC1FBC">
            <w:r>
              <w:rPr>
                <w:rFonts w:hint="eastAsia"/>
              </w:rPr>
              <w:t>南方基金</w:t>
            </w:r>
          </w:p>
        </w:tc>
        <w:tc>
          <w:tcPr>
            <w:tcW w:w="2214" w:type="dxa"/>
            <w:vAlign w:val="center"/>
          </w:tcPr>
          <w:p w14:paraId="1C8B921A">
            <w:pPr>
              <w:jc w:val="right"/>
            </w:pPr>
            <w:r>
              <w:rPr>
                <w:rFonts w:hint="eastAsia"/>
              </w:rPr>
              <w:t>-</w:t>
            </w:r>
          </w:p>
        </w:tc>
        <w:tc>
          <w:tcPr>
            <w:tcW w:w="2214" w:type="dxa"/>
            <w:vAlign w:val="center"/>
          </w:tcPr>
          <w:p w14:paraId="3C62B425">
            <w:pPr>
              <w:jc w:val="right"/>
            </w:pPr>
            <w:r>
              <w:rPr>
                <w:rFonts w:hint="eastAsia"/>
              </w:rPr>
              <w:t>1,070.74</w:t>
            </w:r>
          </w:p>
        </w:tc>
        <w:tc>
          <w:tcPr>
            <w:tcW w:w="1938" w:type="dxa"/>
            <w:vAlign w:val="center"/>
          </w:tcPr>
          <w:p w14:paraId="0008BD88">
            <w:pPr>
              <w:jc w:val="right"/>
            </w:pPr>
            <w:r>
              <w:rPr>
                <w:rFonts w:hint="eastAsia"/>
              </w:rPr>
              <w:t>1,070.74</w:t>
            </w:r>
          </w:p>
        </w:tc>
      </w:tr>
      <w:tr w14:paraId="4784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CAB3C8F">
            <w:r>
              <w:rPr>
                <w:rFonts w:hint="eastAsia"/>
              </w:rPr>
              <w:t>合计</w:t>
            </w:r>
          </w:p>
        </w:tc>
        <w:tc>
          <w:tcPr>
            <w:tcW w:w="2214" w:type="dxa"/>
            <w:vAlign w:val="center"/>
          </w:tcPr>
          <w:p w14:paraId="64E28303">
            <w:pPr>
              <w:jc w:val="right"/>
            </w:pPr>
            <w:r>
              <w:rPr>
                <w:rFonts w:hint="eastAsia"/>
              </w:rPr>
              <w:t>-</w:t>
            </w:r>
          </w:p>
        </w:tc>
        <w:tc>
          <w:tcPr>
            <w:tcW w:w="2214" w:type="dxa"/>
            <w:vAlign w:val="center"/>
          </w:tcPr>
          <w:p w14:paraId="1E421921">
            <w:pPr>
              <w:jc w:val="right"/>
            </w:pPr>
            <w:r>
              <w:rPr>
                <w:rFonts w:hint="eastAsia"/>
              </w:rPr>
              <w:t>306,028.57</w:t>
            </w:r>
          </w:p>
        </w:tc>
        <w:tc>
          <w:tcPr>
            <w:tcW w:w="1938" w:type="dxa"/>
            <w:vAlign w:val="center"/>
          </w:tcPr>
          <w:p w14:paraId="4DDFAB8C">
            <w:pPr>
              <w:jc w:val="right"/>
            </w:pPr>
            <w:r>
              <w:rPr>
                <w:rFonts w:hint="eastAsia"/>
              </w:rPr>
              <w:t>306,028.57</w:t>
            </w:r>
          </w:p>
        </w:tc>
      </w:tr>
    </w:tbl>
    <w:p w14:paraId="387D4E4E">
      <w:pPr>
        <w:pStyle w:val="47"/>
        <w:rPr>
          <w:rFonts w:hint="eastAsia"/>
        </w:rPr>
      </w:pPr>
      <w:r>
        <w:rPr>
          <w:rFonts w:hint="eastAsia"/>
        </w:rPr>
        <w:t>注：支付基金销售机构的销售服务费按前一日C类基金资产净值0.30%的年费率计提，逐日累计至每月月底，按月支付给南方基金，再由南方基金计算并支付给各基金销售机构。其计算公式为：</w:t>
      </w:r>
    </w:p>
    <w:p w14:paraId="6B3BEAF4">
      <w:pPr>
        <w:pStyle w:val="47"/>
        <w:rPr>
          <w:rFonts w:hint="eastAsia"/>
        </w:rPr>
      </w:pPr>
      <w:r>
        <w:tab/>
      </w:r>
      <w:r>
        <w:rPr>
          <w:rFonts w:hint="eastAsia"/>
        </w:rPr>
        <w:t>日销售服务费＝前一日C类基金资产净值×0.30%÷当年天数。</w:t>
      </w:r>
    </w:p>
    <w:p w14:paraId="2FBD51B5">
      <w:pPr>
        <w:pStyle w:val="35"/>
      </w:pPr>
      <w:bookmarkStart w:id="119" w:name="_Toc119"/>
      <w:r>
        <w:t>与关联方进行银行间同业市场的债券（含回购）交易</w:t>
      </w:r>
      <w:bookmarkEnd w:id="119"/>
    </w:p>
    <w:p w14:paraId="1899FC84">
      <w:pPr>
        <w:pStyle w:val="18"/>
        <w:rPr>
          <w:rFonts w:hint="eastAsia"/>
        </w:rPr>
      </w:pPr>
      <w:r>
        <w:rPr>
          <w:rFonts w:hint="eastAsia"/>
        </w:rPr>
        <w:t>无。</w:t>
      </w:r>
    </w:p>
    <w:p w14:paraId="7B7AC441">
      <w:pPr>
        <w:pStyle w:val="35"/>
      </w:pPr>
      <w:bookmarkStart w:id="120" w:name="_Toc120"/>
      <w:r>
        <w:t>报告期内转融通证券出借业务发生重大关联交易事项的说明</w:t>
      </w:r>
      <w:bookmarkEnd w:id="120"/>
    </w:p>
    <w:p w14:paraId="194E90A2">
      <w:pPr>
        <w:pStyle w:val="36"/>
      </w:pPr>
      <w:bookmarkStart w:id="121" w:name="_Toc121"/>
      <w:r>
        <w:t>与关联方通过约定申报方式进行的适用固定期限费率的证券出借业务的情况</w:t>
      </w:r>
      <w:bookmarkEnd w:id="121"/>
    </w:p>
    <w:p w14:paraId="4282D309">
      <w:pPr>
        <w:pStyle w:val="18"/>
        <w:rPr>
          <w:rFonts w:hint="eastAsia"/>
        </w:rPr>
      </w:pPr>
      <w:r>
        <w:rPr>
          <w:rFonts w:hint="eastAsia"/>
        </w:rPr>
        <w:t>无。</w:t>
      </w:r>
    </w:p>
    <w:p w14:paraId="0E7993EF">
      <w:pPr>
        <w:pStyle w:val="36"/>
      </w:pPr>
      <w:bookmarkStart w:id="122" w:name="_Toc122"/>
      <w:r>
        <w:t>与关联方通过约定申报方式进行的适用市场化期限费率的证券出借业务的情况</w:t>
      </w:r>
      <w:bookmarkEnd w:id="122"/>
    </w:p>
    <w:p w14:paraId="5F91A1D1">
      <w:pPr>
        <w:pStyle w:val="18"/>
        <w:rPr>
          <w:rFonts w:hint="eastAsia"/>
        </w:rPr>
      </w:pPr>
      <w:r>
        <w:rPr>
          <w:rFonts w:hint="eastAsia"/>
        </w:rPr>
        <w:t>无。</w:t>
      </w:r>
    </w:p>
    <w:p w14:paraId="15072B2B">
      <w:pPr>
        <w:pStyle w:val="35"/>
      </w:pPr>
      <w:bookmarkStart w:id="123" w:name="_Toc123"/>
      <w:r>
        <w:t>各关联方投资本基金的情况</w:t>
      </w:r>
      <w:bookmarkEnd w:id="123"/>
    </w:p>
    <w:p w14:paraId="19CFDDCC">
      <w:pPr>
        <w:pStyle w:val="36"/>
      </w:pPr>
      <w:bookmarkStart w:id="124" w:name="_Toc124"/>
      <w:r>
        <w:t>报告期内基金管理人运用固有资金投资本基金的情况</w:t>
      </w:r>
      <w:bookmarkEnd w:id="124"/>
    </w:p>
    <w:p w14:paraId="741F9352">
      <w:pPr>
        <w:pStyle w:val="18"/>
        <w:rPr>
          <w:rFonts w:hint="eastAsia"/>
        </w:rPr>
      </w:pPr>
      <w:r>
        <w:rPr>
          <w:rFonts w:hint="eastAsia"/>
        </w:rPr>
        <w:t>无。</w:t>
      </w:r>
    </w:p>
    <w:p w14:paraId="44031A00">
      <w:pPr>
        <w:pStyle w:val="36"/>
      </w:pPr>
      <w:bookmarkStart w:id="125" w:name="_Toc125"/>
      <w:r>
        <w:t>报告期末除基金管理人之外的其他关联方投资本基金的情况</w:t>
      </w:r>
      <w:bookmarkEnd w:id="125"/>
    </w:p>
    <w:p w14:paraId="4181A184">
      <w:pPr>
        <w:pStyle w:val="18"/>
        <w:rPr>
          <w:rFonts w:hint="eastAsia"/>
        </w:rPr>
      </w:pPr>
      <w:r>
        <w:rPr>
          <w:rFonts w:hint="eastAsia"/>
        </w:rPr>
        <w:t>无。</w:t>
      </w:r>
    </w:p>
    <w:p w14:paraId="431AFE5F">
      <w:pPr>
        <w:pStyle w:val="35"/>
      </w:pPr>
      <w:bookmarkStart w:id="126" w:name="_Toc126"/>
      <w:r>
        <w:t>由关联方保管的银行存款余额及当期产生的利息收入</w:t>
      </w:r>
      <w:bookmarkEnd w:id="126"/>
    </w:p>
    <w:p w14:paraId="2B4F16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4593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34FB9D92">
            <w:pPr>
              <w:jc w:val="center"/>
            </w:pPr>
            <w:r>
              <w:rPr>
                <w:rFonts w:hint="eastAsia"/>
                <w:b/>
              </w:rPr>
              <w:t>关联方名称</w:t>
            </w:r>
          </w:p>
        </w:tc>
        <w:tc>
          <w:tcPr>
            <w:tcW w:w="3294" w:type="dxa"/>
            <w:gridSpan w:val="2"/>
            <w:shd w:val="clear" w:color="auto" w:fill="BFBFBF"/>
            <w:vAlign w:val="center"/>
          </w:tcPr>
          <w:p w14:paraId="4020644A">
            <w:pPr>
              <w:jc w:val="center"/>
            </w:pPr>
            <w:r>
              <w:rPr>
                <w:rFonts w:hint="eastAsia"/>
                <w:b/>
              </w:rPr>
              <w:t>本期2025年10月30日（基金合同生效日）至2025年12月31日</w:t>
            </w:r>
          </w:p>
        </w:tc>
      </w:tr>
      <w:tr w14:paraId="51C4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51F36D6B"/>
        </w:tc>
        <w:tc>
          <w:tcPr>
            <w:tcW w:w="3294" w:type="dxa"/>
            <w:shd w:val="clear" w:color="auto" w:fill="BFBFBF"/>
            <w:vAlign w:val="center"/>
          </w:tcPr>
          <w:p w14:paraId="0AAF7B0E">
            <w:pPr>
              <w:jc w:val="center"/>
            </w:pPr>
            <w:r>
              <w:rPr>
                <w:rFonts w:hint="eastAsia"/>
                <w:b/>
              </w:rPr>
              <w:t>期末余额</w:t>
            </w:r>
          </w:p>
        </w:tc>
        <w:tc>
          <w:tcPr>
            <w:tcW w:w="3294" w:type="dxa"/>
            <w:shd w:val="clear" w:color="auto" w:fill="BFBFBF"/>
            <w:vAlign w:val="center"/>
          </w:tcPr>
          <w:p w14:paraId="2D5015F5">
            <w:pPr>
              <w:jc w:val="center"/>
            </w:pPr>
            <w:r>
              <w:rPr>
                <w:rFonts w:hint="eastAsia"/>
                <w:b/>
              </w:rPr>
              <w:t>当期利息收入</w:t>
            </w:r>
          </w:p>
        </w:tc>
      </w:tr>
      <w:tr w14:paraId="730A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6F54E519">
            <w:r>
              <w:rPr>
                <w:rFonts w:hint="eastAsia"/>
              </w:rPr>
              <w:t>中国建设银行</w:t>
            </w:r>
          </w:p>
        </w:tc>
        <w:tc>
          <w:tcPr>
            <w:tcW w:w="3294" w:type="dxa"/>
            <w:vAlign w:val="center"/>
          </w:tcPr>
          <w:p w14:paraId="475E1156">
            <w:pPr>
              <w:jc w:val="right"/>
            </w:pPr>
            <w:r>
              <w:rPr>
                <w:rFonts w:hint="eastAsia"/>
              </w:rPr>
              <w:t>42,419,822.36</w:t>
            </w:r>
          </w:p>
        </w:tc>
        <w:tc>
          <w:tcPr>
            <w:tcW w:w="3294" w:type="dxa"/>
            <w:vAlign w:val="center"/>
          </w:tcPr>
          <w:p w14:paraId="613B053A">
            <w:pPr>
              <w:jc w:val="right"/>
            </w:pPr>
            <w:r>
              <w:rPr>
                <w:rFonts w:hint="eastAsia"/>
              </w:rPr>
              <w:t>93,805.34</w:t>
            </w:r>
          </w:p>
        </w:tc>
      </w:tr>
    </w:tbl>
    <w:p w14:paraId="3568A52B">
      <w:pPr>
        <w:pStyle w:val="47"/>
        <w:rPr>
          <w:rFonts w:hint="eastAsia"/>
        </w:rPr>
      </w:pPr>
      <w:r>
        <w:rPr>
          <w:rFonts w:hint="eastAsia"/>
        </w:rPr>
        <w:t>注：本基金的银行存款由基金托管人保管，按银行约定利率计息。</w:t>
      </w:r>
    </w:p>
    <w:p w14:paraId="12E28F7C">
      <w:pPr>
        <w:pStyle w:val="35"/>
      </w:pPr>
      <w:bookmarkStart w:id="127" w:name="_Toc127"/>
      <w:r>
        <w:t>本基金在承销期内参与关联方承销证券的情况</w:t>
      </w:r>
      <w:bookmarkEnd w:id="127"/>
    </w:p>
    <w:p w14:paraId="79D769E2">
      <w:pPr>
        <w:pStyle w:val="18"/>
        <w:rPr>
          <w:rFonts w:hint="eastAsia"/>
        </w:rPr>
      </w:pPr>
      <w:r>
        <w:rPr>
          <w:rFonts w:hint="eastAsia"/>
        </w:rPr>
        <w:t>无。</w:t>
      </w:r>
    </w:p>
    <w:p w14:paraId="67848964">
      <w:pPr>
        <w:pStyle w:val="35"/>
      </w:pPr>
      <w:bookmarkStart w:id="128" w:name="_Toc128"/>
      <w:r>
        <w:t>其他关联交易事项的说明</w:t>
      </w:r>
      <w:bookmarkEnd w:id="128"/>
    </w:p>
    <w:p w14:paraId="3CA66C70">
      <w:pPr>
        <w:pStyle w:val="36"/>
      </w:pPr>
      <w:bookmarkStart w:id="129" w:name="_Toc129"/>
      <w:r>
        <w:t>其他关联交易事项的说明</w:t>
      </w:r>
      <w:bookmarkEnd w:id="129"/>
    </w:p>
    <w:p w14:paraId="29185887">
      <w:pPr>
        <w:pStyle w:val="18"/>
        <w:rPr>
          <w:rFonts w:hint="eastAsia"/>
        </w:rPr>
      </w:pPr>
      <w:r>
        <w:rPr>
          <w:rFonts w:hint="eastAsia"/>
        </w:rPr>
        <w:t>于本期末，本基金持有目标ETF基金份额，成本总额为人民币1,284,041,789.48元，估值总额为人民币1,510,720,342.30元，占本基金基金净资产的比例为94.99%。</w:t>
      </w:r>
    </w:p>
    <w:p w14:paraId="76AB17AD">
      <w:pPr>
        <w:pStyle w:val="28"/>
      </w:pPr>
      <w:bookmarkStart w:id="130" w:name="_Toc130"/>
      <w:r>
        <w:t>利润分配情况——固定净值型货币市场基金之外的基金</w:t>
      </w:r>
      <w:bookmarkEnd w:id="130"/>
    </w:p>
    <w:p w14:paraId="44667B24">
      <w:pPr>
        <w:pStyle w:val="47"/>
        <w:rPr>
          <w:rFonts w:hint="eastAsia"/>
        </w:rPr>
      </w:pPr>
      <w:r>
        <w:rPr>
          <w:rFonts w:hint="eastAsia"/>
        </w:rPr>
        <w:t>注：本期无。本基金报告期后分红情况（如有）详见本报告“资产负债表日后事项”部分内容。</w:t>
      </w:r>
    </w:p>
    <w:p w14:paraId="70933C7F">
      <w:pPr>
        <w:pStyle w:val="28"/>
      </w:pPr>
      <w:bookmarkStart w:id="131" w:name="_Toc131"/>
      <w:r>
        <w:t>期末（2025年12月31日）本基金持有的流通受限证券</w:t>
      </w:r>
      <w:bookmarkEnd w:id="131"/>
    </w:p>
    <w:p w14:paraId="0DD97BDD">
      <w:pPr>
        <w:pStyle w:val="35"/>
      </w:pPr>
      <w:bookmarkStart w:id="132" w:name="_Toc132"/>
      <w:r>
        <w:t>因认购新发/增发证券而于期末持有的流通受限证券</w:t>
      </w:r>
      <w:bookmarkEnd w:id="132"/>
    </w:p>
    <w:p w14:paraId="7DF285D4">
      <w:pPr>
        <w:pStyle w:val="18"/>
        <w:rPr>
          <w:rFonts w:hint="eastAsia"/>
        </w:rPr>
      </w:pPr>
      <w:r>
        <w:rPr>
          <w:rFonts w:hint="eastAsia"/>
        </w:rPr>
        <w:t>无。</w:t>
      </w:r>
    </w:p>
    <w:p w14:paraId="118FB58C">
      <w:pPr>
        <w:pStyle w:val="35"/>
      </w:pPr>
      <w:bookmarkStart w:id="133" w:name="_Toc133"/>
      <w:r>
        <w:t>期末持有的暂时停牌等流通受限股票</w:t>
      </w:r>
      <w:bookmarkEnd w:id="133"/>
    </w:p>
    <w:p w14:paraId="5CF2B225">
      <w:pPr>
        <w:pStyle w:val="18"/>
        <w:rPr>
          <w:rFonts w:hint="eastAsia"/>
        </w:rPr>
      </w:pPr>
      <w:r>
        <w:rPr>
          <w:rFonts w:hint="eastAsia"/>
        </w:rPr>
        <w:t>无。</w:t>
      </w:r>
    </w:p>
    <w:p w14:paraId="0608D9AC">
      <w:pPr>
        <w:pStyle w:val="35"/>
      </w:pPr>
      <w:bookmarkStart w:id="134" w:name="_Toc134"/>
      <w:r>
        <w:t>期末债券正回购交易中作为抵押的债券</w:t>
      </w:r>
      <w:bookmarkEnd w:id="134"/>
    </w:p>
    <w:p w14:paraId="2600EAB7">
      <w:pPr>
        <w:pStyle w:val="36"/>
      </w:pPr>
      <w:bookmarkStart w:id="135" w:name="_Toc135"/>
      <w:r>
        <w:t>银行间市场债券正回购</w:t>
      </w:r>
      <w:bookmarkEnd w:id="135"/>
    </w:p>
    <w:p w14:paraId="6B0A87E2">
      <w:pPr>
        <w:pStyle w:val="18"/>
        <w:rPr>
          <w:rFonts w:hint="eastAsia"/>
        </w:rPr>
      </w:pPr>
      <w:r>
        <w:rPr>
          <w:rFonts w:hint="eastAsia"/>
        </w:rPr>
        <w:t>无。</w:t>
      </w:r>
    </w:p>
    <w:p w14:paraId="62724F07">
      <w:pPr>
        <w:pStyle w:val="36"/>
      </w:pPr>
      <w:bookmarkStart w:id="136" w:name="_Toc136"/>
      <w:r>
        <w:t>交易所市场债券正回购</w:t>
      </w:r>
      <w:bookmarkEnd w:id="136"/>
    </w:p>
    <w:p w14:paraId="6FD3D7F1">
      <w:pPr>
        <w:pStyle w:val="18"/>
        <w:rPr>
          <w:rFonts w:hint="eastAsia"/>
        </w:rPr>
      </w:pPr>
      <w:r>
        <w:rPr>
          <w:rFonts w:hint="eastAsia"/>
        </w:rPr>
        <w:t>无。</w:t>
      </w:r>
    </w:p>
    <w:p w14:paraId="1ED21E7C">
      <w:pPr>
        <w:pStyle w:val="35"/>
      </w:pPr>
      <w:bookmarkStart w:id="137" w:name="_Toc137"/>
      <w:r>
        <w:t>期末参与转融通证券出借业务的证券</w:t>
      </w:r>
      <w:bookmarkEnd w:id="137"/>
    </w:p>
    <w:p w14:paraId="39F253BA">
      <w:pPr>
        <w:pStyle w:val="18"/>
        <w:rPr>
          <w:rFonts w:hint="eastAsia"/>
        </w:rPr>
      </w:pPr>
      <w:r>
        <w:rPr>
          <w:rFonts w:hint="eastAsia"/>
        </w:rPr>
        <w:t>无。</w:t>
      </w:r>
    </w:p>
    <w:p w14:paraId="388CD6D8">
      <w:pPr>
        <w:pStyle w:val="28"/>
      </w:pPr>
      <w:bookmarkStart w:id="138" w:name="_Toc138"/>
      <w:r>
        <w:t>金融工具风险及管理</w:t>
      </w:r>
      <w:bookmarkEnd w:id="138"/>
    </w:p>
    <w:p w14:paraId="2D72D37E">
      <w:pPr>
        <w:pStyle w:val="35"/>
      </w:pPr>
      <w:bookmarkStart w:id="139" w:name="_Toc139"/>
      <w:r>
        <w:t>风险管理政策和组织架构</w:t>
      </w:r>
      <w:bookmarkEnd w:id="139"/>
    </w:p>
    <w:p w14:paraId="07F4789C">
      <w:pPr>
        <w:pStyle w:val="18"/>
        <w:rPr>
          <w:rFonts w:hint="eastAsia"/>
        </w:rPr>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78401BF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BF0044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9FF5DD7">
      <w:pPr>
        <w:pStyle w:val="35"/>
      </w:pPr>
      <w:bookmarkStart w:id="140" w:name="_Toc140"/>
      <w:r>
        <w:t>信用风险</w:t>
      </w:r>
      <w:bookmarkEnd w:id="140"/>
    </w:p>
    <w:p w14:paraId="0830E5A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5A4110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D5650F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AA8AA01">
      <w:pPr>
        <w:pStyle w:val="18"/>
        <w:rPr>
          <w:rFonts w:hint="eastAsia"/>
        </w:rPr>
      </w:pPr>
      <w:r>
        <w:rPr>
          <w:rFonts w:hint="eastAsia"/>
        </w:rPr>
        <w:t>于本期末，本基金未持有除国债、央行票据和政策性金融债以外的债券。</w:t>
      </w:r>
    </w:p>
    <w:p w14:paraId="75FD21B3">
      <w:pPr>
        <w:pStyle w:val="35"/>
      </w:pPr>
      <w:bookmarkStart w:id="141" w:name="_Toc141"/>
      <w:r>
        <w:t>流动性风险</w:t>
      </w:r>
      <w:bookmarkEnd w:id="141"/>
    </w:p>
    <w:p w14:paraId="73E4F6B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317F63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F98B02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25D24C6">
      <w:pPr>
        <w:pStyle w:val="36"/>
      </w:pPr>
      <w:bookmarkStart w:id="142" w:name="_Toc142"/>
      <w:r>
        <w:t>报告期内本基金组合资产的流动性风险分析</w:t>
      </w:r>
      <w:bookmarkEnd w:id="142"/>
    </w:p>
    <w:p w14:paraId="7160EB1A">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23B4D1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4A5FD8F">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396FD3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7CAB9E5">
      <w:pPr>
        <w:pStyle w:val="35"/>
      </w:pPr>
      <w:bookmarkStart w:id="143" w:name="_Toc143"/>
      <w:r>
        <w:t>市场风险</w:t>
      </w:r>
      <w:bookmarkEnd w:id="143"/>
    </w:p>
    <w:p w14:paraId="35E96D3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7DA675F">
      <w:pPr>
        <w:pStyle w:val="36"/>
      </w:pPr>
      <w:bookmarkStart w:id="144" w:name="_Toc144"/>
      <w:r>
        <w:t>利率风险</w:t>
      </w:r>
      <w:bookmarkEnd w:id="144"/>
    </w:p>
    <w:p w14:paraId="13CF101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4D1810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4C9D191">
      <w:pPr>
        <w:pStyle w:val="37"/>
      </w:pPr>
      <w:bookmarkStart w:id="145" w:name="_Toc145"/>
      <w:r>
        <w:t>利率风险敞口</w:t>
      </w:r>
      <w:bookmarkEnd w:id="145"/>
    </w:p>
    <w:p w14:paraId="68C72A5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546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8D146">
            <w:r>
              <w:rPr>
                <w:rFonts w:hint="eastAsia"/>
              </w:rPr>
              <w:t>本期末2025年12月31日</w:t>
            </w:r>
          </w:p>
        </w:tc>
        <w:tc>
          <w:tcPr>
            <w:tcW w:w="1384" w:type="dxa"/>
            <w:vAlign w:val="center"/>
          </w:tcPr>
          <w:p w14:paraId="228FB4DF">
            <w:r>
              <w:rPr>
                <w:rFonts w:hint="eastAsia"/>
              </w:rPr>
              <w:t>1年以内</w:t>
            </w:r>
          </w:p>
        </w:tc>
        <w:tc>
          <w:tcPr>
            <w:tcW w:w="1384" w:type="dxa"/>
            <w:vAlign w:val="center"/>
          </w:tcPr>
          <w:p w14:paraId="432B0768">
            <w:r>
              <w:rPr>
                <w:rFonts w:hint="eastAsia"/>
              </w:rPr>
              <w:t>1-5年</w:t>
            </w:r>
          </w:p>
        </w:tc>
        <w:tc>
          <w:tcPr>
            <w:tcW w:w="1384" w:type="dxa"/>
            <w:vAlign w:val="center"/>
          </w:tcPr>
          <w:p w14:paraId="76DE9E4B">
            <w:r>
              <w:rPr>
                <w:rFonts w:hint="eastAsia"/>
              </w:rPr>
              <w:t>5年以上</w:t>
            </w:r>
          </w:p>
        </w:tc>
        <w:tc>
          <w:tcPr>
            <w:tcW w:w="1384" w:type="dxa"/>
            <w:vAlign w:val="center"/>
          </w:tcPr>
          <w:p w14:paraId="083D0416">
            <w:r>
              <w:rPr>
                <w:rFonts w:hint="eastAsia"/>
              </w:rPr>
              <w:t>不计息</w:t>
            </w:r>
          </w:p>
        </w:tc>
        <w:tc>
          <w:tcPr>
            <w:tcW w:w="1384" w:type="dxa"/>
            <w:vAlign w:val="center"/>
          </w:tcPr>
          <w:p w14:paraId="79087398">
            <w:r>
              <w:rPr>
                <w:rFonts w:hint="eastAsia"/>
              </w:rPr>
              <w:t>合计</w:t>
            </w:r>
          </w:p>
        </w:tc>
      </w:tr>
      <w:tr w14:paraId="70D1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31915">
            <w:r>
              <w:rPr>
                <w:rFonts w:hint="eastAsia"/>
              </w:rPr>
              <w:t>资产</w:t>
            </w:r>
          </w:p>
        </w:tc>
        <w:tc>
          <w:tcPr>
            <w:tcW w:w="1384" w:type="dxa"/>
            <w:vAlign w:val="center"/>
          </w:tcPr>
          <w:p w14:paraId="54432ED5"/>
        </w:tc>
        <w:tc>
          <w:tcPr>
            <w:tcW w:w="1384" w:type="dxa"/>
            <w:vAlign w:val="center"/>
          </w:tcPr>
          <w:p w14:paraId="08688988"/>
        </w:tc>
        <w:tc>
          <w:tcPr>
            <w:tcW w:w="1384" w:type="dxa"/>
            <w:vAlign w:val="center"/>
          </w:tcPr>
          <w:p w14:paraId="0CE6FAA8"/>
        </w:tc>
        <w:tc>
          <w:tcPr>
            <w:tcW w:w="1384" w:type="dxa"/>
            <w:vAlign w:val="center"/>
          </w:tcPr>
          <w:p w14:paraId="2D97778F"/>
        </w:tc>
        <w:tc>
          <w:tcPr>
            <w:tcW w:w="1384" w:type="dxa"/>
            <w:vAlign w:val="center"/>
          </w:tcPr>
          <w:p w14:paraId="7E64FCFF"/>
        </w:tc>
      </w:tr>
      <w:tr w14:paraId="71DC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08940">
            <w:r>
              <w:rPr>
                <w:rFonts w:hint="eastAsia"/>
              </w:rPr>
              <w:t>货币资金</w:t>
            </w:r>
          </w:p>
        </w:tc>
        <w:tc>
          <w:tcPr>
            <w:tcW w:w="1384" w:type="dxa"/>
            <w:vAlign w:val="center"/>
          </w:tcPr>
          <w:p w14:paraId="7C160ADA">
            <w:pPr>
              <w:jc w:val="right"/>
            </w:pPr>
            <w:r>
              <w:rPr>
                <w:rFonts w:hint="eastAsia"/>
              </w:rPr>
              <w:t>151,810,894.52</w:t>
            </w:r>
          </w:p>
        </w:tc>
        <w:tc>
          <w:tcPr>
            <w:tcW w:w="1384" w:type="dxa"/>
            <w:vAlign w:val="center"/>
          </w:tcPr>
          <w:p w14:paraId="3C247B45">
            <w:pPr>
              <w:jc w:val="right"/>
            </w:pPr>
            <w:r>
              <w:rPr>
                <w:rFonts w:hint="eastAsia"/>
              </w:rPr>
              <w:t>-</w:t>
            </w:r>
          </w:p>
        </w:tc>
        <w:tc>
          <w:tcPr>
            <w:tcW w:w="1384" w:type="dxa"/>
            <w:vAlign w:val="center"/>
          </w:tcPr>
          <w:p w14:paraId="07328869">
            <w:pPr>
              <w:jc w:val="right"/>
            </w:pPr>
            <w:r>
              <w:rPr>
                <w:rFonts w:hint="eastAsia"/>
              </w:rPr>
              <w:t>-</w:t>
            </w:r>
          </w:p>
        </w:tc>
        <w:tc>
          <w:tcPr>
            <w:tcW w:w="1384" w:type="dxa"/>
            <w:vAlign w:val="center"/>
          </w:tcPr>
          <w:p w14:paraId="12FB3A00">
            <w:pPr>
              <w:jc w:val="right"/>
            </w:pPr>
            <w:r>
              <w:rPr>
                <w:rFonts w:hint="eastAsia"/>
              </w:rPr>
              <w:t>-</w:t>
            </w:r>
          </w:p>
        </w:tc>
        <w:tc>
          <w:tcPr>
            <w:tcW w:w="1384" w:type="dxa"/>
            <w:vAlign w:val="center"/>
          </w:tcPr>
          <w:p w14:paraId="73111E1D">
            <w:pPr>
              <w:jc w:val="right"/>
            </w:pPr>
            <w:r>
              <w:rPr>
                <w:rFonts w:hint="eastAsia"/>
              </w:rPr>
              <w:t>151,810,894.52</w:t>
            </w:r>
          </w:p>
        </w:tc>
      </w:tr>
      <w:tr w14:paraId="49E1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40D44">
            <w:r>
              <w:rPr>
                <w:rFonts w:hint="eastAsia"/>
              </w:rPr>
              <w:t>结算备付金</w:t>
            </w:r>
          </w:p>
        </w:tc>
        <w:tc>
          <w:tcPr>
            <w:tcW w:w="1384" w:type="dxa"/>
            <w:vAlign w:val="center"/>
          </w:tcPr>
          <w:p w14:paraId="486EC4F2">
            <w:pPr>
              <w:jc w:val="right"/>
            </w:pPr>
            <w:r>
              <w:rPr>
                <w:rFonts w:hint="eastAsia"/>
              </w:rPr>
              <w:t>-</w:t>
            </w:r>
          </w:p>
        </w:tc>
        <w:tc>
          <w:tcPr>
            <w:tcW w:w="1384" w:type="dxa"/>
            <w:vAlign w:val="center"/>
          </w:tcPr>
          <w:p w14:paraId="39B56FA5">
            <w:pPr>
              <w:jc w:val="right"/>
            </w:pPr>
            <w:r>
              <w:rPr>
                <w:rFonts w:hint="eastAsia"/>
              </w:rPr>
              <w:t>-</w:t>
            </w:r>
          </w:p>
        </w:tc>
        <w:tc>
          <w:tcPr>
            <w:tcW w:w="1384" w:type="dxa"/>
            <w:vAlign w:val="center"/>
          </w:tcPr>
          <w:p w14:paraId="25102B97">
            <w:pPr>
              <w:jc w:val="right"/>
            </w:pPr>
            <w:r>
              <w:rPr>
                <w:rFonts w:hint="eastAsia"/>
              </w:rPr>
              <w:t>-</w:t>
            </w:r>
          </w:p>
        </w:tc>
        <w:tc>
          <w:tcPr>
            <w:tcW w:w="1384" w:type="dxa"/>
            <w:vAlign w:val="center"/>
          </w:tcPr>
          <w:p w14:paraId="3D66720D">
            <w:pPr>
              <w:jc w:val="right"/>
            </w:pPr>
            <w:r>
              <w:rPr>
                <w:rFonts w:hint="eastAsia"/>
              </w:rPr>
              <w:t>-</w:t>
            </w:r>
          </w:p>
        </w:tc>
        <w:tc>
          <w:tcPr>
            <w:tcW w:w="1384" w:type="dxa"/>
            <w:vAlign w:val="center"/>
          </w:tcPr>
          <w:p w14:paraId="677A8BA1">
            <w:pPr>
              <w:jc w:val="right"/>
            </w:pPr>
            <w:r>
              <w:rPr>
                <w:rFonts w:hint="eastAsia"/>
              </w:rPr>
              <w:t>-</w:t>
            </w:r>
          </w:p>
        </w:tc>
      </w:tr>
      <w:tr w14:paraId="1660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8C310">
            <w:r>
              <w:rPr>
                <w:rFonts w:hint="eastAsia"/>
              </w:rPr>
              <w:t>存出保证金</w:t>
            </w:r>
          </w:p>
        </w:tc>
        <w:tc>
          <w:tcPr>
            <w:tcW w:w="1384" w:type="dxa"/>
            <w:vAlign w:val="center"/>
          </w:tcPr>
          <w:p w14:paraId="27521091">
            <w:pPr>
              <w:jc w:val="right"/>
            </w:pPr>
            <w:r>
              <w:rPr>
                <w:rFonts w:hint="eastAsia"/>
              </w:rPr>
              <w:t>-</w:t>
            </w:r>
          </w:p>
        </w:tc>
        <w:tc>
          <w:tcPr>
            <w:tcW w:w="1384" w:type="dxa"/>
            <w:vAlign w:val="center"/>
          </w:tcPr>
          <w:p w14:paraId="2A3B8BE3">
            <w:pPr>
              <w:jc w:val="right"/>
            </w:pPr>
            <w:r>
              <w:rPr>
                <w:rFonts w:hint="eastAsia"/>
              </w:rPr>
              <w:t>-</w:t>
            </w:r>
          </w:p>
        </w:tc>
        <w:tc>
          <w:tcPr>
            <w:tcW w:w="1384" w:type="dxa"/>
            <w:vAlign w:val="center"/>
          </w:tcPr>
          <w:p w14:paraId="656DB1FF">
            <w:pPr>
              <w:jc w:val="right"/>
            </w:pPr>
            <w:r>
              <w:rPr>
                <w:rFonts w:hint="eastAsia"/>
              </w:rPr>
              <w:t>-</w:t>
            </w:r>
          </w:p>
        </w:tc>
        <w:tc>
          <w:tcPr>
            <w:tcW w:w="1384" w:type="dxa"/>
            <w:vAlign w:val="center"/>
          </w:tcPr>
          <w:p w14:paraId="606D0DD7">
            <w:pPr>
              <w:jc w:val="right"/>
            </w:pPr>
            <w:r>
              <w:rPr>
                <w:rFonts w:hint="eastAsia"/>
              </w:rPr>
              <w:t>-</w:t>
            </w:r>
          </w:p>
        </w:tc>
        <w:tc>
          <w:tcPr>
            <w:tcW w:w="1384" w:type="dxa"/>
            <w:vAlign w:val="center"/>
          </w:tcPr>
          <w:p w14:paraId="5B81C0F5">
            <w:pPr>
              <w:jc w:val="right"/>
            </w:pPr>
            <w:r>
              <w:rPr>
                <w:rFonts w:hint="eastAsia"/>
              </w:rPr>
              <w:t>-</w:t>
            </w:r>
          </w:p>
        </w:tc>
      </w:tr>
      <w:tr w14:paraId="1E94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29D32">
            <w:r>
              <w:rPr>
                <w:rFonts w:hint="eastAsia"/>
              </w:rPr>
              <w:t>交易性金融资产</w:t>
            </w:r>
          </w:p>
        </w:tc>
        <w:tc>
          <w:tcPr>
            <w:tcW w:w="1384" w:type="dxa"/>
            <w:vAlign w:val="center"/>
          </w:tcPr>
          <w:p w14:paraId="1CAF90BD">
            <w:pPr>
              <w:jc w:val="right"/>
            </w:pPr>
            <w:r>
              <w:rPr>
                <w:rFonts w:hint="eastAsia"/>
              </w:rPr>
              <w:t>1,003,249.04</w:t>
            </w:r>
          </w:p>
        </w:tc>
        <w:tc>
          <w:tcPr>
            <w:tcW w:w="1384" w:type="dxa"/>
            <w:vAlign w:val="center"/>
          </w:tcPr>
          <w:p w14:paraId="15205E51">
            <w:pPr>
              <w:jc w:val="right"/>
            </w:pPr>
            <w:r>
              <w:rPr>
                <w:rFonts w:hint="eastAsia"/>
              </w:rPr>
              <w:t>-</w:t>
            </w:r>
          </w:p>
        </w:tc>
        <w:tc>
          <w:tcPr>
            <w:tcW w:w="1384" w:type="dxa"/>
            <w:vAlign w:val="center"/>
          </w:tcPr>
          <w:p w14:paraId="1CBF51E3">
            <w:pPr>
              <w:jc w:val="right"/>
            </w:pPr>
            <w:r>
              <w:rPr>
                <w:rFonts w:hint="eastAsia"/>
              </w:rPr>
              <w:t>-</w:t>
            </w:r>
          </w:p>
        </w:tc>
        <w:tc>
          <w:tcPr>
            <w:tcW w:w="1384" w:type="dxa"/>
            <w:vAlign w:val="center"/>
          </w:tcPr>
          <w:p w14:paraId="160590C0">
            <w:pPr>
              <w:jc w:val="right"/>
            </w:pPr>
            <w:r>
              <w:rPr>
                <w:rFonts w:hint="eastAsia"/>
              </w:rPr>
              <w:t>1,510,720,342.30</w:t>
            </w:r>
          </w:p>
        </w:tc>
        <w:tc>
          <w:tcPr>
            <w:tcW w:w="1384" w:type="dxa"/>
            <w:vAlign w:val="center"/>
          </w:tcPr>
          <w:p w14:paraId="5DC5827D">
            <w:pPr>
              <w:jc w:val="right"/>
            </w:pPr>
            <w:r>
              <w:rPr>
                <w:rFonts w:hint="eastAsia"/>
              </w:rPr>
              <w:t>1,511,723,591.34</w:t>
            </w:r>
          </w:p>
        </w:tc>
      </w:tr>
      <w:tr w14:paraId="7860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B5D23">
            <w:r>
              <w:rPr>
                <w:rFonts w:hint="eastAsia"/>
              </w:rPr>
              <w:t>衍生金融资产</w:t>
            </w:r>
          </w:p>
        </w:tc>
        <w:tc>
          <w:tcPr>
            <w:tcW w:w="1384" w:type="dxa"/>
            <w:vAlign w:val="center"/>
          </w:tcPr>
          <w:p w14:paraId="682AF501">
            <w:pPr>
              <w:jc w:val="right"/>
            </w:pPr>
            <w:r>
              <w:rPr>
                <w:rFonts w:hint="eastAsia"/>
              </w:rPr>
              <w:t>-</w:t>
            </w:r>
          </w:p>
        </w:tc>
        <w:tc>
          <w:tcPr>
            <w:tcW w:w="1384" w:type="dxa"/>
            <w:vAlign w:val="center"/>
          </w:tcPr>
          <w:p w14:paraId="21C56E36">
            <w:pPr>
              <w:jc w:val="right"/>
            </w:pPr>
            <w:r>
              <w:rPr>
                <w:rFonts w:hint="eastAsia"/>
              </w:rPr>
              <w:t>-</w:t>
            </w:r>
          </w:p>
        </w:tc>
        <w:tc>
          <w:tcPr>
            <w:tcW w:w="1384" w:type="dxa"/>
            <w:vAlign w:val="center"/>
          </w:tcPr>
          <w:p w14:paraId="2F3CE4F7">
            <w:pPr>
              <w:jc w:val="right"/>
            </w:pPr>
            <w:r>
              <w:rPr>
                <w:rFonts w:hint="eastAsia"/>
              </w:rPr>
              <w:t>-</w:t>
            </w:r>
          </w:p>
        </w:tc>
        <w:tc>
          <w:tcPr>
            <w:tcW w:w="1384" w:type="dxa"/>
            <w:vAlign w:val="center"/>
          </w:tcPr>
          <w:p w14:paraId="6A0BCB55">
            <w:pPr>
              <w:jc w:val="right"/>
            </w:pPr>
            <w:r>
              <w:rPr>
                <w:rFonts w:hint="eastAsia"/>
              </w:rPr>
              <w:t>-</w:t>
            </w:r>
          </w:p>
        </w:tc>
        <w:tc>
          <w:tcPr>
            <w:tcW w:w="1384" w:type="dxa"/>
            <w:vAlign w:val="center"/>
          </w:tcPr>
          <w:p w14:paraId="4874A9BC">
            <w:pPr>
              <w:jc w:val="right"/>
            </w:pPr>
            <w:r>
              <w:rPr>
                <w:rFonts w:hint="eastAsia"/>
              </w:rPr>
              <w:t>-</w:t>
            </w:r>
          </w:p>
        </w:tc>
      </w:tr>
      <w:tr w14:paraId="2576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39F41">
            <w:r>
              <w:rPr>
                <w:rFonts w:hint="eastAsia"/>
              </w:rPr>
              <w:t>买入返售金融资产</w:t>
            </w:r>
          </w:p>
        </w:tc>
        <w:tc>
          <w:tcPr>
            <w:tcW w:w="1384" w:type="dxa"/>
            <w:vAlign w:val="center"/>
          </w:tcPr>
          <w:p w14:paraId="50E7AF6C">
            <w:pPr>
              <w:jc w:val="right"/>
            </w:pPr>
            <w:r>
              <w:rPr>
                <w:rFonts w:hint="eastAsia"/>
              </w:rPr>
              <w:t>-</w:t>
            </w:r>
          </w:p>
        </w:tc>
        <w:tc>
          <w:tcPr>
            <w:tcW w:w="1384" w:type="dxa"/>
            <w:vAlign w:val="center"/>
          </w:tcPr>
          <w:p w14:paraId="3C05C69F">
            <w:pPr>
              <w:jc w:val="right"/>
            </w:pPr>
            <w:r>
              <w:rPr>
                <w:rFonts w:hint="eastAsia"/>
              </w:rPr>
              <w:t>-</w:t>
            </w:r>
          </w:p>
        </w:tc>
        <w:tc>
          <w:tcPr>
            <w:tcW w:w="1384" w:type="dxa"/>
            <w:vAlign w:val="center"/>
          </w:tcPr>
          <w:p w14:paraId="6CA13C33">
            <w:pPr>
              <w:jc w:val="right"/>
            </w:pPr>
            <w:r>
              <w:rPr>
                <w:rFonts w:hint="eastAsia"/>
              </w:rPr>
              <w:t>-</w:t>
            </w:r>
          </w:p>
        </w:tc>
        <w:tc>
          <w:tcPr>
            <w:tcW w:w="1384" w:type="dxa"/>
            <w:vAlign w:val="center"/>
          </w:tcPr>
          <w:p w14:paraId="6D522447">
            <w:pPr>
              <w:jc w:val="right"/>
            </w:pPr>
            <w:r>
              <w:rPr>
                <w:rFonts w:hint="eastAsia"/>
              </w:rPr>
              <w:t>-</w:t>
            </w:r>
          </w:p>
        </w:tc>
        <w:tc>
          <w:tcPr>
            <w:tcW w:w="1384" w:type="dxa"/>
            <w:vAlign w:val="center"/>
          </w:tcPr>
          <w:p w14:paraId="0AAB28B5">
            <w:pPr>
              <w:jc w:val="right"/>
            </w:pPr>
            <w:r>
              <w:rPr>
                <w:rFonts w:hint="eastAsia"/>
              </w:rPr>
              <w:t>-</w:t>
            </w:r>
          </w:p>
        </w:tc>
      </w:tr>
      <w:tr w14:paraId="7EF2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B25A1">
            <w:r>
              <w:rPr>
                <w:rFonts w:hint="eastAsia"/>
              </w:rPr>
              <w:t>债权投资</w:t>
            </w:r>
          </w:p>
        </w:tc>
        <w:tc>
          <w:tcPr>
            <w:tcW w:w="1384" w:type="dxa"/>
            <w:vAlign w:val="center"/>
          </w:tcPr>
          <w:p w14:paraId="786DD6E0">
            <w:pPr>
              <w:jc w:val="right"/>
            </w:pPr>
            <w:r>
              <w:rPr>
                <w:rFonts w:hint="eastAsia"/>
              </w:rPr>
              <w:t>-</w:t>
            </w:r>
          </w:p>
        </w:tc>
        <w:tc>
          <w:tcPr>
            <w:tcW w:w="1384" w:type="dxa"/>
            <w:vAlign w:val="center"/>
          </w:tcPr>
          <w:p w14:paraId="6ACE8CA5">
            <w:pPr>
              <w:jc w:val="right"/>
            </w:pPr>
            <w:r>
              <w:rPr>
                <w:rFonts w:hint="eastAsia"/>
              </w:rPr>
              <w:t>-</w:t>
            </w:r>
          </w:p>
        </w:tc>
        <w:tc>
          <w:tcPr>
            <w:tcW w:w="1384" w:type="dxa"/>
            <w:vAlign w:val="center"/>
          </w:tcPr>
          <w:p w14:paraId="68D4AA52">
            <w:pPr>
              <w:jc w:val="right"/>
            </w:pPr>
            <w:r>
              <w:rPr>
                <w:rFonts w:hint="eastAsia"/>
              </w:rPr>
              <w:t>-</w:t>
            </w:r>
          </w:p>
        </w:tc>
        <w:tc>
          <w:tcPr>
            <w:tcW w:w="1384" w:type="dxa"/>
            <w:vAlign w:val="center"/>
          </w:tcPr>
          <w:p w14:paraId="57C1F681">
            <w:pPr>
              <w:jc w:val="right"/>
            </w:pPr>
            <w:r>
              <w:rPr>
                <w:rFonts w:hint="eastAsia"/>
              </w:rPr>
              <w:t>-</w:t>
            </w:r>
          </w:p>
        </w:tc>
        <w:tc>
          <w:tcPr>
            <w:tcW w:w="1384" w:type="dxa"/>
            <w:vAlign w:val="center"/>
          </w:tcPr>
          <w:p w14:paraId="509EC92A">
            <w:pPr>
              <w:jc w:val="right"/>
            </w:pPr>
            <w:r>
              <w:rPr>
                <w:rFonts w:hint="eastAsia"/>
              </w:rPr>
              <w:t>-</w:t>
            </w:r>
          </w:p>
        </w:tc>
      </w:tr>
      <w:tr w14:paraId="5A54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E3555">
            <w:r>
              <w:rPr>
                <w:rFonts w:hint="eastAsia"/>
              </w:rPr>
              <w:t>其他债权投资</w:t>
            </w:r>
          </w:p>
        </w:tc>
        <w:tc>
          <w:tcPr>
            <w:tcW w:w="1384" w:type="dxa"/>
            <w:vAlign w:val="center"/>
          </w:tcPr>
          <w:p w14:paraId="38BEDA6F">
            <w:pPr>
              <w:jc w:val="right"/>
            </w:pPr>
            <w:r>
              <w:rPr>
                <w:rFonts w:hint="eastAsia"/>
              </w:rPr>
              <w:t>-</w:t>
            </w:r>
          </w:p>
        </w:tc>
        <w:tc>
          <w:tcPr>
            <w:tcW w:w="1384" w:type="dxa"/>
            <w:vAlign w:val="center"/>
          </w:tcPr>
          <w:p w14:paraId="0F9344CF">
            <w:pPr>
              <w:jc w:val="right"/>
            </w:pPr>
            <w:r>
              <w:rPr>
                <w:rFonts w:hint="eastAsia"/>
              </w:rPr>
              <w:t>-</w:t>
            </w:r>
          </w:p>
        </w:tc>
        <w:tc>
          <w:tcPr>
            <w:tcW w:w="1384" w:type="dxa"/>
            <w:vAlign w:val="center"/>
          </w:tcPr>
          <w:p w14:paraId="10180E41">
            <w:pPr>
              <w:jc w:val="right"/>
            </w:pPr>
            <w:r>
              <w:rPr>
                <w:rFonts w:hint="eastAsia"/>
              </w:rPr>
              <w:t>-</w:t>
            </w:r>
          </w:p>
        </w:tc>
        <w:tc>
          <w:tcPr>
            <w:tcW w:w="1384" w:type="dxa"/>
            <w:vAlign w:val="center"/>
          </w:tcPr>
          <w:p w14:paraId="22AB7736">
            <w:pPr>
              <w:jc w:val="right"/>
            </w:pPr>
            <w:r>
              <w:rPr>
                <w:rFonts w:hint="eastAsia"/>
              </w:rPr>
              <w:t>-</w:t>
            </w:r>
          </w:p>
        </w:tc>
        <w:tc>
          <w:tcPr>
            <w:tcW w:w="1384" w:type="dxa"/>
            <w:vAlign w:val="center"/>
          </w:tcPr>
          <w:p w14:paraId="0A29E03B">
            <w:pPr>
              <w:jc w:val="right"/>
            </w:pPr>
            <w:r>
              <w:rPr>
                <w:rFonts w:hint="eastAsia"/>
              </w:rPr>
              <w:t>-</w:t>
            </w:r>
          </w:p>
        </w:tc>
      </w:tr>
      <w:tr w14:paraId="4B1E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50E4E">
            <w:r>
              <w:rPr>
                <w:rFonts w:hint="eastAsia"/>
              </w:rPr>
              <w:t>其他权益工具投资</w:t>
            </w:r>
          </w:p>
        </w:tc>
        <w:tc>
          <w:tcPr>
            <w:tcW w:w="1384" w:type="dxa"/>
            <w:vAlign w:val="center"/>
          </w:tcPr>
          <w:p w14:paraId="19C80087">
            <w:pPr>
              <w:jc w:val="right"/>
            </w:pPr>
            <w:r>
              <w:rPr>
                <w:rFonts w:hint="eastAsia"/>
              </w:rPr>
              <w:t>-</w:t>
            </w:r>
          </w:p>
        </w:tc>
        <w:tc>
          <w:tcPr>
            <w:tcW w:w="1384" w:type="dxa"/>
            <w:vAlign w:val="center"/>
          </w:tcPr>
          <w:p w14:paraId="7C09B16A">
            <w:pPr>
              <w:jc w:val="right"/>
            </w:pPr>
            <w:r>
              <w:rPr>
                <w:rFonts w:hint="eastAsia"/>
              </w:rPr>
              <w:t>-</w:t>
            </w:r>
          </w:p>
        </w:tc>
        <w:tc>
          <w:tcPr>
            <w:tcW w:w="1384" w:type="dxa"/>
            <w:vAlign w:val="center"/>
          </w:tcPr>
          <w:p w14:paraId="3DC72BBE">
            <w:pPr>
              <w:jc w:val="right"/>
            </w:pPr>
            <w:r>
              <w:rPr>
                <w:rFonts w:hint="eastAsia"/>
              </w:rPr>
              <w:t>-</w:t>
            </w:r>
          </w:p>
        </w:tc>
        <w:tc>
          <w:tcPr>
            <w:tcW w:w="1384" w:type="dxa"/>
            <w:vAlign w:val="center"/>
          </w:tcPr>
          <w:p w14:paraId="15B4E725">
            <w:pPr>
              <w:jc w:val="right"/>
            </w:pPr>
            <w:r>
              <w:rPr>
                <w:rFonts w:hint="eastAsia"/>
              </w:rPr>
              <w:t>-</w:t>
            </w:r>
          </w:p>
        </w:tc>
        <w:tc>
          <w:tcPr>
            <w:tcW w:w="1384" w:type="dxa"/>
            <w:vAlign w:val="center"/>
          </w:tcPr>
          <w:p w14:paraId="010FBD85">
            <w:pPr>
              <w:jc w:val="right"/>
            </w:pPr>
            <w:r>
              <w:rPr>
                <w:rFonts w:hint="eastAsia"/>
              </w:rPr>
              <w:t>-</w:t>
            </w:r>
          </w:p>
        </w:tc>
      </w:tr>
      <w:tr w14:paraId="05C9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E3B7D">
            <w:r>
              <w:rPr>
                <w:rFonts w:hint="eastAsia"/>
              </w:rPr>
              <w:t>应收清算款</w:t>
            </w:r>
          </w:p>
        </w:tc>
        <w:tc>
          <w:tcPr>
            <w:tcW w:w="1384" w:type="dxa"/>
            <w:vAlign w:val="center"/>
          </w:tcPr>
          <w:p w14:paraId="2BD7005E">
            <w:pPr>
              <w:jc w:val="right"/>
            </w:pPr>
            <w:r>
              <w:rPr>
                <w:rFonts w:hint="eastAsia"/>
              </w:rPr>
              <w:t>-</w:t>
            </w:r>
          </w:p>
        </w:tc>
        <w:tc>
          <w:tcPr>
            <w:tcW w:w="1384" w:type="dxa"/>
            <w:vAlign w:val="center"/>
          </w:tcPr>
          <w:p w14:paraId="3A61CDD0">
            <w:pPr>
              <w:jc w:val="right"/>
            </w:pPr>
            <w:r>
              <w:rPr>
                <w:rFonts w:hint="eastAsia"/>
              </w:rPr>
              <w:t>-</w:t>
            </w:r>
          </w:p>
        </w:tc>
        <w:tc>
          <w:tcPr>
            <w:tcW w:w="1384" w:type="dxa"/>
            <w:vAlign w:val="center"/>
          </w:tcPr>
          <w:p w14:paraId="39611079">
            <w:pPr>
              <w:jc w:val="right"/>
            </w:pPr>
            <w:r>
              <w:rPr>
                <w:rFonts w:hint="eastAsia"/>
              </w:rPr>
              <w:t>-</w:t>
            </w:r>
          </w:p>
        </w:tc>
        <w:tc>
          <w:tcPr>
            <w:tcW w:w="1384" w:type="dxa"/>
            <w:vAlign w:val="center"/>
          </w:tcPr>
          <w:p w14:paraId="44C9AAE6">
            <w:pPr>
              <w:jc w:val="right"/>
            </w:pPr>
            <w:r>
              <w:rPr>
                <w:rFonts w:hint="eastAsia"/>
              </w:rPr>
              <w:t>-</w:t>
            </w:r>
          </w:p>
        </w:tc>
        <w:tc>
          <w:tcPr>
            <w:tcW w:w="1384" w:type="dxa"/>
            <w:vAlign w:val="center"/>
          </w:tcPr>
          <w:p w14:paraId="28AD5F34">
            <w:pPr>
              <w:jc w:val="right"/>
            </w:pPr>
            <w:r>
              <w:rPr>
                <w:rFonts w:hint="eastAsia"/>
              </w:rPr>
              <w:t>-</w:t>
            </w:r>
          </w:p>
        </w:tc>
      </w:tr>
      <w:tr w14:paraId="5775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32181">
            <w:r>
              <w:rPr>
                <w:rFonts w:hint="eastAsia"/>
              </w:rPr>
              <w:t>应收股利</w:t>
            </w:r>
          </w:p>
        </w:tc>
        <w:tc>
          <w:tcPr>
            <w:tcW w:w="1384" w:type="dxa"/>
            <w:vAlign w:val="center"/>
          </w:tcPr>
          <w:p w14:paraId="3A5D9CFE">
            <w:pPr>
              <w:jc w:val="right"/>
            </w:pPr>
            <w:r>
              <w:rPr>
                <w:rFonts w:hint="eastAsia"/>
              </w:rPr>
              <w:t>-</w:t>
            </w:r>
          </w:p>
        </w:tc>
        <w:tc>
          <w:tcPr>
            <w:tcW w:w="1384" w:type="dxa"/>
            <w:vAlign w:val="center"/>
          </w:tcPr>
          <w:p w14:paraId="3F6AA1DE">
            <w:pPr>
              <w:jc w:val="right"/>
            </w:pPr>
            <w:r>
              <w:rPr>
                <w:rFonts w:hint="eastAsia"/>
              </w:rPr>
              <w:t>-</w:t>
            </w:r>
          </w:p>
        </w:tc>
        <w:tc>
          <w:tcPr>
            <w:tcW w:w="1384" w:type="dxa"/>
            <w:vAlign w:val="center"/>
          </w:tcPr>
          <w:p w14:paraId="7329D9A6">
            <w:pPr>
              <w:jc w:val="right"/>
            </w:pPr>
            <w:r>
              <w:rPr>
                <w:rFonts w:hint="eastAsia"/>
              </w:rPr>
              <w:t>-</w:t>
            </w:r>
          </w:p>
        </w:tc>
        <w:tc>
          <w:tcPr>
            <w:tcW w:w="1384" w:type="dxa"/>
            <w:vAlign w:val="center"/>
          </w:tcPr>
          <w:p w14:paraId="25A2B505">
            <w:pPr>
              <w:jc w:val="right"/>
            </w:pPr>
            <w:r>
              <w:rPr>
                <w:rFonts w:hint="eastAsia"/>
              </w:rPr>
              <w:t>-</w:t>
            </w:r>
          </w:p>
        </w:tc>
        <w:tc>
          <w:tcPr>
            <w:tcW w:w="1384" w:type="dxa"/>
            <w:vAlign w:val="center"/>
          </w:tcPr>
          <w:p w14:paraId="0D78882B">
            <w:pPr>
              <w:jc w:val="right"/>
            </w:pPr>
            <w:r>
              <w:rPr>
                <w:rFonts w:hint="eastAsia"/>
              </w:rPr>
              <w:t>-</w:t>
            </w:r>
          </w:p>
        </w:tc>
      </w:tr>
      <w:tr w14:paraId="718E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F7DFB">
            <w:r>
              <w:rPr>
                <w:rFonts w:hint="eastAsia"/>
              </w:rPr>
              <w:t>应收申购款</w:t>
            </w:r>
          </w:p>
        </w:tc>
        <w:tc>
          <w:tcPr>
            <w:tcW w:w="1384" w:type="dxa"/>
            <w:vAlign w:val="center"/>
          </w:tcPr>
          <w:p w14:paraId="12F538E3">
            <w:pPr>
              <w:jc w:val="right"/>
            </w:pPr>
            <w:r>
              <w:rPr>
                <w:rFonts w:hint="eastAsia"/>
              </w:rPr>
              <w:t>-</w:t>
            </w:r>
          </w:p>
        </w:tc>
        <w:tc>
          <w:tcPr>
            <w:tcW w:w="1384" w:type="dxa"/>
            <w:vAlign w:val="center"/>
          </w:tcPr>
          <w:p w14:paraId="1C03C9E2">
            <w:pPr>
              <w:jc w:val="right"/>
            </w:pPr>
            <w:r>
              <w:rPr>
                <w:rFonts w:hint="eastAsia"/>
              </w:rPr>
              <w:t>-</w:t>
            </w:r>
          </w:p>
        </w:tc>
        <w:tc>
          <w:tcPr>
            <w:tcW w:w="1384" w:type="dxa"/>
            <w:vAlign w:val="center"/>
          </w:tcPr>
          <w:p w14:paraId="47850313">
            <w:pPr>
              <w:jc w:val="right"/>
            </w:pPr>
            <w:r>
              <w:rPr>
                <w:rFonts w:hint="eastAsia"/>
              </w:rPr>
              <w:t>-</w:t>
            </w:r>
          </w:p>
        </w:tc>
        <w:tc>
          <w:tcPr>
            <w:tcW w:w="1384" w:type="dxa"/>
            <w:vAlign w:val="center"/>
          </w:tcPr>
          <w:p w14:paraId="16BFBFAE">
            <w:pPr>
              <w:jc w:val="right"/>
            </w:pPr>
            <w:r>
              <w:rPr>
                <w:rFonts w:hint="eastAsia"/>
              </w:rPr>
              <w:t>11,544,137.22</w:t>
            </w:r>
          </w:p>
        </w:tc>
        <w:tc>
          <w:tcPr>
            <w:tcW w:w="1384" w:type="dxa"/>
            <w:vAlign w:val="center"/>
          </w:tcPr>
          <w:p w14:paraId="30C86EBB">
            <w:pPr>
              <w:jc w:val="right"/>
            </w:pPr>
            <w:r>
              <w:rPr>
                <w:rFonts w:hint="eastAsia"/>
              </w:rPr>
              <w:t>11,544,137.22</w:t>
            </w:r>
          </w:p>
        </w:tc>
      </w:tr>
      <w:tr w14:paraId="1D21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F651F">
            <w:r>
              <w:rPr>
                <w:rFonts w:hint="eastAsia"/>
              </w:rPr>
              <w:t>递延所得税资产</w:t>
            </w:r>
          </w:p>
        </w:tc>
        <w:tc>
          <w:tcPr>
            <w:tcW w:w="1384" w:type="dxa"/>
            <w:vAlign w:val="center"/>
          </w:tcPr>
          <w:p w14:paraId="4BD20107">
            <w:pPr>
              <w:jc w:val="right"/>
            </w:pPr>
            <w:r>
              <w:rPr>
                <w:rFonts w:hint="eastAsia"/>
              </w:rPr>
              <w:t>-</w:t>
            </w:r>
          </w:p>
        </w:tc>
        <w:tc>
          <w:tcPr>
            <w:tcW w:w="1384" w:type="dxa"/>
            <w:vAlign w:val="center"/>
          </w:tcPr>
          <w:p w14:paraId="4F4E37C4">
            <w:pPr>
              <w:jc w:val="right"/>
            </w:pPr>
            <w:r>
              <w:rPr>
                <w:rFonts w:hint="eastAsia"/>
              </w:rPr>
              <w:t>-</w:t>
            </w:r>
          </w:p>
        </w:tc>
        <w:tc>
          <w:tcPr>
            <w:tcW w:w="1384" w:type="dxa"/>
            <w:vAlign w:val="center"/>
          </w:tcPr>
          <w:p w14:paraId="76A28D6E">
            <w:pPr>
              <w:jc w:val="right"/>
            </w:pPr>
            <w:r>
              <w:rPr>
                <w:rFonts w:hint="eastAsia"/>
              </w:rPr>
              <w:t>-</w:t>
            </w:r>
          </w:p>
        </w:tc>
        <w:tc>
          <w:tcPr>
            <w:tcW w:w="1384" w:type="dxa"/>
            <w:vAlign w:val="center"/>
          </w:tcPr>
          <w:p w14:paraId="19670F22">
            <w:pPr>
              <w:jc w:val="right"/>
            </w:pPr>
            <w:r>
              <w:rPr>
                <w:rFonts w:hint="eastAsia"/>
              </w:rPr>
              <w:t>-</w:t>
            </w:r>
          </w:p>
        </w:tc>
        <w:tc>
          <w:tcPr>
            <w:tcW w:w="1384" w:type="dxa"/>
            <w:vAlign w:val="center"/>
          </w:tcPr>
          <w:p w14:paraId="12BF43FB">
            <w:pPr>
              <w:jc w:val="right"/>
            </w:pPr>
            <w:r>
              <w:rPr>
                <w:rFonts w:hint="eastAsia"/>
              </w:rPr>
              <w:t>-</w:t>
            </w:r>
          </w:p>
        </w:tc>
      </w:tr>
      <w:tr w14:paraId="60E5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6A81D">
            <w:r>
              <w:rPr>
                <w:rFonts w:hint="eastAsia"/>
              </w:rPr>
              <w:t>其他资产</w:t>
            </w:r>
          </w:p>
        </w:tc>
        <w:tc>
          <w:tcPr>
            <w:tcW w:w="1384" w:type="dxa"/>
            <w:vAlign w:val="center"/>
          </w:tcPr>
          <w:p w14:paraId="420D3104">
            <w:pPr>
              <w:jc w:val="right"/>
            </w:pPr>
            <w:r>
              <w:rPr>
                <w:rFonts w:hint="eastAsia"/>
              </w:rPr>
              <w:t>-</w:t>
            </w:r>
          </w:p>
        </w:tc>
        <w:tc>
          <w:tcPr>
            <w:tcW w:w="1384" w:type="dxa"/>
            <w:vAlign w:val="center"/>
          </w:tcPr>
          <w:p w14:paraId="72415726">
            <w:pPr>
              <w:jc w:val="right"/>
            </w:pPr>
            <w:r>
              <w:rPr>
                <w:rFonts w:hint="eastAsia"/>
              </w:rPr>
              <w:t>-</w:t>
            </w:r>
          </w:p>
        </w:tc>
        <w:tc>
          <w:tcPr>
            <w:tcW w:w="1384" w:type="dxa"/>
            <w:vAlign w:val="center"/>
          </w:tcPr>
          <w:p w14:paraId="4392EF29">
            <w:pPr>
              <w:jc w:val="right"/>
            </w:pPr>
            <w:r>
              <w:rPr>
                <w:rFonts w:hint="eastAsia"/>
              </w:rPr>
              <w:t>-</w:t>
            </w:r>
          </w:p>
        </w:tc>
        <w:tc>
          <w:tcPr>
            <w:tcW w:w="1384" w:type="dxa"/>
            <w:vAlign w:val="center"/>
          </w:tcPr>
          <w:p w14:paraId="23C7A8A1">
            <w:pPr>
              <w:jc w:val="right"/>
            </w:pPr>
            <w:r>
              <w:rPr>
                <w:rFonts w:hint="eastAsia"/>
              </w:rPr>
              <w:t>-</w:t>
            </w:r>
          </w:p>
        </w:tc>
        <w:tc>
          <w:tcPr>
            <w:tcW w:w="1384" w:type="dxa"/>
            <w:vAlign w:val="center"/>
          </w:tcPr>
          <w:p w14:paraId="5884A3DE">
            <w:pPr>
              <w:jc w:val="right"/>
            </w:pPr>
            <w:r>
              <w:rPr>
                <w:rFonts w:hint="eastAsia"/>
              </w:rPr>
              <w:t>-</w:t>
            </w:r>
          </w:p>
        </w:tc>
      </w:tr>
      <w:tr w14:paraId="4178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6C38F">
            <w:r>
              <w:rPr>
                <w:rFonts w:hint="eastAsia"/>
              </w:rPr>
              <w:t>资产总计</w:t>
            </w:r>
          </w:p>
        </w:tc>
        <w:tc>
          <w:tcPr>
            <w:tcW w:w="1384" w:type="dxa"/>
            <w:vAlign w:val="center"/>
          </w:tcPr>
          <w:p w14:paraId="002A2EFC">
            <w:pPr>
              <w:jc w:val="right"/>
            </w:pPr>
            <w:r>
              <w:rPr>
                <w:rFonts w:hint="eastAsia"/>
              </w:rPr>
              <w:t>152,814,143.56</w:t>
            </w:r>
          </w:p>
        </w:tc>
        <w:tc>
          <w:tcPr>
            <w:tcW w:w="1384" w:type="dxa"/>
            <w:vAlign w:val="center"/>
          </w:tcPr>
          <w:p w14:paraId="6C82584F">
            <w:pPr>
              <w:jc w:val="right"/>
            </w:pPr>
            <w:r>
              <w:rPr>
                <w:rFonts w:hint="eastAsia"/>
              </w:rPr>
              <w:t>-</w:t>
            </w:r>
          </w:p>
        </w:tc>
        <w:tc>
          <w:tcPr>
            <w:tcW w:w="1384" w:type="dxa"/>
            <w:vAlign w:val="center"/>
          </w:tcPr>
          <w:p w14:paraId="453E80EC">
            <w:pPr>
              <w:jc w:val="right"/>
            </w:pPr>
            <w:r>
              <w:rPr>
                <w:rFonts w:hint="eastAsia"/>
              </w:rPr>
              <w:t>-</w:t>
            </w:r>
          </w:p>
        </w:tc>
        <w:tc>
          <w:tcPr>
            <w:tcW w:w="1384" w:type="dxa"/>
            <w:vAlign w:val="center"/>
          </w:tcPr>
          <w:p w14:paraId="29DB0799">
            <w:pPr>
              <w:jc w:val="right"/>
            </w:pPr>
            <w:r>
              <w:rPr>
                <w:rFonts w:hint="eastAsia"/>
              </w:rPr>
              <w:t>1,522,264,479.52</w:t>
            </w:r>
          </w:p>
        </w:tc>
        <w:tc>
          <w:tcPr>
            <w:tcW w:w="1384" w:type="dxa"/>
            <w:vAlign w:val="center"/>
          </w:tcPr>
          <w:p w14:paraId="11F07DAB">
            <w:pPr>
              <w:jc w:val="right"/>
            </w:pPr>
            <w:r>
              <w:rPr>
                <w:rFonts w:hint="eastAsia"/>
              </w:rPr>
              <w:t>1,675,078,623.08</w:t>
            </w:r>
          </w:p>
        </w:tc>
      </w:tr>
      <w:tr w14:paraId="6424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6B8D1">
            <w:r>
              <w:rPr>
                <w:rFonts w:hint="eastAsia"/>
              </w:rPr>
              <w:t>负债</w:t>
            </w:r>
          </w:p>
        </w:tc>
        <w:tc>
          <w:tcPr>
            <w:tcW w:w="1384" w:type="dxa"/>
            <w:vAlign w:val="center"/>
          </w:tcPr>
          <w:p w14:paraId="61717014"/>
        </w:tc>
        <w:tc>
          <w:tcPr>
            <w:tcW w:w="1384" w:type="dxa"/>
            <w:vAlign w:val="center"/>
          </w:tcPr>
          <w:p w14:paraId="396EFF19"/>
        </w:tc>
        <w:tc>
          <w:tcPr>
            <w:tcW w:w="1384" w:type="dxa"/>
            <w:vAlign w:val="center"/>
          </w:tcPr>
          <w:p w14:paraId="08AD3F02"/>
        </w:tc>
        <w:tc>
          <w:tcPr>
            <w:tcW w:w="1384" w:type="dxa"/>
            <w:vAlign w:val="center"/>
          </w:tcPr>
          <w:p w14:paraId="44A731AD"/>
        </w:tc>
        <w:tc>
          <w:tcPr>
            <w:tcW w:w="1384" w:type="dxa"/>
            <w:vAlign w:val="center"/>
          </w:tcPr>
          <w:p w14:paraId="54C6CAE0"/>
        </w:tc>
      </w:tr>
      <w:tr w14:paraId="18EE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9E022">
            <w:r>
              <w:rPr>
                <w:rFonts w:hint="eastAsia"/>
              </w:rPr>
              <w:t>短期借款</w:t>
            </w:r>
          </w:p>
        </w:tc>
        <w:tc>
          <w:tcPr>
            <w:tcW w:w="1384" w:type="dxa"/>
            <w:vAlign w:val="center"/>
          </w:tcPr>
          <w:p w14:paraId="1EB83957">
            <w:pPr>
              <w:jc w:val="right"/>
            </w:pPr>
            <w:r>
              <w:rPr>
                <w:rFonts w:hint="eastAsia"/>
              </w:rPr>
              <w:t>-</w:t>
            </w:r>
          </w:p>
        </w:tc>
        <w:tc>
          <w:tcPr>
            <w:tcW w:w="1384" w:type="dxa"/>
            <w:vAlign w:val="center"/>
          </w:tcPr>
          <w:p w14:paraId="5317700D">
            <w:pPr>
              <w:jc w:val="right"/>
            </w:pPr>
            <w:r>
              <w:rPr>
                <w:rFonts w:hint="eastAsia"/>
              </w:rPr>
              <w:t>-</w:t>
            </w:r>
          </w:p>
        </w:tc>
        <w:tc>
          <w:tcPr>
            <w:tcW w:w="1384" w:type="dxa"/>
            <w:vAlign w:val="center"/>
          </w:tcPr>
          <w:p w14:paraId="7ED2EE07">
            <w:pPr>
              <w:jc w:val="right"/>
            </w:pPr>
            <w:r>
              <w:rPr>
                <w:rFonts w:hint="eastAsia"/>
              </w:rPr>
              <w:t>-</w:t>
            </w:r>
          </w:p>
        </w:tc>
        <w:tc>
          <w:tcPr>
            <w:tcW w:w="1384" w:type="dxa"/>
            <w:vAlign w:val="center"/>
          </w:tcPr>
          <w:p w14:paraId="1B6EB825">
            <w:pPr>
              <w:jc w:val="right"/>
            </w:pPr>
            <w:r>
              <w:rPr>
                <w:rFonts w:hint="eastAsia"/>
              </w:rPr>
              <w:t>-</w:t>
            </w:r>
          </w:p>
        </w:tc>
        <w:tc>
          <w:tcPr>
            <w:tcW w:w="1384" w:type="dxa"/>
            <w:vAlign w:val="center"/>
          </w:tcPr>
          <w:p w14:paraId="70267441">
            <w:pPr>
              <w:jc w:val="right"/>
            </w:pPr>
            <w:r>
              <w:rPr>
                <w:rFonts w:hint="eastAsia"/>
              </w:rPr>
              <w:t>-</w:t>
            </w:r>
          </w:p>
        </w:tc>
      </w:tr>
      <w:tr w14:paraId="4E0B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E7208">
            <w:r>
              <w:rPr>
                <w:rFonts w:hint="eastAsia"/>
              </w:rPr>
              <w:t>交易性金融负债</w:t>
            </w:r>
          </w:p>
        </w:tc>
        <w:tc>
          <w:tcPr>
            <w:tcW w:w="1384" w:type="dxa"/>
            <w:vAlign w:val="center"/>
          </w:tcPr>
          <w:p w14:paraId="74CA748E">
            <w:pPr>
              <w:jc w:val="right"/>
            </w:pPr>
            <w:r>
              <w:rPr>
                <w:rFonts w:hint="eastAsia"/>
              </w:rPr>
              <w:t>-</w:t>
            </w:r>
          </w:p>
        </w:tc>
        <w:tc>
          <w:tcPr>
            <w:tcW w:w="1384" w:type="dxa"/>
            <w:vAlign w:val="center"/>
          </w:tcPr>
          <w:p w14:paraId="12A15E63">
            <w:pPr>
              <w:jc w:val="right"/>
            </w:pPr>
            <w:r>
              <w:rPr>
                <w:rFonts w:hint="eastAsia"/>
              </w:rPr>
              <w:t>-</w:t>
            </w:r>
          </w:p>
        </w:tc>
        <w:tc>
          <w:tcPr>
            <w:tcW w:w="1384" w:type="dxa"/>
            <w:vAlign w:val="center"/>
          </w:tcPr>
          <w:p w14:paraId="749DE6E1">
            <w:pPr>
              <w:jc w:val="right"/>
            </w:pPr>
            <w:r>
              <w:rPr>
                <w:rFonts w:hint="eastAsia"/>
              </w:rPr>
              <w:t>-</w:t>
            </w:r>
          </w:p>
        </w:tc>
        <w:tc>
          <w:tcPr>
            <w:tcW w:w="1384" w:type="dxa"/>
            <w:vAlign w:val="center"/>
          </w:tcPr>
          <w:p w14:paraId="0AAD534D">
            <w:pPr>
              <w:jc w:val="right"/>
            </w:pPr>
            <w:r>
              <w:rPr>
                <w:rFonts w:hint="eastAsia"/>
              </w:rPr>
              <w:t>-</w:t>
            </w:r>
          </w:p>
        </w:tc>
        <w:tc>
          <w:tcPr>
            <w:tcW w:w="1384" w:type="dxa"/>
            <w:vAlign w:val="center"/>
          </w:tcPr>
          <w:p w14:paraId="2E1708B2">
            <w:pPr>
              <w:jc w:val="right"/>
            </w:pPr>
            <w:r>
              <w:rPr>
                <w:rFonts w:hint="eastAsia"/>
              </w:rPr>
              <w:t>-</w:t>
            </w:r>
          </w:p>
        </w:tc>
      </w:tr>
      <w:tr w14:paraId="0073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36B65">
            <w:r>
              <w:rPr>
                <w:rFonts w:hint="eastAsia"/>
              </w:rPr>
              <w:t>衍生金融负债</w:t>
            </w:r>
          </w:p>
        </w:tc>
        <w:tc>
          <w:tcPr>
            <w:tcW w:w="1384" w:type="dxa"/>
            <w:vAlign w:val="center"/>
          </w:tcPr>
          <w:p w14:paraId="04F287BE">
            <w:pPr>
              <w:jc w:val="right"/>
            </w:pPr>
            <w:r>
              <w:rPr>
                <w:rFonts w:hint="eastAsia"/>
              </w:rPr>
              <w:t>-</w:t>
            </w:r>
          </w:p>
        </w:tc>
        <w:tc>
          <w:tcPr>
            <w:tcW w:w="1384" w:type="dxa"/>
            <w:vAlign w:val="center"/>
          </w:tcPr>
          <w:p w14:paraId="1B953AA1">
            <w:pPr>
              <w:jc w:val="right"/>
            </w:pPr>
            <w:r>
              <w:rPr>
                <w:rFonts w:hint="eastAsia"/>
              </w:rPr>
              <w:t>-</w:t>
            </w:r>
          </w:p>
        </w:tc>
        <w:tc>
          <w:tcPr>
            <w:tcW w:w="1384" w:type="dxa"/>
            <w:vAlign w:val="center"/>
          </w:tcPr>
          <w:p w14:paraId="1041751C">
            <w:pPr>
              <w:jc w:val="right"/>
            </w:pPr>
            <w:r>
              <w:rPr>
                <w:rFonts w:hint="eastAsia"/>
              </w:rPr>
              <w:t>-</w:t>
            </w:r>
          </w:p>
        </w:tc>
        <w:tc>
          <w:tcPr>
            <w:tcW w:w="1384" w:type="dxa"/>
            <w:vAlign w:val="center"/>
          </w:tcPr>
          <w:p w14:paraId="57CEC07D">
            <w:pPr>
              <w:jc w:val="right"/>
            </w:pPr>
            <w:r>
              <w:rPr>
                <w:rFonts w:hint="eastAsia"/>
              </w:rPr>
              <w:t>-</w:t>
            </w:r>
          </w:p>
        </w:tc>
        <w:tc>
          <w:tcPr>
            <w:tcW w:w="1384" w:type="dxa"/>
            <w:vAlign w:val="center"/>
          </w:tcPr>
          <w:p w14:paraId="0E12C7E5">
            <w:pPr>
              <w:jc w:val="right"/>
            </w:pPr>
            <w:r>
              <w:rPr>
                <w:rFonts w:hint="eastAsia"/>
              </w:rPr>
              <w:t>-</w:t>
            </w:r>
          </w:p>
        </w:tc>
      </w:tr>
      <w:tr w14:paraId="570F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46FA3">
            <w:r>
              <w:rPr>
                <w:rFonts w:hint="eastAsia"/>
              </w:rPr>
              <w:t>卖出回购金融资产款</w:t>
            </w:r>
          </w:p>
        </w:tc>
        <w:tc>
          <w:tcPr>
            <w:tcW w:w="1384" w:type="dxa"/>
            <w:vAlign w:val="center"/>
          </w:tcPr>
          <w:p w14:paraId="37C2DC90">
            <w:pPr>
              <w:jc w:val="right"/>
            </w:pPr>
            <w:r>
              <w:rPr>
                <w:rFonts w:hint="eastAsia"/>
              </w:rPr>
              <w:t>-</w:t>
            </w:r>
          </w:p>
        </w:tc>
        <w:tc>
          <w:tcPr>
            <w:tcW w:w="1384" w:type="dxa"/>
            <w:vAlign w:val="center"/>
          </w:tcPr>
          <w:p w14:paraId="355974AA">
            <w:pPr>
              <w:jc w:val="right"/>
            </w:pPr>
            <w:r>
              <w:rPr>
                <w:rFonts w:hint="eastAsia"/>
              </w:rPr>
              <w:t>-</w:t>
            </w:r>
          </w:p>
        </w:tc>
        <w:tc>
          <w:tcPr>
            <w:tcW w:w="1384" w:type="dxa"/>
            <w:vAlign w:val="center"/>
          </w:tcPr>
          <w:p w14:paraId="4703F5E9">
            <w:pPr>
              <w:jc w:val="right"/>
            </w:pPr>
            <w:r>
              <w:rPr>
                <w:rFonts w:hint="eastAsia"/>
              </w:rPr>
              <w:t>-</w:t>
            </w:r>
          </w:p>
        </w:tc>
        <w:tc>
          <w:tcPr>
            <w:tcW w:w="1384" w:type="dxa"/>
            <w:vAlign w:val="center"/>
          </w:tcPr>
          <w:p w14:paraId="26AFC5B4">
            <w:pPr>
              <w:jc w:val="right"/>
            </w:pPr>
            <w:r>
              <w:rPr>
                <w:rFonts w:hint="eastAsia"/>
              </w:rPr>
              <w:t>-</w:t>
            </w:r>
          </w:p>
        </w:tc>
        <w:tc>
          <w:tcPr>
            <w:tcW w:w="1384" w:type="dxa"/>
            <w:vAlign w:val="center"/>
          </w:tcPr>
          <w:p w14:paraId="2E75E825">
            <w:pPr>
              <w:jc w:val="right"/>
            </w:pPr>
            <w:r>
              <w:rPr>
                <w:rFonts w:hint="eastAsia"/>
              </w:rPr>
              <w:t>-</w:t>
            </w:r>
          </w:p>
        </w:tc>
      </w:tr>
      <w:tr w14:paraId="2152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44EC0">
            <w:r>
              <w:rPr>
                <w:rFonts w:hint="eastAsia"/>
              </w:rPr>
              <w:t>应付清算款</w:t>
            </w:r>
          </w:p>
        </w:tc>
        <w:tc>
          <w:tcPr>
            <w:tcW w:w="1384" w:type="dxa"/>
            <w:vAlign w:val="center"/>
          </w:tcPr>
          <w:p w14:paraId="2BC0D13C">
            <w:pPr>
              <w:jc w:val="right"/>
            </w:pPr>
            <w:r>
              <w:rPr>
                <w:rFonts w:hint="eastAsia"/>
              </w:rPr>
              <w:t>-</w:t>
            </w:r>
          </w:p>
        </w:tc>
        <w:tc>
          <w:tcPr>
            <w:tcW w:w="1384" w:type="dxa"/>
            <w:vAlign w:val="center"/>
          </w:tcPr>
          <w:p w14:paraId="243CFE9B">
            <w:pPr>
              <w:jc w:val="right"/>
            </w:pPr>
            <w:r>
              <w:rPr>
                <w:rFonts w:hint="eastAsia"/>
              </w:rPr>
              <w:t>-</w:t>
            </w:r>
          </w:p>
        </w:tc>
        <w:tc>
          <w:tcPr>
            <w:tcW w:w="1384" w:type="dxa"/>
            <w:vAlign w:val="center"/>
          </w:tcPr>
          <w:p w14:paraId="05E68445">
            <w:pPr>
              <w:jc w:val="right"/>
            </w:pPr>
            <w:r>
              <w:rPr>
                <w:rFonts w:hint="eastAsia"/>
              </w:rPr>
              <w:t>-</w:t>
            </w:r>
          </w:p>
        </w:tc>
        <w:tc>
          <w:tcPr>
            <w:tcW w:w="1384" w:type="dxa"/>
            <w:vAlign w:val="center"/>
          </w:tcPr>
          <w:p w14:paraId="194B35E1">
            <w:pPr>
              <w:jc w:val="right"/>
            </w:pPr>
            <w:r>
              <w:rPr>
                <w:rFonts w:hint="eastAsia"/>
              </w:rPr>
              <w:t>-</w:t>
            </w:r>
          </w:p>
        </w:tc>
        <w:tc>
          <w:tcPr>
            <w:tcW w:w="1384" w:type="dxa"/>
            <w:vAlign w:val="center"/>
          </w:tcPr>
          <w:p w14:paraId="13A219DE">
            <w:pPr>
              <w:jc w:val="right"/>
            </w:pPr>
            <w:r>
              <w:rPr>
                <w:rFonts w:hint="eastAsia"/>
              </w:rPr>
              <w:t>-</w:t>
            </w:r>
          </w:p>
        </w:tc>
      </w:tr>
      <w:tr w14:paraId="2510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3B6FE">
            <w:r>
              <w:rPr>
                <w:rFonts w:hint="eastAsia"/>
              </w:rPr>
              <w:t>应付赎回款</w:t>
            </w:r>
          </w:p>
        </w:tc>
        <w:tc>
          <w:tcPr>
            <w:tcW w:w="1384" w:type="dxa"/>
            <w:vAlign w:val="center"/>
          </w:tcPr>
          <w:p w14:paraId="33CE33BA">
            <w:pPr>
              <w:jc w:val="right"/>
            </w:pPr>
            <w:r>
              <w:rPr>
                <w:rFonts w:hint="eastAsia"/>
              </w:rPr>
              <w:t>-</w:t>
            </w:r>
          </w:p>
        </w:tc>
        <w:tc>
          <w:tcPr>
            <w:tcW w:w="1384" w:type="dxa"/>
            <w:vAlign w:val="center"/>
          </w:tcPr>
          <w:p w14:paraId="36D4A55A">
            <w:pPr>
              <w:jc w:val="right"/>
            </w:pPr>
            <w:r>
              <w:rPr>
                <w:rFonts w:hint="eastAsia"/>
              </w:rPr>
              <w:t>-</w:t>
            </w:r>
          </w:p>
        </w:tc>
        <w:tc>
          <w:tcPr>
            <w:tcW w:w="1384" w:type="dxa"/>
            <w:vAlign w:val="center"/>
          </w:tcPr>
          <w:p w14:paraId="4DD04FDB">
            <w:pPr>
              <w:jc w:val="right"/>
            </w:pPr>
            <w:r>
              <w:rPr>
                <w:rFonts w:hint="eastAsia"/>
              </w:rPr>
              <w:t>-</w:t>
            </w:r>
          </w:p>
        </w:tc>
        <w:tc>
          <w:tcPr>
            <w:tcW w:w="1384" w:type="dxa"/>
            <w:vAlign w:val="center"/>
          </w:tcPr>
          <w:p w14:paraId="35AC4CEE">
            <w:pPr>
              <w:jc w:val="right"/>
            </w:pPr>
            <w:r>
              <w:rPr>
                <w:rFonts w:hint="eastAsia"/>
              </w:rPr>
              <w:t>79,317,917.98</w:t>
            </w:r>
          </w:p>
        </w:tc>
        <w:tc>
          <w:tcPr>
            <w:tcW w:w="1384" w:type="dxa"/>
            <w:vAlign w:val="center"/>
          </w:tcPr>
          <w:p w14:paraId="04BFC96B">
            <w:pPr>
              <w:jc w:val="right"/>
            </w:pPr>
            <w:r>
              <w:rPr>
                <w:rFonts w:hint="eastAsia"/>
              </w:rPr>
              <w:t>79,317,917.98</w:t>
            </w:r>
          </w:p>
        </w:tc>
      </w:tr>
      <w:tr w14:paraId="1849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03746">
            <w:r>
              <w:rPr>
                <w:rFonts w:hint="eastAsia"/>
              </w:rPr>
              <w:t>应付管理人报酬</w:t>
            </w:r>
          </w:p>
        </w:tc>
        <w:tc>
          <w:tcPr>
            <w:tcW w:w="1384" w:type="dxa"/>
            <w:vAlign w:val="center"/>
          </w:tcPr>
          <w:p w14:paraId="254E734B">
            <w:pPr>
              <w:jc w:val="right"/>
            </w:pPr>
            <w:r>
              <w:rPr>
                <w:rFonts w:hint="eastAsia"/>
              </w:rPr>
              <w:t>-</w:t>
            </w:r>
          </w:p>
        </w:tc>
        <w:tc>
          <w:tcPr>
            <w:tcW w:w="1384" w:type="dxa"/>
            <w:vAlign w:val="center"/>
          </w:tcPr>
          <w:p w14:paraId="12F224A6">
            <w:pPr>
              <w:jc w:val="right"/>
            </w:pPr>
            <w:r>
              <w:rPr>
                <w:rFonts w:hint="eastAsia"/>
              </w:rPr>
              <w:t>-</w:t>
            </w:r>
          </w:p>
        </w:tc>
        <w:tc>
          <w:tcPr>
            <w:tcW w:w="1384" w:type="dxa"/>
            <w:vAlign w:val="center"/>
          </w:tcPr>
          <w:p w14:paraId="2576DFF0">
            <w:pPr>
              <w:jc w:val="right"/>
            </w:pPr>
            <w:r>
              <w:rPr>
                <w:rFonts w:hint="eastAsia"/>
              </w:rPr>
              <w:t>-</w:t>
            </w:r>
          </w:p>
        </w:tc>
        <w:tc>
          <w:tcPr>
            <w:tcW w:w="1384" w:type="dxa"/>
            <w:vAlign w:val="center"/>
          </w:tcPr>
          <w:p w14:paraId="781E1A14">
            <w:pPr>
              <w:jc w:val="right"/>
            </w:pPr>
            <w:r>
              <w:rPr>
                <w:rFonts w:hint="eastAsia"/>
              </w:rPr>
              <w:t>41,286.44</w:t>
            </w:r>
          </w:p>
        </w:tc>
        <w:tc>
          <w:tcPr>
            <w:tcW w:w="1384" w:type="dxa"/>
            <w:vAlign w:val="center"/>
          </w:tcPr>
          <w:p w14:paraId="27A6FA4A">
            <w:pPr>
              <w:jc w:val="right"/>
            </w:pPr>
            <w:r>
              <w:rPr>
                <w:rFonts w:hint="eastAsia"/>
              </w:rPr>
              <w:t>41,286.44</w:t>
            </w:r>
          </w:p>
        </w:tc>
      </w:tr>
      <w:tr w14:paraId="01A4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9E21F">
            <w:r>
              <w:rPr>
                <w:rFonts w:hint="eastAsia"/>
              </w:rPr>
              <w:t>应付托管费</w:t>
            </w:r>
          </w:p>
        </w:tc>
        <w:tc>
          <w:tcPr>
            <w:tcW w:w="1384" w:type="dxa"/>
            <w:vAlign w:val="center"/>
          </w:tcPr>
          <w:p w14:paraId="0C8D511F">
            <w:pPr>
              <w:jc w:val="right"/>
            </w:pPr>
            <w:r>
              <w:rPr>
                <w:rFonts w:hint="eastAsia"/>
              </w:rPr>
              <w:t>-</w:t>
            </w:r>
          </w:p>
        </w:tc>
        <w:tc>
          <w:tcPr>
            <w:tcW w:w="1384" w:type="dxa"/>
            <w:vAlign w:val="center"/>
          </w:tcPr>
          <w:p w14:paraId="7173F89E">
            <w:pPr>
              <w:jc w:val="right"/>
            </w:pPr>
            <w:r>
              <w:rPr>
                <w:rFonts w:hint="eastAsia"/>
              </w:rPr>
              <w:t>-</w:t>
            </w:r>
          </w:p>
        </w:tc>
        <w:tc>
          <w:tcPr>
            <w:tcW w:w="1384" w:type="dxa"/>
            <w:vAlign w:val="center"/>
          </w:tcPr>
          <w:p w14:paraId="777A7BB6">
            <w:pPr>
              <w:jc w:val="right"/>
            </w:pPr>
            <w:r>
              <w:rPr>
                <w:rFonts w:hint="eastAsia"/>
              </w:rPr>
              <w:t>-</w:t>
            </w:r>
          </w:p>
        </w:tc>
        <w:tc>
          <w:tcPr>
            <w:tcW w:w="1384" w:type="dxa"/>
            <w:vAlign w:val="center"/>
          </w:tcPr>
          <w:p w14:paraId="77CE7469">
            <w:pPr>
              <w:jc w:val="right"/>
            </w:pPr>
            <w:r>
              <w:rPr>
                <w:rFonts w:hint="eastAsia"/>
              </w:rPr>
              <w:t>8,257.27</w:t>
            </w:r>
          </w:p>
        </w:tc>
        <w:tc>
          <w:tcPr>
            <w:tcW w:w="1384" w:type="dxa"/>
            <w:vAlign w:val="center"/>
          </w:tcPr>
          <w:p w14:paraId="62AA48C7">
            <w:pPr>
              <w:jc w:val="right"/>
            </w:pPr>
            <w:r>
              <w:rPr>
                <w:rFonts w:hint="eastAsia"/>
              </w:rPr>
              <w:t>8,257.27</w:t>
            </w:r>
          </w:p>
        </w:tc>
      </w:tr>
      <w:tr w14:paraId="3EE0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83CA8">
            <w:r>
              <w:rPr>
                <w:rFonts w:hint="eastAsia"/>
              </w:rPr>
              <w:t>应付销售服务费</w:t>
            </w:r>
          </w:p>
        </w:tc>
        <w:tc>
          <w:tcPr>
            <w:tcW w:w="1384" w:type="dxa"/>
            <w:vAlign w:val="center"/>
          </w:tcPr>
          <w:p w14:paraId="73169603">
            <w:pPr>
              <w:jc w:val="right"/>
            </w:pPr>
            <w:r>
              <w:rPr>
                <w:rFonts w:hint="eastAsia"/>
              </w:rPr>
              <w:t>-</w:t>
            </w:r>
          </w:p>
        </w:tc>
        <w:tc>
          <w:tcPr>
            <w:tcW w:w="1384" w:type="dxa"/>
            <w:vAlign w:val="center"/>
          </w:tcPr>
          <w:p w14:paraId="6133DC7A">
            <w:pPr>
              <w:jc w:val="right"/>
            </w:pPr>
            <w:r>
              <w:rPr>
                <w:rFonts w:hint="eastAsia"/>
              </w:rPr>
              <w:t>-</w:t>
            </w:r>
          </w:p>
        </w:tc>
        <w:tc>
          <w:tcPr>
            <w:tcW w:w="1384" w:type="dxa"/>
            <w:vAlign w:val="center"/>
          </w:tcPr>
          <w:p w14:paraId="3F7174E2">
            <w:pPr>
              <w:jc w:val="right"/>
            </w:pPr>
            <w:r>
              <w:rPr>
                <w:rFonts w:hint="eastAsia"/>
              </w:rPr>
              <w:t>-</w:t>
            </w:r>
          </w:p>
        </w:tc>
        <w:tc>
          <w:tcPr>
            <w:tcW w:w="1384" w:type="dxa"/>
            <w:vAlign w:val="center"/>
          </w:tcPr>
          <w:p w14:paraId="7207BEF9">
            <w:pPr>
              <w:jc w:val="right"/>
            </w:pPr>
            <w:r>
              <w:rPr>
                <w:rFonts w:hint="eastAsia"/>
              </w:rPr>
              <w:t>151,558.43</w:t>
            </w:r>
          </w:p>
        </w:tc>
        <w:tc>
          <w:tcPr>
            <w:tcW w:w="1384" w:type="dxa"/>
            <w:vAlign w:val="center"/>
          </w:tcPr>
          <w:p w14:paraId="260D6BB2">
            <w:pPr>
              <w:jc w:val="right"/>
            </w:pPr>
            <w:r>
              <w:rPr>
                <w:rFonts w:hint="eastAsia"/>
              </w:rPr>
              <w:t>151,558.43</w:t>
            </w:r>
          </w:p>
        </w:tc>
      </w:tr>
      <w:tr w14:paraId="009E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6BA1B">
            <w:r>
              <w:rPr>
                <w:rFonts w:hint="eastAsia"/>
              </w:rPr>
              <w:t>应付投资顾问费</w:t>
            </w:r>
          </w:p>
        </w:tc>
        <w:tc>
          <w:tcPr>
            <w:tcW w:w="1384" w:type="dxa"/>
            <w:vAlign w:val="center"/>
          </w:tcPr>
          <w:p w14:paraId="317B3FD2">
            <w:pPr>
              <w:jc w:val="right"/>
            </w:pPr>
            <w:r>
              <w:rPr>
                <w:rFonts w:hint="eastAsia"/>
              </w:rPr>
              <w:t>-</w:t>
            </w:r>
          </w:p>
        </w:tc>
        <w:tc>
          <w:tcPr>
            <w:tcW w:w="1384" w:type="dxa"/>
            <w:vAlign w:val="center"/>
          </w:tcPr>
          <w:p w14:paraId="5B97E4B4">
            <w:pPr>
              <w:jc w:val="right"/>
            </w:pPr>
            <w:r>
              <w:rPr>
                <w:rFonts w:hint="eastAsia"/>
              </w:rPr>
              <w:t>-</w:t>
            </w:r>
          </w:p>
        </w:tc>
        <w:tc>
          <w:tcPr>
            <w:tcW w:w="1384" w:type="dxa"/>
            <w:vAlign w:val="center"/>
          </w:tcPr>
          <w:p w14:paraId="0DC0AEEF">
            <w:pPr>
              <w:jc w:val="right"/>
            </w:pPr>
            <w:r>
              <w:rPr>
                <w:rFonts w:hint="eastAsia"/>
              </w:rPr>
              <w:t>-</w:t>
            </w:r>
          </w:p>
        </w:tc>
        <w:tc>
          <w:tcPr>
            <w:tcW w:w="1384" w:type="dxa"/>
            <w:vAlign w:val="center"/>
          </w:tcPr>
          <w:p w14:paraId="1B8333B0">
            <w:pPr>
              <w:jc w:val="right"/>
            </w:pPr>
            <w:r>
              <w:rPr>
                <w:rFonts w:hint="eastAsia"/>
              </w:rPr>
              <w:t>-</w:t>
            </w:r>
          </w:p>
        </w:tc>
        <w:tc>
          <w:tcPr>
            <w:tcW w:w="1384" w:type="dxa"/>
            <w:vAlign w:val="center"/>
          </w:tcPr>
          <w:p w14:paraId="539C67E7">
            <w:pPr>
              <w:jc w:val="right"/>
            </w:pPr>
            <w:r>
              <w:rPr>
                <w:rFonts w:hint="eastAsia"/>
              </w:rPr>
              <w:t>-</w:t>
            </w:r>
          </w:p>
        </w:tc>
      </w:tr>
      <w:tr w14:paraId="2624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C3141">
            <w:r>
              <w:rPr>
                <w:rFonts w:hint="eastAsia"/>
              </w:rPr>
              <w:t>应交税费</w:t>
            </w:r>
          </w:p>
        </w:tc>
        <w:tc>
          <w:tcPr>
            <w:tcW w:w="1384" w:type="dxa"/>
            <w:vAlign w:val="center"/>
          </w:tcPr>
          <w:p w14:paraId="111BD95D">
            <w:pPr>
              <w:jc w:val="right"/>
            </w:pPr>
            <w:r>
              <w:rPr>
                <w:rFonts w:hint="eastAsia"/>
              </w:rPr>
              <w:t>-</w:t>
            </w:r>
          </w:p>
        </w:tc>
        <w:tc>
          <w:tcPr>
            <w:tcW w:w="1384" w:type="dxa"/>
            <w:vAlign w:val="center"/>
          </w:tcPr>
          <w:p w14:paraId="7900571C">
            <w:pPr>
              <w:jc w:val="right"/>
            </w:pPr>
            <w:r>
              <w:rPr>
                <w:rFonts w:hint="eastAsia"/>
              </w:rPr>
              <w:t>-</w:t>
            </w:r>
          </w:p>
        </w:tc>
        <w:tc>
          <w:tcPr>
            <w:tcW w:w="1384" w:type="dxa"/>
            <w:vAlign w:val="center"/>
          </w:tcPr>
          <w:p w14:paraId="1907E598">
            <w:pPr>
              <w:jc w:val="right"/>
            </w:pPr>
            <w:r>
              <w:rPr>
                <w:rFonts w:hint="eastAsia"/>
              </w:rPr>
              <w:t>-</w:t>
            </w:r>
          </w:p>
        </w:tc>
        <w:tc>
          <w:tcPr>
            <w:tcW w:w="1384" w:type="dxa"/>
            <w:vAlign w:val="center"/>
          </w:tcPr>
          <w:p w14:paraId="169366F9">
            <w:pPr>
              <w:jc w:val="right"/>
            </w:pPr>
            <w:r>
              <w:rPr>
                <w:rFonts w:hint="eastAsia"/>
              </w:rPr>
              <w:t>5,179,722.84</w:t>
            </w:r>
          </w:p>
        </w:tc>
        <w:tc>
          <w:tcPr>
            <w:tcW w:w="1384" w:type="dxa"/>
            <w:vAlign w:val="center"/>
          </w:tcPr>
          <w:p w14:paraId="4A579FAB">
            <w:pPr>
              <w:jc w:val="right"/>
            </w:pPr>
            <w:r>
              <w:rPr>
                <w:rFonts w:hint="eastAsia"/>
              </w:rPr>
              <w:t>5,179,722.84</w:t>
            </w:r>
          </w:p>
        </w:tc>
      </w:tr>
      <w:tr w14:paraId="2E43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4BEF8">
            <w:r>
              <w:rPr>
                <w:rFonts w:hint="eastAsia"/>
              </w:rPr>
              <w:t>应付利润</w:t>
            </w:r>
          </w:p>
        </w:tc>
        <w:tc>
          <w:tcPr>
            <w:tcW w:w="1384" w:type="dxa"/>
            <w:vAlign w:val="center"/>
          </w:tcPr>
          <w:p w14:paraId="7C4CCC7F">
            <w:pPr>
              <w:jc w:val="right"/>
            </w:pPr>
            <w:r>
              <w:rPr>
                <w:rFonts w:hint="eastAsia"/>
              </w:rPr>
              <w:t>-</w:t>
            </w:r>
          </w:p>
        </w:tc>
        <w:tc>
          <w:tcPr>
            <w:tcW w:w="1384" w:type="dxa"/>
            <w:vAlign w:val="center"/>
          </w:tcPr>
          <w:p w14:paraId="370D2727">
            <w:pPr>
              <w:jc w:val="right"/>
            </w:pPr>
            <w:r>
              <w:rPr>
                <w:rFonts w:hint="eastAsia"/>
              </w:rPr>
              <w:t>-</w:t>
            </w:r>
          </w:p>
        </w:tc>
        <w:tc>
          <w:tcPr>
            <w:tcW w:w="1384" w:type="dxa"/>
            <w:vAlign w:val="center"/>
          </w:tcPr>
          <w:p w14:paraId="397B17FF">
            <w:pPr>
              <w:jc w:val="right"/>
            </w:pPr>
            <w:r>
              <w:rPr>
                <w:rFonts w:hint="eastAsia"/>
              </w:rPr>
              <w:t>-</w:t>
            </w:r>
          </w:p>
        </w:tc>
        <w:tc>
          <w:tcPr>
            <w:tcW w:w="1384" w:type="dxa"/>
            <w:vAlign w:val="center"/>
          </w:tcPr>
          <w:p w14:paraId="4262BD4A">
            <w:pPr>
              <w:jc w:val="right"/>
            </w:pPr>
            <w:r>
              <w:rPr>
                <w:rFonts w:hint="eastAsia"/>
              </w:rPr>
              <w:t>-</w:t>
            </w:r>
          </w:p>
        </w:tc>
        <w:tc>
          <w:tcPr>
            <w:tcW w:w="1384" w:type="dxa"/>
            <w:vAlign w:val="center"/>
          </w:tcPr>
          <w:p w14:paraId="742E84FB">
            <w:pPr>
              <w:jc w:val="right"/>
            </w:pPr>
            <w:r>
              <w:rPr>
                <w:rFonts w:hint="eastAsia"/>
              </w:rPr>
              <w:t>-</w:t>
            </w:r>
          </w:p>
        </w:tc>
      </w:tr>
      <w:tr w14:paraId="15AA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56C78">
            <w:r>
              <w:rPr>
                <w:rFonts w:hint="eastAsia"/>
              </w:rPr>
              <w:t>递延所得税负债</w:t>
            </w:r>
          </w:p>
        </w:tc>
        <w:tc>
          <w:tcPr>
            <w:tcW w:w="1384" w:type="dxa"/>
            <w:vAlign w:val="center"/>
          </w:tcPr>
          <w:p w14:paraId="7210BCAD">
            <w:pPr>
              <w:jc w:val="right"/>
            </w:pPr>
            <w:r>
              <w:rPr>
                <w:rFonts w:hint="eastAsia"/>
              </w:rPr>
              <w:t>-</w:t>
            </w:r>
          </w:p>
        </w:tc>
        <w:tc>
          <w:tcPr>
            <w:tcW w:w="1384" w:type="dxa"/>
            <w:vAlign w:val="center"/>
          </w:tcPr>
          <w:p w14:paraId="45E2859C">
            <w:pPr>
              <w:jc w:val="right"/>
            </w:pPr>
            <w:r>
              <w:rPr>
                <w:rFonts w:hint="eastAsia"/>
              </w:rPr>
              <w:t>-</w:t>
            </w:r>
          </w:p>
        </w:tc>
        <w:tc>
          <w:tcPr>
            <w:tcW w:w="1384" w:type="dxa"/>
            <w:vAlign w:val="center"/>
          </w:tcPr>
          <w:p w14:paraId="6BCCE4C5">
            <w:pPr>
              <w:jc w:val="right"/>
            </w:pPr>
            <w:r>
              <w:rPr>
                <w:rFonts w:hint="eastAsia"/>
              </w:rPr>
              <w:t>-</w:t>
            </w:r>
          </w:p>
        </w:tc>
        <w:tc>
          <w:tcPr>
            <w:tcW w:w="1384" w:type="dxa"/>
            <w:vAlign w:val="center"/>
          </w:tcPr>
          <w:p w14:paraId="3A06FCCC">
            <w:pPr>
              <w:jc w:val="right"/>
            </w:pPr>
            <w:r>
              <w:rPr>
                <w:rFonts w:hint="eastAsia"/>
              </w:rPr>
              <w:t>-</w:t>
            </w:r>
          </w:p>
        </w:tc>
        <w:tc>
          <w:tcPr>
            <w:tcW w:w="1384" w:type="dxa"/>
            <w:vAlign w:val="center"/>
          </w:tcPr>
          <w:p w14:paraId="6A516FD8">
            <w:pPr>
              <w:jc w:val="right"/>
            </w:pPr>
            <w:r>
              <w:rPr>
                <w:rFonts w:hint="eastAsia"/>
              </w:rPr>
              <w:t>-</w:t>
            </w:r>
          </w:p>
        </w:tc>
      </w:tr>
      <w:tr w14:paraId="5CA8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02E8E">
            <w:r>
              <w:rPr>
                <w:rFonts w:hint="eastAsia"/>
              </w:rPr>
              <w:t>其他负债</w:t>
            </w:r>
          </w:p>
        </w:tc>
        <w:tc>
          <w:tcPr>
            <w:tcW w:w="1384" w:type="dxa"/>
            <w:vAlign w:val="center"/>
          </w:tcPr>
          <w:p w14:paraId="0C8E020E">
            <w:pPr>
              <w:jc w:val="right"/>
            </w:pPr>
            <w:r>
              <w:rPr>
                <w:rFonts w:hint="eastAsia"/>
              </w:rPr>
              <w:t>-</w:t>
            </w:r>
          </w:p>
        </w:tc>
        <w:tc>
          <w:tcPr>
            <w:tcW w:w="1384" w:type="dxa"/>
            <w:vAlign w:val="center"/>
          </w:tcPr>
          <w:p w14:paraId="04748AB1">
            <w:pPr>
              <w:jc w:val="right"/>
            </w:pPr>
            <w:r>
              <w:rPr>
                <w:rFonts w:hint="eastAsia"/>
              </w:rPr>
              <w:t>-</w:t>
            </w:r>
          </w:p>
        </w:tc>
        <w:tc>
          <w:tcPr>
            <w:tcW w:w="1384" w:type="dxa"/>
            <w:vAlign w:val="center"/>
          </w:tcPr>
          <w:p w14:paraId="3FFF2928">
            <w:pPr>
              <w:jc w:val="right"/>
            </w:pPr>
            <w:r>
              <w:rPr>
                <w:rFonts w:hint="eastAsia"/>
              </w:rPr>
              <w:t>-</w:t>
            </w:r>
          </w:p>
        </w:tc>
        <w:tc>
          <w:tcPr>
            <w:tcW w:w="1384" w:type="dxa"/>
            <w:vAlign w:val="center"/>
          </w:tcPr>
          <w:p w14:paraId="778BD83A">
            <w:pPr>
              <w:jc w:val="right"/>
            </w:pPr>
            <w:r>
              <w:rPr>
                <w:rFonts w:hint="eastAsia"/>
              </w:rPr>
              <w:t>48,002.43</w:t>
            </w:r>
          </w:p>
        </w:tc>
        <w:tc>
          <w:tcPr>
            <w:tcW w:w="1384" w:type="dxa"/>
            <w:vAlign w:val="center"/>
          </w:tcPr>
          <w:p w14:paraId="06E10786">
            <w:pPr>
              <w:jc w:val="right"/>
            </w:pPr>
            <w:r>
              <w:rPr>
                <w:rFonts w:hint="eastAsia"/>
              </w:rPr>
              <w:t>48,002.43</w:t>
            </w:r>
          </w:p>
        </w:tc>
      </w:tr>
      <w:tr w14:paraId="3806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F9061">
            <w:r>
              <w:rPr>
                <w:rFonts w:hint="eastAsia"/>
              </w:rPr>
              <w:t>负债总计</w:t>
            </w:r>
          </w:p>
        </w:tc>
        <w:tc>
          <w:tcPr>
            <w:tcW w:w="1384" w:type="dxa"/>
            <w:vAlign w:val="center"/>
          </w:tcPr>
          <w:p w14:paraId="15349B2F">
            <w:pPr>
              <w:jc w:val="right"/>
            </w:pPr>
            <w:r>
              <w:rPr>
                <w:rFonts w:hint="eastAsia"/>
              </w:rPr>
              <w:t>-</w:t>
            </w:r>
          </w:p>
        </w:tc>
        <w:tc>
          <w:tcPr>
            <w:tcW w:w="1384" w:type="dxa"/>
            <w:vAlign w:val="center"/>
          </w:tcPr>
          <w:p w14:paraId="4798A142">
            <w:pPr>
              <w:jc w:val="right"/>
            </w:pPr>
            <w:r>
              <w:rPr>
                <w:rFonts w:hint="eastAsia"/>
              </w:rPr>
              <w:t>-</w:t>
            </w:r>
          </w:p>
        </w:tc>
        <w:tc>
          <w:tcPr>
            <w:tcW w:w="1384" w:type="dxa"/>
            <w:vAlign w:val="center"/>
          </w:tcPr>
          <w:p w14:paraId="76C7AF8A">
            <w:pPr>
              <w:jc w:val="right"/>
            </w:pPr>
            <w:r>
              <w:rPr>
                <w:rFonts w:hint="eastAsia"/>
              </w:rPr>
              <w:t>-</w:t>
            </w:r>
          </w:p>
        </w:tc>
        <w:tc>
          <w:tcPr>
            <w:tcW w:w="1384" w:type="dxa"/>
            <w:vAlign w:val="center"/>
          </w:tcPr>
          <w:p w14:paraId="1202BC07">
            <w:pPr>
              <w:jc w:val="right"/>
            </w:pPr>
            <w:r>
              <w:rPr>
                <w:rFonts w:hint="eastAsia"/>
              </w:rPr>
              <w:t>84,746,745.39</w:t>
            </w:r>
          </w:p>
        </w:tc>
        <w:tc>
          <w:tcPr>
            <w:tcW w:w="1384" w:type="dxa"/>
            <w:vAlign w:val="center"/>
          </w:tcPr>
          <w:p w14:paraId="3AFC0AD9">
            <w:pPr>
              <w:jc w:val="right"/>
            </w:pPr>
            <w:r>
              <w:rPr>
                <w:rFonts w:hint="eastAsia"/>
              </w:rPr>
              <w:t>84,746,745.39</w:t>
            </w:r>
          </w:p>
        </w:tc>
      </w:tr>
      <w:tr w14:paraId="397D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00BEC">
            <w:r>
              <w:rPr>
                <w:rFonts w:hint="eastAsia"/>
              </w:rPr>
              <w:t>利率敏感度缺口</w:t>
            </w:r>
          </w:p>
        </w:tc>
        <w:tc>
          <w:tcPr>
            <w:tcW w:w="1384" w:type="dxa"/>
            <w:vAlign w:val="center"/>
          </w:tcPr>
          <w:p w14:paraId="5A1DA406">
            <w:pPr>
              <w:jc w:val="right"/>
            </w:pPr>
            <w:r>
              <w:rPr>
                <w:rFonts w:hint="eastAsia"/>
              </w:rPr>
              <w:t>152,814,143.56</w:t>
            </w:r>
          </w:p>
        </w:tc>
        <w:tc>
          <w:tcPr>
            <w:tcW w:w="1384" w:type="dxa"/>
            <w:vAlign w:val="center"/>
          </w:tcPr>
          <w:p w14:paraId="35E04BE7">
            <w:pPr>
              <w:jc w:val="right"/>
            </w:pPr>
            <w:r>
              <w:rPr>
                <w:rFonts w:hint="eastAsia"/>
              </w:rPr>
              <w:t>-</w:t>
            </w:r>
          </w:p>
        </w:tc>
        <w:tc>
          <w:tcPr>
            <w:tcW w:w="1384" w:type="dxa"/>
            <w:vAlign w:val="center"/>
          </w:tcPr>
          <w:p w14:paraId="79F0549E">
            <w:pPr>
              <w:jc w:val="right"/>
            </w:pPr>
            <w:r>
              <w:rPr>
                <w:rFonts w:hint="eastAsia"/>
              </w:rPr>
              <w:t>-</w:t>
            </w:r>
          </w:p>
        </w:tc>
        <w:tc>
          <w:tcPr>
            <w:tcW w:w="1384" w:type="dxa"/>
            <w:vAlign w:val="center"/>
          </w:tcPr>
          <w:p w14:paraId="0FAEEF47">
            <w:pPr>
              <w:jc w:val="right"/>
            </w:pPr>
            <w:r>
              <w:rPr>
                <w:rFonts w:hint="eastAsia"/>
              </w:rPr>
              <w:t>1,437,517,734.13</w:t>
            </w:r>
          </w:p>
        </w:tc>
        <w:tc>
          <w:tcPr>
            <w:tcW w:w="1384" w:type="dxa"/>
            <w:vAlign w:val="center"/>
          </w:tcPr>
          <w:p w14:paraId="5442294A">
            <w:pPr>
              <w:jc w:val="right"/>
            </w:pPr>
            <w:r>
              <w:rPr>
                <w:rFonts w:hint="eastAsia"/>
              </w:rPr>
              <w:t>1,590,331,877.69</w:t>
            </w:r>
          </w:p>
        </w:tc>
      </w:tr>
    </w:tbl>
    <w:p w14:paraId="44417AC2">
      <w:pPr>
        <w:pStyle w:val="47"/>
        <w:rPr>
          <w:rFonts w:hint="eastAsia"/>
        </w:rPr>
      </w:pPr>
      <w:r>
        <w:rPr>
          <w:rFonts w:hint="eastAsia"/>
        </w:rPr>
        <w:t>注：表中所示为本基金资产及负债的账面价值，并按照合约规定的利率重新定价日或到期日孰早者予以分类。</w:t>
      </w:r>
    </w:p>
    <w:p w14:paraId="213B3C53">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F2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9DD2B7">
            <w:r>
              <w:rPr>
                <w:rFonts w:hint="eastAsia"/>
              </w:rPr>
              <w:t>假设</w:t>
            </w:r>
          </w:p>
        </w:tc>
        <w:tc>
          <w:tcPr>
            <w:tcW w:w="2768" w:type="dxa"/>
            <w:gridSpan w:val="2"/>
            <w:vAlign w:val="center"/>
          </w:tcPr>
          <w:p w14:paraId="3E7A042B">
            <w:r>
              <w:rPr>
                <w:rFonts w:hint="eastAsia"/>
              </w:rPr>
              <w:t>除市场利率以外的其他市场变量保持不变</w:t>
            </w:r>
          </w:p>
        </w:tc>
      </w:tr>
      <w:tr w14:paraId="3EED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7066386">
            <w:r>
              <w:rPr>
                <w:rFonts w:hint="eastAsia"/>
              </w:rPr>
              <w:t>分析</w:t>
            </w:r>
          </w:p>
        </w:tc>
        <w:tc>
          <w:tcPr>
            <w:tcW w:w="2768" w:type="dxa"/>
            <w:vMerge w:val="restart"/>
            <w:vAlign w:val="center"/>
          </w:tcPr>
          <w:p w14:paraId="2CA0D8C5">
            <w:r>
              <w:rPr>
                <w:rFonts w:hint="eastAsia"/>
              </w:rPr>
              <w:t>相关风险变量的变动</w:t>
            </w:r>
          </w:p>
        </w:tc>
        <w:tc>
          <w:tcPr>
            <w:tcW w:w="2768" w:type="dxa"/>
            <w:vAlign w:val="center"/>
          </w:tcPr>
          <w:p w14:paraId="698AB2E1">
            <w:r>
              <w:rPr>
                <w:rFonts w:hint="eastAsia"/>
              </w:rPr>
              <w:t>对资产负债表日基金资产净值的影响金额（单位：人民币元）</w:t>
            </w:r>
          </w:p>
        </w:tc>
      </w:tr>
      <w:tr w14:paraId="1EC6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86E22A9"/>
        </w:tc>
        <w:tc>
          <w:tcPr>
            <w:tcW w:w="2768" w:type="dxa"/>
            <w:vMerge w:val="continue"/>
            <w:vAlign w:val="center"/>
          </w:tcPr>
          <w:p w14:paraId="76919D57"/>
        </w:tc>
        <w:tc>
          <w:tcPr>
            <w:tcW w:w="2768" w:type="dxa"/>
            <w:vAlign w:val="center"/>
          </w:tcPr>
          <w:p w14:paraId="03CC38B5">
            <w:r>
              <w:rPr>
                <w:rFonts w:hint="eastAsia"/>
              </w:rPr>
              <w:t>本期末（ 2025年12月31日 ）</w:t>
            </w:r>
          </w:p>
        </w:tc>
      </w:tr>
      <w:tr w14:paraId="432D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604EFA6"/>
        </w:tc>
        <w:tc>
          <w:tcPr>
            <w:tcW w:w="2768" w:type="dxa"/>
            <w:vAlign w:val="center"/>
          </w:tcPr>
          <w:p w14:paraId="7BD8CAA9">
            <w:r>
              <w:rPr>
                <w:rFonts w:hint="eastAsia"/>
              </w:rPr>
              <w:t>1.市场利率平行上升25个基点</w:t>
            </w:r>
          </w:p>
        </w:tc>
        <w:tc>
          <w:tcPr>
            <w:tcW w:w="2768" w:type="dxa"/>
            <w:vAlign w:val="center"/>
          </w:tcPr>
          <w:p w14:paraId="559F6125">
            <w:pPr>
              <w:jc w:val="right"/>
            </w:pPr>
            <w:r>
              <w:rPr>
                <w:rFonts w:hint="eastAsia"/>
              </w:rPr>
              <w:t>-1,954.52</w:t>
            </w:r>
          </w:p>
        </w:tc>
      </w:tr>
      <w:tr w14:paraId="0342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35BE98"/>
        </w:tc>
        <w:tc>
          <w:tcPr>
            <w:tcW w:w="2768" w:type="dxa"/>
            <w:vAlign w:val="center"/>
          </w:tcPr>
          <w:p w14:paraId="0B8C49D1">
            <w:r>
              <w:rPr>
                <w:rFonts w:hint="eastAsia"/>
              </w:rPr>
              <w:t>2.市场利率平行下降25个基点</w:t>
            </w:r>
          </w:p>
        </w:tc>
        <w:tc>
          <w:tcPr>
            <w:tcW w:w="2768" w:type="dxa"/>
            <w:vAlign w:val="center"/>
          </w:tcPr>
          <w:p w14:paraId="244C7939">
            <w:pPr>
              <w:jc w:val="right"/>
            </w:pPr>
            <w:r>
              <w:rPr>
                <w:rFonts w:hint="eastAsia"/>
              </w:rPr>
              <w:t>1,962.16</w:t>
            </w:r>
          </w:p>
        </w:tc>
      </w:tr>
    </w:tbl>
    <w:p w14:paraId="69E5F9B7">
      <w:pPr>
        <w:pStyle w:val="36"/>
      </w:pPr>
      <w:bookmarkStart w:id="147" w:name="_Toc147"/>
      <w:r>
        <w:t>外汇风险</w:t>
      </w:r>
      <w:bookmarkEnd w:id="147"/>
    </w:p>
    <w:p w14:paraId="4D67B6A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DA8487B">
      <w:pPr>
        <w:pStyle w:val="36"/>
      </w:pPr>
      <w:bookmarkStart w:id="148" w:name="_Toc148"/>
      <w:r>
        <w:t>其他价格风险</w:t>
      </w:r>
      <w:bookmarkEnd w:id="148"/>
    </w:p>
    <w:p w14:paraId="60F6285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4621438F">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2E7A684A">
      <w:pPr>
        <w:pStyle w:val="37"/>
      </w:pPr>
      <w:bookmarkStart w:id="149" w:name="_Toc149"/>
      <w:r>
        <w:t>其他价格风险敞口</w:t>
      </w:r>
      <w:bookmarkEnd w:id="149"/>
    </w:p>
    <w:p w14:paraId="18296D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C0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0EA281E">
            <w:pPr>
              <w:jc w:val="center"/>
            </w:pPr>
            <w:r>
              <w:rPr>
                <w:rFonts w:hint="eastAsia"/>
                <w:b/>
              </w:rPr>
              <w:t>项目</w:t>
            </w:r>
          </w:p>
        </w:tc>
        <w:tc>
          <w:tcPr>
            <w:tcW w:w="2768" w:type="dxa"/>
            <w:gridSpan w:val="2"/>
            <w:shd w:val="clear" w:color="auto" w:fill="BFBFBF"/>
            <w:vAlign w:val="center"/>
          </w:tcPr>
          <w:p w14:paraId="7381BBE4">
            <w:pPr>
              <w:jc w:val="center"/>
            </w:pPr>
            <w:r>
              <w:rPr>
                <w:rFonts w:hint="eastAsia"/>
                <w:b/>
              </w:rPr>
              <w:t>本期末2025年12月31日</w:t>
            </w:r>
          </w:p>
        </w:tc>
      </w:tr>
      <w:tr w14:paraId="5AD6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0B631E6"/>
        </w:tc>
        <w:tc>
          <w:tcPr>
            <w:tcW w:w="2768" w:type="dxa"/>
            <w:shd w:val="clear" w:color="auto" w:fill="BFBFBF"/>
            <w:vAlign w:val="center"/>
          </w:tcPr>
          <w:p w14:paraId="221790AA">
            <w:pPr>
              <w:jc w:val="center"/>
            </w:pPr>
            <w:r>
              <w:rPr>
                <w:rFonts w:hint="eastAsia"/>
                <w:b/>
              </w:rPr>
              <w:t>公允价值</w:t>
            </w:r>
          </w:p>
        </w:tc>
        <w:tc>
          <w:tcPr>
            <w:tcW w:w="2768" w:type="dxa"/>
            <w:shd w:val="clear" w:color="auto" w:fill="BFBFBF"/>
            <w:vAlign w:val="center"/>
          </w:tcPr>
          <w:p w14:paraId="143FC958">
            <w:pPr>
              <w:jc w:val="center"/>
            </w:pPr>
            <w:r>
              <w:rPr>
                <w:rFonts w:hint="eastAsia"/>
                <w:b/>
              </w:rPr>
              <w:t>占基金资产净值比例（%）</w:t>
            </w:r>
          </w:p>
        </w:tc>
      </w:tr>
      <w:tr w14:paraId="17D1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2865D">
            <w:r>
              <w:rPr>
                <w:rFonts w:hint="eastAsia"/>
              </w:rPr>
              <w:t>交易性金融资产-股票投资</w:t>
            </w:r>
          </w:p>
        </w:tc>
        <w:tc>
          <w:tcPr>
            <w:tcW w:w="2768" w:type="dxa"/>
            <w:vAlign w:val="center"/>
          </w:tcPr>
          <w:p w14:paraId="43A4436A">
            <w:pPr>
              <w:jc w:val="right"/>
            </w:pPr>
            <w:r>
              <w:rPr>
                <w:rFonts w:hint="eastAsia"/>
              </w:rPr>
              <w:t>-</w:t>
            </w:r>
          </w:p>
        </w:tc>
        <w:tc>
          <w:tcPr>
            <w:tcW w:w="2768" w:type="dxa"/>
            <w:vAlign w:val="center"/>
          </w:tcPr>
          <w:p w14:paraId="3C99EBF4">
            <w:pPr>
              <w:jc w:val="right"/>
            </w:pPr>
            <w:r>
              <w:rPr>
                <w:rFonts w:hint="eastAsia"/>
              </w:rPr>
              <w:t>-</w:t>
            </w:r>
          </w:p>
        </w:tc>
      </w:tr>
      <w:tr w14:paraId="3F25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918D4">
            <w:r>
              <w:rPr>
                <w:rFonts w:hint="eastAsia"/>
              </w:rPr>
              <w:t>交易性金融资产-基金投资</w:t>
            </w:r>
          </w:p>
        </w:tc>
        <w:tc>
          <w:tcPr>
            <w:tcW w:w="2768" w:type="dxa"/>
            <w:vAlign w:val="center"/>
          </w:tcPr>
          <w:p w14:paraId="7C8D4E2F">
            <w:pPr>
              <w:jc w:val="right"/>
            </w:pPr>
            <w:r>
              <w:rPr>
                <w:rFonts w:hint="eastAsia"/>
              </w:rPr>
              <w:t>1,510,720,342.30</w:t>
            </w:r>
          </w:p>
        </w:tc>
        <w:tc>
          <w:tcPr>
            <w:tcW w:w="2768" w:type="dxa"/>
            <w:vAlign w:val="center"/>
          </w:tcPr>
          <w:p w14:paraId="2885BD01">
            <w:pPr>
              <w:jc w:val="right"/>
            </w:pPr>
            <w:r>
              <w:rPr>
                <w:rFonts w:hint="eastAsia"/>
              </w:rPr>
              <w:t>94.99</w:t>
            </w:r>
          </w:p>
        </w:tc>
      </w:tr>
      <w:tr w14:paraId="335C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2DCDF">
            <w:r>
              <w:rPr>
                <w:rFonts w:hint="eastAsia"/>
              </w:rPr>
              <w:t>交易性金融资产-贵金属投资</w:t>
            </w:r>
          </w:p>
        </w:tc>
        <w:tc>
          <w:tcPr>
            <w:tcW w:w="2768" w:type="dxa"/>
            <w:vAlign w:val="center"/>
          </w:tcPr>
          <w:p w14:paraId="2493157B">
            <w:pPr>
              <w:jc w:val="right"/>
            </w:pPr>
            <w:r>
              <w:rPr>
                <w:rFonts w:hint="eastAsia"/>
              </w:rPr>
              <w:t>-</w:t>
            </w:r>
          </w:p>
        </w:tc>
        <w:tc>
          <w:tcPr>
            <w:tcW w:w="2768" w:type="dxa"/>
            <w:vAlign w:val="center"/>
          </w:tcPr>
          <w:p w14:paraId="58937995">
            <w:pPr>
              <w:jc w:val="right"/>
            </w:pPr>
            <w:r>
              <w:rPr>
                <w:rFonts w:hint="eastAsia"/>
              </w:rPr>
              <w:t>-</w:t>
            </w:r>
          </w:p>
        </w:tc>
      </w:tr>
      <w:tr w14:paraId="3855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803CC">
            <w:r>
              <w:rPr>
                <w:rFonts w:hint="eastAsia"/>
              </w:rPr>
              <w:t>衍生金融资产-权证投资</w:t>
            </w:r>
          </w:p>
        </w:tc>
        <w:tc>
          <w:tcPr>
            <w:tcW w:w="2768" w:type="dxa"/>
            <w:vAlign w:val="center"/>
          </w:tcPr>
          <w:p w14:paraId="6D8D6F0E">
            <w:pPr>
              <w:jc w:val="right"/>
            </w:pPr>
            <w:r>
              <w:rPr>
                <w:rFonts w:hint="eastAsia"/>
              </w:rPr>
              <w:t>-</w:t>
            </w:r>
          </w:p>
        </w:tc>
        <w:tc>
          <w:tcPr>
            <w:tcW w:w="2768" w:type="dxa"/>
            <w:vAlign w:val="center"/>
          </w:tcPr>
          <w:p w14:paraId="245E4FC8">
            <w:pPr>
              <w:jc w:val="right"/>
            </w:pPr>
            <w:r>
              <w:rPr>
                <w:rFonts w:hint="eastAsia"/>
              </w:rPr>
              <w:t>-</w:t>
            </w:r>
          </w:p>
        </w:tc>
      </w:tr>
      <w:tr w14:paraId="53D6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AEC1C">
            <w:r>
              <w:rPr>
                <w:rFonts w:hint="eastAsia"/>
              </w:rPr>
              <w:t>其他</w:t>
            </w:r>
          </w:p>
        </w:tc>
        <w:tc>
          <w:tcPr>
            <w:tcW w:w="2768" w:type="dxa"/>
            <w:vAlign w:val="center"/>
          </w:tcPr>
          <w:p w14:paraId="61E24EC3">
            <w:pPr>
              <w:jc w:val="right"/>
            </w:pPr>
            <w:r>
              <w:rPr>
                <w:rFonts w:hint="eastAsia"/>
              </w:rPr>
              <w:t>-</w:t>
            </w:r>
          </w:p>
        </w:tc>
        <w:tc>
          <w:tcPr>
            <w:tcW w:w="2768" w:type="dxa"/>
            <w:vAlign w:val="center"/>
          </w:tcPr>
          <w:p w14:paraId="7A93A448">
            <w:pPr>
              <w:jc w:val="right"/>
            </w:pPr>
            <w:r>
              <w:rPr>
                <w:rFonts w:hint="eastAsia"/>
              </w:rPr>
              <w:t>-</w:t>
            </w:r>
          </w:p>
        </w:tc>
      </w:tr>
      <w:tr w14:paraId="3DF0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723D9">
            <w:r>
              <w:rPr>
                <w:rFonts w:hint="eastAsia"/>
              </w:rPr>
              <w:t>合计</w:t>
            </w:r>
          </w:p>
        </w:tc>
        <w:tc>
          <w:tcPr>
            <w:tcW w:w="2768" w:type="dxa"/>
            <w:vAlign w:val="center"/>
          </w:tcPr>
          <w:p w14:paraId="03FE2AA8">
            <w:pPr>
              <w:jc w:val="right"/>
            </w:pPr>
            <w:r>
              <w:rPr>
                <w:rFonts w:hint="eastAsia"/>
              </w:rPr>
              <w:t>1,510,720,342.30</w:t>
            </w:r>
          </w:p>
        </w:tc>
        <w:tc>
          <w:tcPr>
            <w:tcW w:w="2768" w:type="dxa"/>
            <w:vAlign w:val="center"/>
          </w:tcPr>
          <w:p w14:paraId="3F4261FA">
            <w:pPr>
              <w:jc w:val="right"/>
            </w:pPr>
            <w:r>
              <w:rPr>
                <w:rFonts w:hint="eastAsia"/>
              </w:rPr>
              <w:t>94.99</w:t>
            </w:r>
          </w:p>
        </w:tc>
      </w:tr>
    </w:tbl>
    <w:p w14:paraId="18F5A938">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1B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8828B6">
            <w:r>
              <w:rPr>
                <w:rFonts w:hint="eastAsia"/>
              </w:rPr>
              <w:t>假设</w:t>
            </w:r>
          </w:p>
        </w:tc>
        <w:tc>
          <w:tcPr>
            <w:tcW w:w="2768" w:type="dxa"/>
            <w:gridSpan w:val="2"/>
            <w:vAlign w:val="center"/>
          </w:tcPr>
          <w:p w14:paraId="0B09AEB3">
            <w:r>
              <w:rPr>
                <w:rFonts w:hint="eastAsia"/>
              </w:rPr>
              <w:t>除业绩比较基准以外的其他市场变量保持不变</w:t>
            </w:r>
          </w:p>
        </w:tc>
      </w:tr>
      <w:tr w14:paraId="11D4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A46D400">
            <w:r>
              <w:rPr>
                <w:rFonts w:hint="eastAsia"/>
              </w:rPr>
              <w:t>分析</w:t>
            </w:r>
          </w:p>
        </w:tc>
        <w:tc>
          <w:tcPr>
            <w:tcW w:w="2768" w:type="dxa"/>
            <w:vMerge w:val="restart"/>
            <w:vAlign w:val="center"/>
          </w:tcPr>
          <w:p w14:paraId="1F7EFE22">
            <w:r>
              <w:rPr>
                <w:rFonts w:hint="eastAsia"/>
              </w:rPr>
              <w:t>相关风险变量的变动</w:t>
            </w:r>
          </w:p>
        </w:tc>
        <w:tc>
          <w:tcPr>
            <w:tcW w:w="2768" w:type="dxa"/>
            <w:vAlign w:val="center"/>
          </w:tcPr>
          <w:p w14:paraId="25141721">
            <w:r>
              <w:rPr>
                <w:rFonts w:hint="eastAsia"/>
              </w:rPr>
              <w:t>对资产负债表日基金资产净值的影响金额（单位：人民币元）</w:t>
            </w:r>
          </w:p>
        </w:tc>
      </w:tr>
      <w:tr w14:paraId="4503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47C35A3"/>
        </w:tc>
        <w:tc>
          <w:tcPr>
            <w:tcW w:w="2768" w:type="dxa"/>
            <w:vMerge w:val="continue"/>
            <w:vAlign w:val="center"/>
          </w:tcPr>
          <w:p w14:paraId="5D82FE27"/>
        </w:tc>
        <w:tc>
          <w:tcPr>
            <w:tcW w:w="2768" w:type="dxa"/>
            <w:vAlign w:val="center"/>
          </w:tcPr>
          <w:p w14:paraId="3982B595">
            <w:r>
              <w:rPr>
                <w:rFonts w:hint="eastAsia"/>
              </w:rPr>
              <w:t>本期末（ 2025年12月31日 ）</w:t>
            </w:r>
          </w:p>
        </w:tc>
      </w:tr>
      <w:tr w14:paraId="46D7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A0D497B"/>
        </w:tc>
        <w:tc>
          <w:tcPr>
            <w:tcW w:w="2768" w:type="dxa"/>
            <w:vAlign w:val="center"/>
          </w:tcPr>
          <w:p w14:paraId="51E96615">
            <w:r>
              <w:rPr>
                <w:rFonts w:hint="eastAsia"/>
              </w:rPr>
              <w:t>1.组合自身基准上升 5%</w:t>
            </w:r>
          </w:p>
        </w:tc>
        <w:tc>
          <w:tcPr>
            <w:tcW w:w="2768" w:type="dxa"/>
            <w:vAlign w:val="center"/>
          </w:tcPr>
          <w:p w14:paraId="11CC43E9">
            <w:pPr>
              <w:jc w:val="right"/>
            </w:pPr>
            <w:r>
              <w:rPr>
                <w:rFonts w:hint="eastAsia"/>
              </w:rPr>
              <w:t>60,147,946.74</w:t>
            </w:r>
          </w:p>
        </w:tc>
      </w:tr>
      <w:tr w14:paraId="7387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E323298"/>
        </w:tc>
        <w:tc>
          <w:tcPr>
            <w:tcW w:w="2768" w:type="dxa"/>
            <w:vAlign w:val="center"/>
          </w:tcPr>
          <w:p w14:paraId="14F41D5D">
            <w:r>
              <w:rPr>
                <w:rFonts w:hint="eastAsia"/>
              </w:rPr>
              <w:t>2.组合自身基准下降 5%</w:t>
            </w:r>
          </w:p>
        </w:tc>
        <w:tc>
          <w:tcPr>
            <w:tcW w:w="2768" w:type="dxa"/>
            <w:vAlign w:val="center"/>
          </w:tcPr>
          <w:p w14:paraId="7DBAF641">
            <w:pPr>
              <w:jc w:val="right"/>
            </w:pPr>
            <w:r>
              <w:rPr>
                <w:rFonts w:hint="eastAsia"/>
              </w:rPr>
              <w:t>-60,147,946.74</w:t>
            </w:r>
          </w:p>
        </w:tc>
      </w:tr>
    </w:tbl>
    <w:p w14:paraId="004241B5">
      <w:pPr>
        <w:pStyle w:val="28"/>
      </w:pPr>
      <w:bookmarkStart w:id="151" w:name="_Toc151"/>
      <w:r>
        <w:t>公允价值</w:t>
      </w:r>
      <w:bookmarkEnd w:id="151"/>
    </w:p>
    <w:p w14:paraId="4CCC9772">
      <w:pPr>
        <w:pStyle w:val="35"/>
      </w:pPr>
      <w:bookmarkStart w:id="152" w:name="_Toc152"/>
      <w:r>
        <w:t>金融工具公允价值计量的方法</w:t>
      </w:r>
      <w:bookmarkEnd w:id="152"/>
    </w:p>
    <w:p w14:paraId="19901CA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2CF5DD4">
      <w:pPr>
        <w:pStyle w:val="35"/>
      </w:pPr>
      <w:bookmarkStart w:id="153" w:name="_Toc153"/>
      <w:r>
        <w:t>持续的以公允价值计量的金融工具</w:t>
      </w:r>
      <w:bookmarkEnd w:id="153"/>
    </w:p>
    <w:p w14:paraId="1593212B">
      <w:pPr>
        <w:pStyle w:val="36"/>
      </w:pPr>
      <w:bookmarkStart w:id="154" w:name="_Toc154"/>
      <w:r>
        <w:t>各层次金融工具的公允价值</w:t>
      </w:r>
      <w:bookmarkEnd w:id="154"/>
    </w:p>
    <w:p w14:paraId="011103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A2D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542411F">
            <w:pPr>
              <w:jc w:val="center"/>
            </w:pPr>
            <w:r>
              <w:rPr>
                <w:rFonts w:hint="eastAsia"/>
                <w:b/>
              </w:rPr>
              <w:t>公允价值计量结果所属的层次</w:t>
            </w:r>
          </w:p>
        </w:tc>
        <w:tc>
          <w:tcPr>
            <w:tcW w:w="4153" w:type="dxa"/>
            <w:shd w:val="clear" w:color="auto" w:fill="BFBFBF"/>
            <w:vAlign w:val="center"/>
          </w:tcPr>
          <w:p w14:paraId="4B77E3FF">
            <w:pPr>
              <w:jc w:val="center"/>
            </w:pPr>
            <w:r>
              <w:rPr>
                <w:rFonts w:hint="eastAsia"/>
                <w:b/>
              </w:rPr>
              <w:t>本期末2025年12月31日</w:t>
            </w:r>
          </w:p>
        </w:tc>
      </w:tr>
      <w:tr w14:paraId="0F93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1C7F47">
            <w:r>
              <w:rPr>
                <w:rFonts w:hint="eastAsia"/>
              </w:rPr>
              <w:t>第一层次</w:t>
            </w:r>
          </w:p>
        </w:tc>
        <w:tc>
          <w:tcPr>
            <w:tcW w:w="4153" w:type="dxa"/>
            <w:vAlign w:val="center"/>
          </w:tcPr>
          <w:p w14:paraId="077B654F">
            <w:pPr>
              <w:jc w:val="right"/>
            </w:pPr>
            <w:r>
              <w:rPr>
                <w:rFonts w:hint="eastAsia"/>
              </w:rPr>
              <w:t>1,510,720,342.30</w:t>
            </w:r>
          </w:p>
        </w:tc>
      </w:tr>
      <w:tr w14:paraId="36F8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6D21C6">
            <w:r>
              <w:rPr>
                <w:rFonts w:hint="eastAsia"/>
              </w:rPr>
              <w:t>第二层次</w:t>
            </w:r>
          </w:p>
        </w:tc>
        <w:tc>
          <w:tcPr>
            <w:tcW w:w="4153" w:type="dxa"/>
            <w:vAlign w:val="center"/>
          </w:tcPr>
          <w:p w14:paraId="0518E15C">
            <w:pPr>
              <w:jc w:val="right"/>
            </w:pPr>
            <w:r>
              <w:rPr>
                <w:rFonts w:hint="eastAsia"/>
              </w:rPr>
              <w:t>1,003,249.04</w:t>
            </w:r>
          </w:p>
        </w:tc>
      </w:tr>
      <w:tr w14:paraId="1579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430C54F4">
            <w:r>
              <w:rPr>
                <w:rFonts w:hint="eastAsia"/>
              </w:rPr>
              <w:t>第三层次</w:t>
            </w:r>
          </w:p>
        </w:tc>
        <w:tc>
          <w:tcPr>
            <w:tcW w:w="4153" w:type="dxa"/>
            <w:vAlign w:val="center"/>
          </w:tcPr>
          <w:p w14:paraId="493A0353">
            <w:pPr>
              <w:jc w:val="right"/>
            </w:pPr>
            <w:r>
              <w:rPr>
                <w:rFonts w:hint="eastAsia"/>
              </w:rPr>
              <w:t>-</w:t>
            </w:r>
          </w:p>
        </w:tc>
      </w:tr>
      <w:tr w14:paraId="2A42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DC0728">
            <w:r>
              <w:rPr>
                <w:rFonts w:hint="eastAsia"/>
              </w:rPr>
              <w:t>合计</w:t>
            </w:r>
          </w:p>
        </w:tc>
        <w:tc>
          <w:tcPr>
            <w:tcW w:w="4153" w:type="dxa"/>
            <w:vAlign w:val="center"/>
          </w:tcPr>
          <w:p w14:paraId="59C80A95">
            <w:pPr>
              <w:jc w:val="right"/>
            </w:pPr>
            <w:r>
              <w:rPr>
                <w:rFonts w:hint="eastAsia"/>
              </w:rPr>
              <w:t>1,511,723,591.34</w:t>
            </w:r>
          </w:p>
        </w:tc>
      </w:tr>
    </w:tbl>
    <w:p w14:paraId="0BDB83B3">
      <w:pPr>
        <w:pStyle w:val="36"/>
      </w:pPr>
      <w:bookmarkStart w:id="155" w:name="_Toc155"/>
      <w:r>
        <w:t>公允价值所属层次间的重大变动</w:t>
      </w:r>
      <w:bookmarkEnd w:id="155"/>
    </w:p>
    <w:p w14:paraId="0C31AB4E">
      <w:pPr>
        <w:pStyle w:val="18"/>
        <w:rPr>
          <w:rFonts w:hint="eastAsia"/>
        </w:rPr>
      </w:pPr>
      <w:r>
        <w:rPr>
          <w:rFonts w:hint="eastAsia"/>
        </w:rPr>
        <w:t>本基金调整公允价值计量层次转换时点的相关会计政策在前后各会计期间保持一致。</w:t>
      </w:r>
    </w:p>
    <w:p w14:paraId="7C31662B">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C9E2757">
      <w:pPr>
        <w:pStyle w:val="35"/>
      </w:pPr>
      <w:bookmarkStart w:id="156" w:name="_Toc156"/>
      <w:r>
        <w:t>非持续的以公允价值计量的金融工具的说明</w:t>
      </w:r>
      <w:bookmarkEnd w:id="156"/>
    </w:p>
    <w:p w14:paraId="43993A9B">
      <w:pPr>
        <w:pStyle w:val="18"/>
        <w:rPr>
          <w:rFonts w:hint="eastAsia"/>
        </w:rPr>
      </w:pPr>
      <w:r>
        <w:rPr>
          <w:rFonts w:hint="eastAsia"/>
        </w:rPr>
        <w:t>于本报告期末，本基金未持有非持续的以公允价值计量的金融资产。</w:t>
      </w:r>
    </w:p>
    <w:p w14:paraId="7485DC78">
      <w:pPr>
        <w:pStyle w:val="35"/>
      </w:pPr>
      <w:bookmarkStart w:id="157" w:name="_Toc157"/>
      <w:r>
        <w:t>不以公允价值计量的金融工具的相关说明</w:t>
      </w:r>
      <w:bookmarkEnd w:id="157"/>
    </w:p>
    <w:p w14:paraId="75E1D385">
      <w:pPr>
        <w:pStyle w:val="18"/>
        <w:rPr>
          <w:rFonts w:hint="eastAsia"/>
        </w:rPr>
      </w:pPr>
      <w:r>
        <w:rPr>
          <w:rFonts w:hint="eastAsia"/>
        </w:rPr>
        <w:t>不以公允价值计量的金融资产和负债主要包括应收款项和其他金融负债，其账面价值与公允价值相差很小。</w:t>
      </w:r>
    </w:p>
    <w:p w14:paraId="722AFB46">
      <w:pPr>
        <w:pStyle w:val="28"/>
      </w:pPr>
      <w:bookmarkStart w:id="158" w:name="_Toc158"/>
      <w:r>
        <w:t>有助于理解和分析会计报表需要说明的其他事项</w:t>
      </w:r>
      <w:bookmarkEnd w:id="158"/>
    </w:p>
    <w:p w14:paraId="56C02AE2">
      <w:pPr>
        <w:pStyle w:val="18"/>
        <w:rPr>
          <w:rFonts w:hint="eastAsia"/>
        </w:rPr>
      </w:pPr>
      <w:r>
        <w:rPr>
          <w:rFonts w:hint="eastAsia"/>
        </w:rPr>
        <w:t>截至资产负债表日本基金无需要说明的其他重要事项。</w:t>
      </w:r>
    </w:p>
    <w:p w14:paraId="5CD2D9DC">
      <w:pPr>
        <w:pStyle w:val="26"/>
      </w:pPr>
      <w:bookmarkStart w:id="159" w:name="_Toc24404"/>
      <w:r>
        <w:t>投资组合报告</w:t>
      </w:r>
      <w:bookmarkEnd w:id="159"/>
    </w:p>
    <w:p w14:paraId="1A2EE55B">
      <w:pPr>
        <w:pStyle w:val="23"/>
      </w:pPr>
      <w:bookmarkStart w:id="160" w:name="_Toc10674"/>
      <w:r>
        <w:t>期末基金资产组合情况</w:t>
      </w:r>
      <w:bookmarkEnd w:id="160"/>
    </w:p>
    <w:p w14:paraId="152F34F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55F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05AD320">
            <w:pPr>
              <w:jc w:val="center"/>
            </w:pPr>
            <w:r>
              <w:rPr>
                <w:rFonts w:hint="eastAsia"/>
                <w:b/>
              </w:rPr>
              <w:t>序号</w:t>
            </w:r>
          </w:p>
        </w:tc>
        <w:tc>
          <w:tcPr>
            <w:tcW w:w="2901" w:type="dxa"/>
            <w:shd w:val="clear" w:color="auto" w:fill="BFBFBF"/>
            <w:vAlign w:val="center"/>
          </w:tcPr>
          <w:p w14:paraId="6280B7F5">
            <w:pPr>
              <w:jc w:val="center"/>
            </w:pPr>
            <w:r>
              <w:rPr>
                <w:rFonts w:hint="eastAsia"/>
                <w:b/>
              </w:rPr>
              <w:t>项目</w:t>
            </w:r>
          </w:p>
        </w:tc>
        <w:tc>
          <w:tcPr>
            <w:tcW w:w="2325" w:type="dxa"/>
            <w:shd w:val="clear" w:color="auto" w:fill="BFBFBF"/>
            <w:vAlign w:val="center"/>
          </w:tcPr>
          <w:p w14:paraId="1B2E1F28">
            <w:pPr>
              <w:jc w:val="center"/>
            </w:pPr>
            <w:r>
              <w:rPr>
                <w:rFonts w:hint="eastAsia"/>
                <w:b/>
              </w:rPr>
              <w:t>金额</w:t>
            </w:r>
          </w:p>
        </w:tc>
        <w:tc>
          <w:tcPr>
            <w:tcW w:w="2447" w:type="dxa"/>
            <w:shd w:val="clear" w:color="auto" w:fill="BFBFBF"/>
            <w:vAlign w:val="center"/>
          </w:tcPr>
          <w:p w14:paraId="0ADF750B">
            <w:pPr>
              <w:jc w:val="center"/>
            </w:pPr>
            <w:r>
              <w:rPr>
                <w:rFonts w:hint="eastAsia"/>
                <w:b/>
              </w:rPr>
              <w:t>占基金总资产的比例（%）</w:t>
            </w:r>
          </w:p>
        </w:tc>
      </w:tr>
      <w:tr w14:paraId="654C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8CB00A">
            <w:pPr>
              <w:jc w:val="center"/>
            </w:pPr>
            <w:r>
              <w:rPr>
                <w:rFonts w:hint="eastAsia"/>
              </w:rPr>
              <w:t>1</w:t>
            </w:r>
          </w:p>
        </w:tc>
        <w:tc>
          <w:tcPr>
            <w:tcW w:w="2901" w:type="dxa"/>
            <w:vAlign w:val="center"/>
          </w:tcPr>
          <w:p w14:paraId="398E14A7">
            <w:r>
              <w:rPr>
                <w:rFonts w:hint="eastAsia"/>
              </w:rPr>
              <w:t>权益投资</w:t>
            </w:r>
          </w:p>
        </w:tc>
        <w:tc>
          <w:tcPr>
            <w:tcW w:w="2325" w:type="dxa"/>
            <w:vAlign w:val="center"/>
          </w:tcPr>
          <w:p w14:paraId="2B21CA90">
            <w:pPr>
              <w:jc w:val="right"/>
            </w:pPr>
            <w:r>
              <w:rPr>
                <w:rFonts w:hint="eastAsia"/>
              </w:rPr>
              <w:t>-</w:t>
            </w:r>
          </w:p>
        </w:tc>
        <w:tc>
          <w:tcPr>
            <w:tcW w:w="2447" w:type="dxa"/>
            <w:vAlign w:val="center"/>
          </w:tcPr>
          <w:p w14:paraId="4900DE68">
            <w:pPr>
              <w:jc w:val="right"/>
            </w:pPr>
            <w:r>
              <w:rPr>
                <w:rFonts w:hint="eastAsia"/>
              </w:rPr>
              <w:t>-</w:t>
            </w:r>
          </w:p>
        </w:tc>
      </w:tr>
      <w:tr w14:paraId="6A99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76CB2B">
            <w:pPr>
              <w:jc w:val="center"/>
            </w:pPr>
          </w:p>
        </w:tc>
        <w:tc>
          <w:tcPr>
            <w:tcW w:w="2901" w:type="dxa"/>
            <w:vAlign w:val="center"/>
          </w:tcPr>
          <w:p w14:paraId="70FF9733">
            <w:r>
              <w:rPr>
                <w:rFonts w:hint="eastAsia"/>
              </w:rPr>
              <w:t>其中：股票</w:t>
            </w:r>
          </w:p>
        </w:tc>
        <w:tc>
          <w:tcPr>
            <w:tcW w:w="2325" w:type="dxa"/>
            <w:vAlign w:val="center"/>
          </w:tcPr>
          <w:p w14:paraId="13B3F8A8">
            <w:pPr>
              <w:jc w:val="right"/>
            </w:pPr>
            <w:r>
              <w:rPr>
                <w:rFonts w:hint="eastAsia"/>
              </w:rPr>
              <w:t>-</w:t>
            </w:r>
          </w:p>
        </w:tc>
        <w:tc>
          <w:tcPr>
            <w:tcW w:w="2447" w:type="dxa"/>
            <w:vAlign w:val="center"/>
          </w:tcPr>
          <w:p w14:paraId="1EAA2D67">
            <w:pPr>
              <w:jc w:val="right"/>
            </w:pPr>
            <w:r>
              <w:rPr>
                <w:rFonts w:hint="eastAsia"/>
              </w:rPr>
              <w:t>-</w:t>
            </w:r>
          </w:p>
        </w:tc>
      </w:tr>
      <w:tr w14:paraId="28AC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EB1A44">
            <w:pPr>
              <w:jc w:val="center"/>
            </w:pPr>
            <w:r>
              <w:rPr>
                <w:rFonts w:hint="eastAsia"/>
              </w:rPr>
              <w:t>2</w:t>
            </w:r>
          </w:p>
        </w:tc>
        <w:tc>
          <w:tcPr>
            <w:tcW w:w="2901" w:type="dxa"/>
            <w:vAlign w:val="center"/>
          </w:tcPr>
          <w:p w14:paraId="02AE2927">
            <w:r>
              <w:rPr>
                <w:rFonts w:hint="eastAsia"/>
              </w:rPr>
              <w:t>基金投资</w:t>
            </w:r>
          </w:p>
        </w:tc>
        <w:tc>
          <w:tcPr>
            <w:tcW w:w="2325" w:type="dxa"/>
            <w:vAlign w:val="center"/>
          </w:tcPr>
          <w:p w14:paraId="70E27DDC">
            <w:pPr>
              <w:jc w:val="right"/>
            </w:pPr>
            <w:r>
              <w:rPr>
                <w:rFonts w:hint="eastAsia"/>
              </w:rPr>
              <w:t>1,510,720,342.30</w:t>
            </w:r>
          </w:p>
        </w:tc>
        <w:tc>
          <w:tcPr>
            <w:tcW w:w="2447" w:type="dxa"/>
            <w:vAlign w:val="center"/>
          </w:tcPr>
          <w:p w14:paraId="476053BC">
            <w:pPr>
              <w:jc w:val="right"/>
            </w:pPr>
            <w:r>
              <w:rPr>
                <w:rFonts w:hint="eastAsia"/>
              </w:rPr>
              <w:t>90.19</w:t>
            </w:r>
          </w:p>
        </w:tc>
      </w:tr>
      <w:tr w14:paraId="79C0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F42039">
            <w:pPr>
              <w:jc w:val="center"/>
            </w:pPr>
            <w:r>
              <w:rPr>
                <w:rFonts w:hint="eastAsia"/>
              </w:rPr>
              <w:t>3</w:t>
            </w:r>
          </w:p>
        </w:tc>
        <w:tc>
          <w:tcPr>
            <w:tcW w:w="2901" w:type="dxa"/>
            <w:vAlign w:val="center"/>
          </w:tcPr>
          <w:p w14:paraId="182FAC35">
            <w:r>
              <w:rPr>
                <w:rFonts w:hint="eastAsia"/>
              </w:rPr>
              <w:t>固定收益投资</w:t>
            </w:r>
          </w:p>
        </w:tc>
        <w:tc>
          <w:tcPr>
            <w:tcW w:w="2325" w:type="dxa"/>
            <w:vAlign w:val="center"/>
          </w:tcPr>
          <w:p w14:paraId="11A0C0C3">
            <w:pPr>
              <w:jc w:val="right"/>
            </w:pPr>
            <w:r>
              <w:rPr>
                <w:rFonts w:hint="eastAsia"/>
              </w:rPr>
              <w:t>1,003,249.04</w:t>
            </w:r>
          </w:p>
        </w:tc>
        <w:tc>
          <w:tcPr>
            <w:tcW w:w="2447" w:type="dxa"/>
            <w:vAlign w:val="center"/>
          </w:tcPr>
          <w:p w14:paraId="60911200">
            <w:pPr>
              <w:jc w:val="right"/>
            </w:pPr>
            <w:r>
              <w:rPr>
                <w:rFonts w:hint="eastAsia"/>
              </w:rPr>
              <w:t>0.06</w:t>
            </w:r>
          </w:p>
        </w:tc>
      </w:tr>
      <w:tr w14:paraId="4B1D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4E42F7">
            <w:pPr>
              <w:jc w:val="center"/>
            </w:pPr>
          </w:p>
        </w:tc>
        <w:tc>
          <w:tcPr>
            <w:tcW w:w="2901" w:type="dxa"/>
            <w:vAlign w:val="center"/>
          </w:tcPr>
          <w:p w14:paraId="622B41CC">
            <w:r>
              <w:rPr>
                <w:rFonts w:hint="eastAsia"/>
              </w:rPr>
              <w:t>其中：债券</w:t>
            </w:r>
          </w:p>
        </w:tc>
        <w:tc>
          <w:tcPr>
            <w:tcW w:w="2325" w:type="dxa"/>
            <w:vAlign w:val="center"/>
          </w:tcPr>
          <w:p w14:paraId="6E940EC7">
            <w:pPr>
              <w:jc w:val="right"/>
            </w:pPr>
            <w:r>
              <w:rPr>
                <w:rFonts w:hint="eastAsia"/>
              </w:rPr>
              <w:t>1,003,249.04</w:t>
            </w:r>
          </w:p>
        </w:tc>
        <w:tc>
          <w:tcPr>
            <w:tcW w:w="2447" w:type="dxa"/>
            <w:vAlign w:val="center"/>
          </w:tcPr>
          <w:p w14:paraId="0191E94B">
            <w:pPr>
              <w:jc w:val="right"/>
            </w:pPr>
            <w:r>
              <w:rPr>
                <w:rFonts w:hint="eastAsia"/>
              </w:rPr>
              <w:t>0.06</w:t>
            </w:r>
          </w:p>
        </w:tc>
      </w:tr>
      <w:tr w14:paraId="5AA1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1653F4">
            <w:pPr>
              <w:jc w:val="center"/>
            </w:pPr>
          </w:p>
        </w:tc>
        <w:tc>
          <w:tcPr>
            <w:tcW w:w="2901" w:type="dxa"/>
            <w:vAlign w:val="center"/>
          </w:tcPr>
          <w:p w14:paraId="1136D6BA">
            <w:r>
              <w:rPr>
                <w:rFonts w:hint="eastAsia"/>
              </w:rPr>
              <w:t xml:space="preserve">      资产支持证券</w:t>
            </w:r>
          </w:p>
        </w:tc>
        <w:tc>
          <w:tcPr>
            <w:tcW w:w="2325" w:type="dxa"/>
            <w:vAlign w:val="center"/>
          </w:tcPr>
          <w:p w14:paraId="1AF3C2F2">
            <w:pPr>
              <w:jc w:val="right"/>
            </w:pPr>
            <w:r>
              <w:rPr>
                <w:rFonts w:hint="eastAsia"/>
              </w:rPr>
              <w:t>-</w:t>
            </w:r>
          </w:p>
        </w:tc>
        <w:tc>
          <w:tcPr>
            <w:tcW w:w="2447" w:type="dxa"/>
            <w:vAlign w:val="center"/>
          </w:tcPr>
          <w:p w14:paraId="3B86E985">
            <w:pPr>
              <w:jc w:val="right"/>
            </w:pPr>
            <w:r>
              <w:rPr>
                <w:rFonts w:hint="eastAsia"/>
              </w:rPr>
              <w:t>-</w:t>
            </w:r>
          </w:p>
        </w:tc>
      </w:tr>
      <w:tr w14:paraId="2ED1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9BDDDE">
            <w:pPr>
              <w:jc w:val="center"/>
            </w:pPr>
            <w:r>
              <w:rPr>
                <w:rFonts w:hint="eastAsia"/>
              </w:rPr>
              <w:t>4</w:t>
            </w:r>
          </w:p>
        </w:tc>
        <w:tc>
          <w:tcPr>
            <w:tcW w:w="2901" w:type="dxa"/>
            <w:vAlign w:val="center"/>
          </w:tcPr>
          <w:p w14:paraId="52B56746">
            <w:r>
              <w:rPr>
                <w:rFonts w:hint="eastAsia"/>
              </w:rPr>
              <w:t>贵金属投资</w:t>
            </w:r>
          </w:p>
        </w:tc>
        <w:tc>
          <w:tcPr>
            <w:tcW w:w="2325" w:type="dxa"/>
            <w:vAlign w:val="center"/>
          </w:tcPr>
          <w:p w14:paraId="099F64CA">
            <w:pPr>
              <w:jc w:val="right"/>
            </w:pPr>
            <w:r>
              <w:rPr>
                <w:rFonts w:hint="eastAsia"/>
              </w:rPr>
              <w:t>-</w:t>
            </w:r>
          </w:p>
        </w:tc>
        <w:tc>
          <w:tcPr>
            <w:tcW w:w="2447" w:type="dxa"/>
            <w:vAlign w:val="center"/>
          </w:tcPr>
          <w:p w14:paraId="0D9D914D">
            <w:pPr>
              <w:jc w:val="right"/>
            </w:pPr>
            <w:r>
              <w:rPr>
                <w:rFonts w:hint="eastAsia"/>
              </w:rPr>
              <w:t>-</w:t>
            </w:r>
          </w:p>
        </w:tc>
      </w:tr>
      <w:tr w14:paraId="35F7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21F513">
            <w:pPr>
              <w:jc w:val="center"/>
            </w:pPr>
            <w:r>
              <w:rPr>
                <w:rFonts w:hint="eastAsia"/>
              </w:rPr>
              <w:t>5</w:t>
            </w:r>
          </w:p>
        </w:tc>
        <w:tc>
          <w:tcPr>
            <w:tcW w:w="2901" w:type="dxa"/>
            <w:vAlign w:val="center"/>
          </w:tcPr>
          <w:p w14:paraId="7630448E">
            <w:r>
              <w:rPr>
                <w:rFonts w:hint="eastAsia"/>
              </w:rPr>
              <w:t>金融衍生品投资</w:t>
            </w:r>
          </w:p>
        </w:tc>
        <w:tc>
          <w:tcPr>
            <w:tcW w:w="2325" w:type="dxa"/>
            <w:vAlign w:val="center"/>
          </w:tcPr>
          <w:p w14:paraId="3F5A4C6E">
            <w:pPr>
              <w:jc w:val="right"/>
            </w:pPr>
            <w:r>
              <w:rPr>
                <w:rFonts w:hint="eastAsia"/>
              </w:rPr>
              <w:t>-</w:t>
            </w:r>
          </w:p>
        </w:tc>
        <w:tc>
          <w:tcPr>
            <w:tcW w:w="2447" w:type="dxa"/>
            <w:vAlign w:val="center"/>
          </w:tcPr>
          <w:p w14:paraId="333611E9">
            <w:pPr>
              <w:jc w:val="right"/>
            </w:pPr>
            <w:r>
              <w:rPr>
                <w:rFonts w:hint="eastAsia"/>
              </w:rPr>
              <w:t>-</w:t>
            </w:r>
          </w:p>
        </w:tc>
      </w:tr>
      <w:tr w14:paraId="01FD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7233A8">
            <w:pPr>
              <w:jc w:val="center"/>
            </w:pPr>
            <w:r>
              <w:rPr>
                <w:rFonts w:hint="eastAsia"/>
              </w:rPr>
              <w:t>6</w:t>
            </w:r>
          </w:p>
        </w:tc>
        <w:tc>
          <w:tcPr>
            <w:tcW w:w="2901" w:type="dxa"/>
            <w:vAlign w:val="center"/>
          </w:tcPr>
          <w:p w14:paraId="0D1CBB6B">
            <w:r>
              <w:rPr>
                <w:rFonts w:hint="eastAsia"/>
              </w:rPr>
              <w:t>买入返售金融资产</w:t>
            </w:r>
          </w:p>
        </w:tc>
        <w:tc>
          <w:tcPr>
            <w:tcW w:w="2325" w:type="dxa"/>
            <w:vAlign w:val="center"/>
          </w:tcPr>
          <w:p w14:paraId="60940DBF">
            <w:pPr>
              <w:jc w:val="right"/>
            </w:pPr>
            <w:r>
              <w:rPr>
                <w:rFonts w:hint="eastAsia"/>
              </w:rPr>
              <w:t>-</w:t>
            </w:r>
          </w:p>
        </w:tc>
        <w:tc>
          <w:tcPr>
            <w:tcW w:w="2447" w:type="dxa"/>
            <w:vAlign w:val="center"/>
          </w:tcPr>
          <w:p w14:paraId="787A24D6">
            <w:pPr>
              <w:jc w:val="right"/>
            </w:pPr>
            <w:r>
              <w:rPr>
                <w:rFonts w:hint="eastAsia"/>
              </w:rPr>
              <w:t>-</w:t>
            </w:r>
          </w:p>
        </w:tc>
      </w:tr>
      <w:tr w14:paraId="3E11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DAB2A4">
            <w:pPr>
              <w:jc w:val="center"/>
            </w:pPr>
          </w:p>
        </w:tc>
        <w:tc>
          <w:tcPr>
            <w:tcW w:w="2901" w:type="dxa"/>
            <w:vAlign w:val="center"/>
          </w:tcPr>
          <w:p w14:paraId="18F3EB0B">
            <w:r>
              <w:rPr>
                <w:rFonts w:hint="eastAsia"/>
              </w:rPr>
              <w:t>其中：买断式回购的买入返售金融资产</w:t>
            </w:r>
          </w:p>
        </w:tc>
        <w:tc>
          <w:tcPr>
            <w:tcW w:w="2325" w:type="dxa"/>
            <w:vAlign w:val="center"/>
          </w:tcPr>
          <w:p w14:paraId="238F3D1B">
            <w:pPr>
              <w:jc w:val="right"/>
            </w:pPr>
            <w:r>
              <w:rPr>
                <w:rFonts w:hint="eastAsia"/>
              </w:rPr>
              <w:t>-</w:t>
            </w:r>
          </w:p>
        </w:tc>
        <w:tc>
          <w:tcPr>
            <w:tcW w:w="2447" w:type="dxa"/>
            <w:vAlign w:val="center"/>
          </w:tcPr>
          <w:p w14:paraId="019D3690">
            <w:pPr>
              <w:jc w:val="right"/>
            </w:pPr>
            <w:r>
              <w:rPr>
                <w:rFonts w:hint="eastAsia"/>
              </w:rPr>
              <w:t>-</w:t>
            </w:r>
          </w:p>
        </w:tc>
      </w:tr>
      <w:tr w14:paraId="2020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5C9E0C">
            <w:pPr>
              <w:jc w:val="center"/>
            </w:pPr>
            <w:r>
              <w:rPr>
                <w:rFonts w:hint="eastAsia"/>
              </w:rPr>
              <w:t>7</w:t>
            </w:r>
          </w:p>
        </w:tc>
        <w:tc>
          <w:tcPr>
            <w:tcW w:w="2901" w:type="dxa"/>
            <w:vAlign w:val="center"/>
          </w:tcPr>
          <w:p w14:paraId="6AB4099A">
            <w:r>
              <w:rPr>
                <w:rFonts w:hint="eastAsia"/>
              </w:rPr>
              <w:t>银行存款和结算备付金合计</w:t>
            </w:r>
          </w:p>
        </w:tc>
        <w:tc>
          <w:tcPr>
            <w:tcW w:w="2325" w:type="dxa"/>
            <w:vAlign w:val="center"/>
          </w:tcPr>
          <w:p w14:paraId="33AA1C27">
            <w:pPr>
              <w:jc w:val="right"/>
            </w:pPr>
            <w:r>
              <w:rPr>
                <w:rFonts w:hint="eastAsia"/>
              </w:rPr>
              <w:t>151,810,894.52</w:t>
            </w:r>
          </w:p>
        </w:tc>
        <w:tc>
          <w:tcPr>
            <w:tcW w:w="2447" w:type="dxa"/>
            <w:vAlign w:val="center"/>
          </w:tcPr>
          <w:p w14:paraId="63CF73DA">
            <w:pPr>
              <w:jc w:val="right"/>
            </w:pPr>
            <w:r>
              <w:rPr>
                <w:rFonts w:hint="eastAsia"/>
              </w:rPr>
              <w:t>9.06</w:t>
            </w:r>
          </w:p>
        </w:tc>
      </w:tr>
      <w:tr w14:paraId="7644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392D4B">
            <w:pPr>
              <w:jc w:val="center"/>
            </w:pPr>
            <w:r>
              <w:rPr>
                <w:rFonts w:hint="eastAsia"/>
              </w:rPr>
              <w:t>8</w:t>
            </w:r>
          </w:p>
        </w:tc>
        <w:tc>
          <w:tcPr>
            <w:tcW w:w="2901" w:type="dxa"/>
            <w:vAlign w:val="center"/>
          </w:tcPr>
          <w:p w14:paraId="71F7885F">
            <w:r>
              <w:rPr>
                <w:rFonts w:hint="eastAsia"/>
              </w:rPr>
              <w:t>其他各项资产</w:t>
            </w:r>
          </w:p>
        </w:tc>
        <w:tc>
          <w:tcPr>
            <w:tcW w:w="2325" w:type="dxa"/>
            <w:vAlign w:val="center"/>
          </w:tcPr>
          <w:p w14:paraId="287C0C82">
            <w:pPr>
              <w:jc w:val="right"/>
            </w:pPr>
            <w:r>
              <w:rPr>
                <w:rFonts w:hint="eastAsia"/>
              </w:rPr>
              <w:t>11,544,137.22</w:t>
            </w:r>
          </w:p>
        </w:tc>
        <w:tc>
          <w:tcPr>
            <w:tcW w:w="2447" w:type="dxa"/>
            <w:vAlign w:val="center"/>
          </w:tcPr>
          <w:p w14:paraId="165FA713">
            <w:pPr>
              <w:jc w:val="right"/>
            </w:pPr>
            <w:r>
              <w:rPr>
                <w:rFonts w:hint="eastAsia"/>
              </w:rPr>
              <w:t>0.69</w:t>
            </w:r>
          </w:p>
        </w:tc>
      </w:tr>
      <w:tr w14:paraId="667E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E0DD2A">
            <w:pPr>
              <w:jc w:val="center"/>
            </w:pPr>
            <w:r>
              <w:rPr>
                <w:rFonts w:hint="eastAsia"/>
              </w:rPr>
              <w:t>9</w:t>
            </w:r>
          </w:p>
        </w:tc>
        <w:tc>
          <w:tcPr>
            <w:tcW w:w="2901" w:type="dxa"/>
            <w:vAlign w:val="center"/>
          </w:tcPr>
          <w:p w14:paraId="7C645F4A">
            <w:r>
              <w:rPr>
                <w:rFonts w:hint="eastAsia"/>
              </w:rPr>
              <w:t>合计</w:t>
            </w:r>
          </w:p>
        </w:tc>
        <w:tc>
          <w:tcPr>
            <w:tcW w:w="2325" w:type="dxa"/>
            <w:vAlign w:val="center"/>
          </w:tcPr>
          <w:p w14:paraId="25FBEBFB">
            <w:pPr>
              <w:jc w:val="right"/>
            </w:pPr>
            <w:r>
              <w:rPr>
                <w:rFonts w:hint="eastAsia"/>
              </w:rPr>
              <w:t>1,675,078,623.08</w:t>
            </w:r>
          </w:p>
        </w:tc>
        <w:tc>
          <w:tcPr>
            <w:tcW w:w="2447" w:type="dxa"/>
            <w:vAlign w:val="center"/>
          </w:tcPr>
          <w:p w14:paraId="640FA2A3">
            <w:pPr>
              <w:jc w:val="right"/>
            </w:pPr>
            <w:r>
              <w:rPr>
                <w:rFonts w:hint="eastAsia"/>
              </w:rPr>
              <w:t>100.00</w:t>
            </w:r>
          </w:p>
        </w:tc>
      </w:tr>
    </w:tbl>
    <w:p w14:paraId="03D2BF2F">
      <w:pPr>
        <w:pStyle w:val="23"/>
      </w:pPr>
      <w:bookmarkStart w:id="161" w:name="_Toc18722"/>
      <w:r>
        <w:t>报告期末按行业分类的股票投资组合</w:t>
      </w:r>
      <w:bookmarkEnd w:id="161"/>
    </w:p>
    <w:p w14:paraId="02DC9E4E">
      <w:pPr>
        <w:pStyle w:val="28"/>
      </w:pPr>
      <w:bookmarkStart w:id="162" w:name="_Toc162"/>
      <w:r>
        <w:t>报告期末按行业分类的境内股票投资组合</w:t>
      </w:r>
      <w:bookmarkEnd w:id="162"/>
    </w:p>
    <w:p w14:paraId="0397BBD1">
      <w:pPr>
        <w:pStyle w:val="18"/>
        <w:rPr>
          <w:rFonts w:hint="eastAsia"/>
        </w:rPr>
      </w:pPr>
      <w:r>
        <w:rPr>
          <w:rFonts w:hint="eastAsia"/>
        </w:rPr>
        <w:t>无。</w:t>
      </w:r>
    </w:p>
    <w:p w14:paraId="615BEB20">
      <w:pPr>
        <w:pStyle w:val="28"/>
      </w:pPr>
      <w:bookmarkStart w:id="163" w:name="_Toc163"/>
      <w:r>
        <w:t>期末按行业分类的港股通投资股票投资组合</w:t>
      </w:r>
      <w:bookmarkEnd w:id="163"/>
    </w:p>
    <w:p w14:paraId="716DC4CD">
      <w:pPr>
        <w:pStyle w:val="18"/>
        <w:rPr>
          <w:rFonts w:hint="eastAsia"/>
        </w:rPr>
      </w:pPr>
      <w:r>
        <w:rPr>
          <w:rFonts w:hint="eastAsia"/>
        </w:rPr>
        <w:t>无。</w:t>
      </w:r>
    </w:p>
    <w:p w14:paraId="5936269F">
      <w:pPr>
        <w:pStyle w:val="23"/>
      </w:pPr>
      <w:bookmarkStart w:id="164" w:name="_Toc24675"/>
      <w:r>
        <w:t>期末按公允价值占基金资产净值比例大小排序的所有股票投资明细</w:t>
      </w:r>
      <w:bookmarkEnd w:id="164"/>
    </w:p>
    <w:p w14:paraId="1F235236">
      <w:pPr>
        <w:pStyle w:val="18"/>
        <w:rPr>
          <w:rFonts w:hint="eastAsia"/>
        </w:rPr>
      </w:pPr>
      <w:r>
        <w:rPr>
          <w:rFonts w:hint="eastAsia"/>
        </w:rPr>
        <w:t>无。</w:t>
      </w:r>
    </w:p>
    <w:p w14:paraId="42C8EB94">
      <w:pPr>
        <w:pStyle w:val="23"/>
      </w:pPr>
      <w:bookmarkStart w:id="165" w:name="_Toc9825"/>
      <w:r>
        <w:t>报告期内股票投资组合的重大变动</w:t>
      </w:r>
      <w:bookmarkEnd w:id="165"/>
    </w:p>
    <w:p w14:paraId="51A6050F">
      <w:pPr>
        <w:pStyle w:val="28"/>
      </w:pPr>
      <w:bookmarkStart w:id="166" w:name="_Toc166"/>
      <w:r>
        <w:t>累计买入金额超出期末基金资产净值2%或前20名的股票明细</w:t>
      </w:r>
      <w:bookmarkEnd w:id="166"/>
    </w:p>
    <w:p w14:paraId="57ED82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D48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DAF0175">
            <w:pPr>
              <w:jc w:val="center"/>
            </w:pPr>
            <w:r>
              <w:rPr>
                <w:rFonts w:hint="eastAsia"/>
                <w:b/>
              </w:rPr>
              <w:t>序号</w:t>
            </w:r>
          </w:p>
        </w:tc>
        <w:tc>
          <w:tcPr>
            <w:tcW w:w="1113" w:type="dxa"/>
            <w:shd w:val="clear" w:color="auto" w:fill="BFBFBF"/>
            <w:vAlign w:val="center"/>
          </w:tcPr>
          <w:p w14:paraId="0C6C6E9C">
            <w:pPr>
              <w:jc w:val="center"/>
            </w:pPr>
            <w:r>
              <w:rPr>
                <w:rFonts w:hint="eastAsia"/>
                <w:b/>
              </w:rPr>
              <w:t>股票代码</w:t>
            </w:r>
          </w:p>
        </w:tc>
        <w:tc>
          <w:tcPr>
            <w:tcW w:w="1738" w:type="dxa"/>
            <w:shd w:val="clear" w:color="auto" w:fill="BFBFBF"/>
            <w:vAlign w:val="center"/>
          </w:tcPr>
          <w:p w14:paraId="2ECDC54E">
            <w:pPr>
              <w:jc w:val="center"/>
            </w:pPr>
            <w:r>
              <w:rPr>
                <w:rFonts w:hint="eastAsia"/>
                <w:b/>
              </w:rPr>
              <w:t>股票名称</w:t>
            </w:r>
          </w:p>
        </w:tc>
        <w:tc>
          <w:tcPr>
            <w:tcW w:w="2995" w:type="dxa"/>
            <w:shd w:val="clear" w:color="auto" w:fill="BFBFBF"/>
            <w:vAlign w:val="center"/>
          </w:tcPr>
          <w:p w14:paraId="011CD849">
            <w:pPr>
              <w:jc w:val="center"/>
            </w:pPr>
            <w:r>
              <w:rPr>
                <w:rFonts w:hint="eastAsia"/>
                <w:b/>
              </w:rPr>
              <w:t>本期累计买入金额</w:t>
            </w:r>
          </w:p>
        </w:tc>
        <w:tc>
          <w:tcPr>
            <w:tcW w:w="1716" w:type="dxa"/>
            <w:shd w:val="clear" w:color="auto" w:fill="BFBFBF"/>
            <w:vAlign w:val="center"/>
          </w:tcPr>
          <w:p w14:paraId="622DE213">
            <w:pPr>
              <w:jc w:val="center"/>
            </w:pPr>
            <w:r>
              <w:rPr>
                <w:rFonts w:hint="eastAsia"/>
                <w:b/>
              </w:rPr>
              <w:t>占期末基金资产净值比例（％）</w:t>
            </w:r>
          </w:p>
        </w:tc>
      </w:tr>
      <w:tr w14:paraId="1C01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1727EC">
            <w:pPr>
              <w:jc w:val="center"/>
            </w:pPr>
            <w:r>
              <w:rPr>
                <w:rFonts w:hint="eastAsia"/>
              </w:rPr>
              <w:t>1</w:t>
            </w:r>
          </w:p>
        </w:tc>
        <w:tc>
          <w:tcPr>
            <w:tcW w:w="1113" w:type="dxa"/>
            <w:vAlign w:val="center"/>
          </w:tcPr>
          <w:p w14:paraId="1D7B202B">
            <w:r>
              <w:rPr>
                <w:rFonts w:hint="eastAsia"/>
              </w:rPr>
              <w:t>300308</w:t>
            </w:r>
          </w:p>
        </w:tc>
        <w:tc>
          <w:tcPr>
            <w:tcW w:w="1738" w:type="dxa"/>
            <w:vAlign w:val="center"/>
          </w:tcPr>
          <w:p w14:paraId="353B6058">
            <w:r>
              <w:rPr>
                <w:rFonts w:hint="eastAsia"/>
              </w:rPr>
              <w:t>中际旭创</w:t>
            </w:r>
          </w:p>
        </w:tc>
        <w:tc>
          <w:tcPr>
            <w:tcW w:w="2995" w:type="dxa"/>
            <w:vAlign w:val="center"/>
          </w:tcPr>
          <w:p w14:paraId="4D417D5A">
            <w:pPr>
              <w:jc w:val="right"/>
            </w:pPr>
            <w:r>
              <w:rPr>
                <w:rFonts w:hint="eastAsia"/>
              </w:rPr>
              <w:t>484,000.00</w:t>
            </w:r>
          </w:p>
        </w:tc>
        <w:tc>
          <w:tcPr>
            <w:tcW w:w="1716" w:type="dxa"/>
            <w:vAlign w:val="center"/>
          </w:tcPr>
          <w:p w14:paraId="5C499773">
            <w:pPr>
              <w:jc w:val="right"/>
            </w:pPr>
            <w:r>
              <w:rPr>
                <w:rFonts w:hint="eastAsia"/>
              </w:rPr>
              <w:t>0.03</w:t>
            </w:r>
          </w:p>
        </w:tc>
      </w:tr>
      <w:tr w14:paraId="7005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8C7D69">
            <w:pPr>
              <w:jc w:val="center"/>
            </w:pPr>
            <w:r>
              <w:rPr>
                <w:rFonts w:hint="eastAsia"/>
              </w:rPr>
              <w:t>2</w:t>
            </w:r>
          </w:p>
        </w:tc>
        <w:tc>
          <w:tcPr>
            <w:tcW w:w="1113" w:type="dxa"/>
            <w:vAlign w:val="center"/>
          </w:tcPr>
          <w:p w14:paraId="760A5AD1">
            <w:r>
              <w:rPr>
                <w:rFonts w:hint="eastAsia"/>
              </w:rPr>
              <w:t>300502</w:t>
            </w:r>
          </w:p>
        </w:tc>
        <w:tc>
          <w:tcPr>
            <w:tcW w:w="1738" w:type="dxa"/>
            <w:vAlign w:val="center"/>
          </w:tcPr>
          <w:p w14:paraId="320EC2C1">
            <w:r>
              <w:rPr>
                <w:rFonts w:hint="eastAsia"/>
              </w:rPr>
              <w:t>新易盛</w:t>
            </w:r>
          </w:p>
        </w:tc>
        <w:tc>
          <w:tcPr>
            <w:tcW w:w="2995" w:type="dxa"/>
            <w:vAlign w:val="center"/>
          </w:tcPr>
          <w:p w14:paraId="5DDDF59F">
            <w:pPr>
              <w:jc w:val="right"/>
            </w:pPr>
            <w:r>
              <w:rPr>
                <w:rFonts w:hint="eastAsia"/>
              </w:rPr>
              <w:t>350,999.00</w:t>
            </w:r>
          </w:p>
        </w:tc>
        <w:tc>
          <w:tcPr>
            <w:tcW w:w="1716" w:type="dxa"/>
            <w:vAlign w:val="center"/>
          </w:tcPr>
          <w:p w14:paraId="729E5B9B">
            <w:pPr>
              <w:jc w:val="right"/>
            </w:pPr>
            <w:r>
              <w:rPr>
                <w:rFonts w:hint="eastAsia"/>
              </w:rPr>
              <w:t>0.02</w:t>
            </w:r>
          </w:p>
        </w:tc>
      </w:tr>
      <w:tr w14:paraId="779C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5A21AE">
            <w:pPr>
              <w:jc w:val="center"/>
            </w:pPr>
            <w:r>
              <w:rPr>
                <w:rFonts w:hint="eastAsia"/>
              </w:rPr>
              <w:t>3</w:t>
            </w:r>
          </w:p>
        </w:tc>
        <w:tc>
          <w:tcPr>
            <w:tcW w:w="1113" w:type="dxa"/>
            <w:vAlign w:val="center"/>
          </w:tcPr>
          <w:p w14:paraId="11B9E7E0">
            <w:r>
              <w:rPr>
                <w:rFonts w:hint="eastAsia"/>
              </w:rPr>
              <w:t>300394</w:t>
            </w:r>
          </w:p>
        </w:tc>
        <w:tc>
          <w:tcPr>
            <w:tcW w:w="1738" w:type="dxa"/>
            <w:vAlign w:val="center"/>
          </w:tcPr>
          <w:p w14:paraId="05DF5AEC">
            <w:r>
              <w:rPr>
                <w:rFonts w:hint="eastAsia"/>
              </w:rPr>
              <w:t>天孚通信</w:t>
            </w:r>
          </w:p>
        </w:tc>
        <w:tc>
          <w:tcPr>
            <w:tcW w:w="2995" w:type="dxa"/>
            <w:vAlign w:val="center"/>
          </w:tcPr>
          <w:p w14:paraId="6624668F">
            <w:pPr>
              <w:jc w:val="right"/>
            </w:pPr>
            <w:r>
              <w:rPr>
                <w:rFonts w:hint="eastAsia"/>
              </w:rPr>
              <w:t>96,210.00</w:t>
            </w:r>
          </w:p>
        </w:tc>
        <w:tc>
          <w:tcPr>
            <w:tcW w:w="1716" w:type="dxa"/>
            <w:vAlign w:val="center"/>
          </w:tcPr>
          <w:p w14:paraId="49310987">
            <w:pPr>
              <w:jc w:val="right"/>
            </w:pPr>
            <w:r>
              <w:rPr>
                <w:rFonts w:hint="eastAsia"/>
              </w:rPr>
              <w:t>0.01</w:t>
            </w:r>
          </w:p>
        </w:tc>
      </w:tr>
      <w:tr w14:paraId="791C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C98306">
            <w:pPr>
              <w:jc w:val="center"/>
            </w:pPr>
            <w:r>
              <w:rPr>
                <w:rFonts w:hint="eastAsia"/>
              </w:rPr>
              <w:t>4</w:t>
            </w:r>
          </w:p>
        </w:tc>
        <w:tc>
          <w:tcPr>
            <w:tcW w:w="1113" w:type="dxa"/>
            <w:vAlign w:val="center"/>
          </w:tcPr>
          <w:p w14:paraId="5F9B9D37">
            <w:r>
              <w:rPr>
                <w:rFonts w:hint="eastAsia"/>
              </w:rPr>
              <w:t>300857</w:t>
            </w:r>
          </w:p>
        </w:tc>
        <w:tc>
          <w:tcPr>
            <w:tcW w:w="1738" w:type="dxa"/>
            <w:vAlign w:val="center"/>
          </w:tcPr>
          <w:p w14:paraId="6AFBEEB8">
            <w:r>
              <w:rPr>
                <w:rFonts w:hint="eastAsia"/>
              </w:rPr>
              <w:t>协创数据</w:t>
            </w:r>
          </w:p>
        </w:tc>
        <w:tc>
          <w:tcPr>
            <w:tcW w:w="2995" w:type="dxa"/>
            <w:vAlign w:val="center"/>
          </w:tcPr>
          <w:p w14:paraId="3451EF61">
            <w:pPr>
              <w:jc w:val="right"/>
            </w:pPr>
            <w:r>
              <w:rPr>
                <w:rFonts w:hint="eastAsia"/>
              </w:rPr>
              <w:t>48,181.00</w:t>
            </w:r>
          </w:p>
        </w:tc>
        <w:tc>
          <w:tcPr>
            <w:tcW w:w="1716" w:type="dxa"/>
            <w:vAlign w:val="center"/>
          </w:tcPr>
          <w:p w14:paraId="7CF579D7">
            <w:pPr>
              <w:jc w:val="right"/>
            </w:pPr>
            <w:r>
              <w:rPr>
                <w:rFonts w:hint="eastAsia"/>
              </w:rPr>
              <w:t>0.00</w:t>
            </w:r>
          </w:p>
        </w:tc>
      </w:tr>
      <w:tr w14:paraId="51E1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09E804">
            <w:pPr>
              <w:jc w:val="center"/>
            </w:pPr>
            <w:r>
              <w:rPr>
                <w:rFonts w:hint="eastAsia"/>
              </w:rPr>
              <w:t>5</w:t>
            </w:r>
          </w:p>
        </w:tc>
        <w:tc>
          <w:tcPr>
            <w:tcW w:w="1113" w:type="dxa"/>
            <w:vAlign w:val="center"/>
          </w:tcPr>
          <w:p w14:paraId="75A15006">
            <w:r>
              <w:rPr>
                <w:rFonts w:hint="eastAsia"/>
              </w:rPr>
              <w:t>301236</w:t>
            </w:r>
          </w:p>
        </w:tc>
        <w:tc>
          <w:tcPr>
            <w:tcW w:w="1738" w:type="dxa"/>
            <w:vAlign w:val="center"/>
          </w:tcPr>
          <w:p w14:paraId="65F10516">
            <w:r>
              <w:rPr>
                <w:rFonts w:hint="eastAsia"/>
              </w:rPr>
              <w:t>软通动力</w:t>
            </w:r>
          </w:p>
        </w:tc>
        <w:tc>
          <w:tcPr>
            <w:tcW w:w="2995" w:type="dxa"/>
            <w:vAlign w:val="center"/>
          </w:tcPr>
          <w:p w14:paraId="041A1AA3">
            <w:pPr>
              <w:jc w:val="right"/>
            </w:pPr>
            <w:r>
              <w:rPr>
                <w:rFonts w:hint="eastAsia"/>
              </w:rPr>
              <w:t>42,441.00</w:t>
            </w:r>
          </w:p>
        </w:tc>
        <w:tc>
          <w:tcPr>
            <w:tcW w:w="1716" w:type="dxa"/>
            <w:vAlign w:val="center"/>
          </w:tcPr>
          <w:p w14:paraId="11CC1658">
            <w:pPr>
              <w:jc w:val="right"/>
            </w:pPr>
            <w:r>
              <w:rPr>
                <w:rFonts w:hint="eastAsia"/>
              </w:rPr>
              <w:t>0.00</w:t>
            </w:r>
          </w:p>
        </w:tc>
      </w:tr>
      <w:tr w14:paraId="26E9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75FF3A">
            <w:pPr>
              <w:jc w:val="center"/>
            </w:pPr>
            <w:r>
              <w:rPr>
                <w:rFonts w:hint="eastAsia"/>
              </w:rPr>
              <w:t>6</w:t>
            </w:r>
          </w:p>
        </w:tc>
        <w:tc>
          <w:tcPr>
            <w:tcW w:w="1113" w:type="dxa"/>
            <w:vAlign w:val="center"/>
          </w:tcPr>
          <w:p w14:paraId="590E04B5">
            <w:r>
              <w:rPr>
                <w:rFonts w:hint="eastAsia"/>
              </w:rPr>
              <w:t>300454</w:t>
            </w:r>
          </w:p>
        </w:tc>
        <w:tc>
          <w:tcPr>
            <w:tcW w:w="1738" w:type="dxa"/>
            <w:vAlign w:val="center"/>
          </w:tcPr>
          <w:p w14:paraId="1901722D">
            <w:r>
              <w:rPr>
                <w:rFonts w:hint="eastAsia"/>
              </w:rPr>
              <w:t>深信服</w:t>
            </w:r>
          </w:p>
        </w:tc>
        <w:tc>
          <w:tcPr>
            <w:tcW w:w="2995" w:type="dxa"/>
            <w:vAlign w:val="center"/>
          </w:tcPr>
          <w:p w14:paraId="5EA04573">
            <w:pPr>
              <w:jc w:val="right"/>
            </w:pPr>
            <w:r>
              <w:rPr>
                <w:rFonts w:hint="eastAsia"/>
              </w:rPr>
              <w:t>37,278.00</w:t>
            </w:r>
          </w:p>
        </w:tc>
        <w:tc>
          <w:tcPr>
            <w:tcW w:w="1716" w:type="dxa"/>
            <w:vAlign w:val="center"/>
          </w:tcPr>
          <w:p w14:paraId="54F969DC">
            <w:pPr>
              <w:jc w:val="right"/>
            </w:pPr>
            <w:r>
              <w:rPr>
                <w:rFonts w:hint="eastAsia"/>
              </w:rPr>
              <w:t>0.00</w:t>
            </w:r>
          </w:p>
        </w:tc>
      </w:tr>
      <w:tr w14:paraId="58CC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A0D118">
            <w:pPr>
              <w:jc w:val="center"/>
            </w:pPr>
            <w:r>
              <w:rPr>
                <w:rFonts w:hint="eastAsia"/>
              </w:rPr>
              <w:t>7</w:t>
            </w:r>
          </w:p>
        </w:tc>
        <w:tc>
          <w:tcPr>
            <w:tcW w:w="1113" w:type="dxa"/>
            <w:vAlign w:val="center"/>
          </w:tcPr>
          <w:p w14:paraId="2E7B57C4">
            <w:r>
              <w:rPr>
                <w:rFonts w:hint="eastAsia"/>
              </w:rPr>
              <w:t>300458</w:t>
            </w:r>
          </w:p>
        </w:tc>
        <w:tc>
          <w:tcPr>
            <w:tcW w:w="1738" w:type="dxa"/>
            <w:vAlign w:val="center"/>
          </w:tcPr>
          <w:p w14:paraId="5A7588ED">
            <w:r>
              <w:rPr>
                <w:rFonts w:hint="eastAsia"/>
              </w:rPr>
              <w:t>全志科技</w:t>
            </w:r>
          </w:p>
        </w:tc>
        <w:tc>
          <w:tcPr>
            <w:tcW w:w="2995" w:type="dxa"/>
            <w:vAlign w:val="center"/>
          </w:tcPr>
          <w:p w14:paraId="4364146F">
            <w:pPr>
              <w:jc w:val="right"/>
            </w:pPr>
            <w:r>
              <w:rPr>
                <w:rFonts w:hint="eastAsia"/>
              </w:rPr>
              <w:t>37,112.00</w:t>
            </w:r>
          </w:p>
        </w:tc>
        <w:tc>
          <w:tcPr>
            <w:tcW w:w="1716" w:type="dxa"/>
            <w:vAlign w:val="center"/>
          </w:tcPr>
          <w:p w14:paraId="35D59D1A">
            <w:pPr>
              <w:jc w:val="right"/>
            </w:pPr>
            <w:r>
              <w:rPr>
                <w:rFonts w:hint="eastAsia"/>
              </w:rPr>
              <w:t>0.00</w:t>
            </w:r>
          </w:p>
        </w:tc>
      </w:tr>
      <w:tr w14:paraId="0388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DEFD7C">
            <w:pPr>
              <w:jc w:val="center"/>
            </w:pPr>
            <w:r>
              <w:rPr>
                <w:rFonts w:hint="eastAsia"/>
              </w:rPr>
              <w:t>8</w:t>
            </w:r>
          </w:p>
        </w:tc>
        <w:tc>
          <w:tcPr>
            <w:tcW w:w="1113" w:type="dxa"/>
            <w:vAlign w:val="center"/>
          </w:tcPr>
          <w:p w14:paraId="42604490">
            <w:r>
              <w:rPr>
                <w:rFonts w:hint="eastAsia"/>
              </w:rPr>
              <w:t>300033</w:t>
            </w:r>
          </w:p>
        </w:tc>
        <w:tc>
          <w:tcPr>
            <w:tcW w:w="1738" w:type="dxa"/>
            <w:vAlign w:val="center"/>
          </w:tcPr>
          <w:p w14:paraId="4D4EFE36">
            <w:r>
              <w:rPr>
                <w:rFonts w:hint="eastAsia"/>
              </w:rPr>
              <w:t>同花顺</w:t>
            </w:r>
          </w:p>
        </w:tc>
        <w:tc>
          <w:tcPr>
            <w:tcW w:w="2995" w:type="dxa"/>
            <w:vAlign w:val="center"/>
          </w:tcPr>
          <w:p w14:paraId="10EB03CB">
            <w:pPr>
              <w:jc w:val="right"/>
            </w:pPr>
            <w:r>
              <w:rPr>
                <w:rFonts w:hint="eastAsia"/>
              </w:rPr>
              <w:t>36,651.00</w:t>
            </w:r>
          </w:p>
        </w:tc>
        <w:tc>
          <w:tcPr>
            <w:tcW w:w="1716" w:type="dxa"/>
            <w:vAlign w:val="center"/>
          </w:tcPr>
          <w:p w14:paraId="4D69AA06">
            <w:pPr>
              <w:jc w:val="right"/>
            </w:pPr>
            <w:r>
              <w:rPr>
                <w:rFonts w:hint="eastAsia"/>
              </w:rPr>
              <w:t>0.00</w:t>
            </w:r>
          </w:p>
        </w:tc>
      </w:tr>
      <w:tr w14:paraId="205B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8D86EC">
            <w:pPr>
              <w:jc w:val="center"/>
            </w:pPr>
            <w:r>
              <w:rPr>
                <w:rFonts w:hint="eastAsia"/>
              </w:rPr>
              <w:t>9</w:t>
            </w:r>
          </w:p>
        </w:tc>
        <w:tc>
          <w:tcPr>
            <w:tcW w:w="1113" w:type="dxa"/>
            <w:vAlign w:val="center"/>
          </w:tcPr>
          <w:p w14:paraId="1C6754A2">
            <w:r>
              <w:rPr>
                <w:rFonts w:hint="eastAsia"/>
              </w:rPr>
              <w:t>300442</w:t>
            </w:r>
          </w:p>
        </w:tc>
        <w:tc>
          <w:tcPr>
            <w:tcW w:w="1738" w:type="dxa"/>
            <w:vAlign w:val="center"/>
          </w:tcPr>
          <w:p w14:paraId="0A259D33">
            <w:r>
              <w:rPr>
                <w:rFonts w:hint="eastAsia"/>
              </w:rPr>
              <w:t>润泽科技</w:t>
            </w:r>
          </w:p>
        </w:tc>
        <w:tc>
          <w:tcPr>
            <w:tcW w:w="2995" w:type="dxa"/>
            <w:vAlign w:val="center"/>
          </w:tcPr>
          <w:p w14:paraId="4E8E65AA">
            <w:pPr>
              <w:jc w:val="right"/>
            </w:pPr>
            <w:r>
              <w:rPr>
                <w:rFonts w:hint="eastAsia"/>
              </w:rPr>
              <w:t>35,427.00</w:t>
            </w:r>
          </w:p>
        </w:tc>
        <w:tc>
          <w:tcPr>
            <w:tcW w:w="1716" w:type="dxa"/>
            <w:vAlign w:val="center"/>
          </w:tcPr>
          <w:p w14:paraId="03F2083D">
            <w:pPr>
              <w:jc w:val="right"/>
            </w:pPr>
            <w:r>
              <w:rPr>
                <w:rFonts w:hint="eastAsia"/>
              </w:rPr>
              <w:t>0.00</w:t>
            </w:r>
          </w:p>
        </w:tc>
      </w:tr>
      <w:tr w14:paraId="12A4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0412DB">
            <w:pPr>
              <w:jc w:val="center"/>
            </w:pPr>
            <w:r>
              <w:rPr>
                <w:rFonts w:hint="eastAsia"/>
              </w:rPr>
              <w:t>10</w:t>
            </w:r>
          </w:p>
        </w:tc>
        <w:tc>
          <w:tcPr>
            <w:tcW w:w="1113" w:type="dxa"/>
            <w:vAlign w:val="center"/>
          </w:tcPr>
          <w:p w14:paraId="6529F753">
            <w:r>
              <w:rPr>
                <w:rFonts w:hint="eastAsia"/>
              </w:rPr>
              <w:t>300223</w:t>
            </w:r>
          </w:p>
        </w:tc>
        <w:tc>
          <w:tcPr>
            <w:tcW w:w="1738" w:type="dxa"/>
            <w:vAlign w:val="center"/>
          </w:tcPr>
          <w:p w14:paraId="46FC55F1">
            <w:r>
              <w:rPr>
                <w:rFonts w:hint="eastAsia"/>
              </w:rPr>
              <w:t>北京君正</w:t>
            </w:r>
          </w:p>
        </w:tc>
        <w:tc>
          <w:tcPr>
            <w:tcW w:w="2995" w:type="dxa"/>
            <w:vAlign w:val="center"/>
          </w:tcPr>
          <w:p w14:paraId="482CEA70">
            <w:pPr>
              <w:jc w:val="right"/>
            </w:pPr>
            <w:r>
              <w:rPr>
                <w:rFonts w:hint="eastAsia"/>
              </w:rPr>
              <w:t>35,220.00</w:t>
            </w:r>
          </w:p>
        </w:tc>
        <w:tc>
          <w:tcPr>
            <w:tcW w:w="1716" w:type="dxa"/>
            <w:vAlign w:val="center"/>
          </w:tcPr>
          <w:p w14:paraId="7F135EF3">
            <w:pPr>
              <w:jc w:val="right"/>
            </w:pPr>
            <w:r>
              <w:rPr>
                <w:rFonts w:hint="eastAsia"/>
              </w:rPr>
              <w:t>0.00</w:t>
            </w:r>
          </w:p>
        </w:tc>
      </w:tr>
      <w:tr w14:paraId="7404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A37E02">
            <w:pPr>
              <w:jc w:val="center"/>
            </w:pPr>
            <w:r>
              <w:rPr>
                <w:rFonts w:hint="eastAsia"/>
              </w:rPr>
              <w:t>11</w:t>
            </w:r>
          </w:p>
        </w:tc>
        <w:tc>
          <w:tcPr>
            <w:tcW w:w="1113" w:type="dxa"/>
            <w:vAlign w:val="center"/>
          </w:tcPr>
          <w:p w14:paraId="3AE3881A">
            <w:r>
              <w:rPr>
                <w:rFonts w:hint="eastAsia"/>
              </w:rPr>
              <w:t>300496</w:t>
            </w:r>
          </w:p>
        </w:tc>
        <w:tc>
          <w:tcPr>
            <w:tcW w:w="1738" w:type="dxa"/>
            <w:vAlign w:val="center"/>
          </w:tcPr>
          <w:p w14:paraId="549CE12F">
            <w:r>
              <w:rPr>
                <w:rFonts w:hint="eastAsia"/>
              </w:rPr>
              <w:t>中科创达</w:t>
            </w:r>
          </w:p>
        </w:tc>
        <w:tc>
          <w:tcPr>
            <w:tcW w:w="2995" w:type="dxa"/>
            <w:vAlign w:val="center"/>
          </w:tcPr>
          <w:p w14:paraId="7E27A709">
            <w:pPr>
              <w:jc w:val="right"/>
            </w:pPr>
            <w:r>
              <w:rPr>
                <w:rFonts w:hint="eastAsia"/>
              </w:rPr>
              <w:t>34,630.00</w:t>
            </w:r>
          </w:p>
        </w:tc>
        <w:tc>
          <w:tcPr>
            <w:tcW w:w="1716" w:type="dxa"/>
            <w:vAlign w:val="center"/>
          </w:tcPr>
          <w:p w14:paraId="2FA58A65">
            <w:pPr>
              <w:jc w:val="right"/>
            </w:pPr>
            <w:r>
              <w:rPr>
                <w:rFonts w:hint="eastAsia"/>
              </w:rPr>
              <w:t>0.00</w:t>
            </w:r>
          </w:p>
        </w:tc>
      </w:tr>
      <w:tr w14:paraId="0CF7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BB1E3F">
            <w:pPr>
              <w:jc w:val="center"/>
            </w:pPr>
            <w:r>
              <w:rPr>
                <w:rFonts w:hint="eastAsia"/>
              </w:rPr>
              <w:t>12</w:t>
            </w:r>
          </w:p>
        </w:tc>
        <w:tc>
          <w:tcPr>
            <w:tcW w:w="1113" w:type="dxa"/>
            <w:vAlign w:val="center"/>
          </w:tcPr>
          <w:p w14:paraId="31E3029D">
            <w:r>
              <w:rPr>
                <w:rFonts w:hint="eastAsia"/>
              </w:rPr>
              <w:t>300017</w:t>
            </w:r>
          </w:p>
        </w:tc>
        <w:tc>
          <w:tcPr>
            <w:tcW w:w="1738" w:type="dxa"/>
            <w:vAlign w:val="center"/>
          </w:tcPr>
          <w:p w14:paraId="67A66903">
            <w:r>
              <w:rPr>
                <w:rFonts w:hint="eastAsia"/>
              </w:rPr>
              <w:t>网宿科技</w:t>
            </w:r>
          </w:p>
        </w:tc>
        <w:tc>
          <w:tcPr>
            <w:tcW w:w="2995" w:type="dxa"/>
            <w:vAlign w:val="center"/>
          </w:tcPr>
          <w:p w14:paraId="4631E4E5">
            <w:pPr>
              <w:jc w:val="right"/>
            </w:pPr>
            <w:r>
              <w:rPr>
                <w:rFonts w:hint="eastAsia"/>
              </w:rPr>
              <w:t>33,700.00</w:t>
            </w:r>
          </w:p>
        </w:tc>
        <w:tc>
          <w:tcPr>
            <w:tcW w:w="1716" w:type="dxa"/>
            <w:vAlign w:val="center"/>
          </w:tcPr>
          <w:p w14:paraId="61CE1FA5">
            <w:pPr>
              <w:jc w:val="right"/>
            </w:pPr>
            <w:r>
              <w:rPr>
                <w:rFonts w:hint="eastAsia"/>
              </w:rPr>
              <w:t>0.00</w:t>
            </w:r>
          </w:p>
        </w:tc>
      </w:tr>
      <w:tr w14:paraId="1398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7764A9">
            <w:pPr>
              <w:jc w:val="center"/>
            </w:pPr>
            <w:r>
              <w:rPr>
                <w:rFonts w:hint="eastAsia"/>
              </w:rPr>
              <w:t>13</w:t>
            </w:r>
          </w:p>
        </w:tc>
        <w:tc>
          <w:tcPr>
            <w:tcW w:w="1113" w:type="dxa"/>
            <w:vAlign w:val="center"/>
          </w:tcPr>
          <w:p w14:paraId="45935F1D">
            <w:r>
              <w:rPr>
                <w:rFonts w:hint="eastAsia"/>
              </w:rPr>
              <w:t>300548</w:t>
            </w:r>
          </w:p>
        </w:tc>
        <w:tc>
          <w:tcPr>
            <w:tcW w:w="1738" w:type="dxa"/>
            <w:vAlign w:val="center"/>
          </w:tcPr>
          <w:p w14:paraId="11514B41">
            <w:r>
              <w:rPr>
                <w:rFonts w:hint="eastAsia"/>
              </w:rPr>
              <w:t>长芯博创</w:t>
            </w:r>
          </w:p>
        </w:tc>
        <w:tc>
          <w:tcPr>
            <w:tcW w:w="2995" w:type="dxa"/>
            <w:vAlign w:val="center"/>
          </w:tcPr>
          <w:p w14:paraId="62293E39">
            <w:pPr>
              <w:jc w:val="right"/>
            </w:pPr>
            <w:r>
              <w:rPr>
                <w:rFonts w:hint="eastAsia"/>
              </w:rPr>
              <w:t>30,454.00</w:t>
            </w:r>
          </w:p>
        </w:tc>
        <w:tc>
          <w:tcPr>
            <w:tcW w:w="1716" w:type="dxa"/>
            <w:vAlign w:val="center"/>
          </w:tcPr>
          <w:p w14:paraId="6C39779C">
            <w:pPr>
              <w:jc w:val="right"/>
            </w:pPr>
            <w:r>
              <w:rPr>
                <w:rFonts w:hint="eastAsia"/>
              </w:rPr>
              <w:t>0.00</w:t>
            </w:r>
          </w:p>
        </w:tc>
      </w:tr>
      <w:tr w14:paraId="0B74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B635A6">
            <w:pPr>
              <w:jc w:val="center"/>
            </w:pPr>
            <w:r>
              <w:rPr>
                <w:rFonts w:hint="eastAsia"/>
              </w:rPr>
              <w:t>14</w:t>
            </w:r>
          </w:p>
        </w:tc>
        <w:tc>
          <w:tcPr>
            <w:tcW w:w="1113" w:type="dxa"/>
            <w:vAlign w:val="center"/>
          </w:tcPr>
          <w:p w14:paraId="23A1A660">
            <w:r>
              <w:rPr>
                <w:rFonts w:hint="eastAsia"/>
              </w:rPr>
              <w:t>300474</w:t>
            </w:r>
          </w:p>
        </w:tc>
        <w:tc>
          <w:tcPr>
            <w:tcW w:w="1738" w:type="dxa"/>
            <w:vAlign w:val="center"/>
          </w:tcPr>
          <w:p w14:paraId="37579427">
            <w:r>
              <w:rPr>
                <w:rFonts w:hint="eastAsia"/>
              </w:rPr>
              <w:t>景嘉微</w:t>
            </w:r>
          </w:p>
        </w:tc>
        <w:tc>
          <w:tcPr>
            <w:tcW w:w="2995" w:type="dxa"/>
            <w:vAlign w:val="center"/>
          </w:tcPr>
          <w:p w14:paraId="37551CCB">
            <w:pPr>
              <w:jc w:val="right"/>
            </w:pPr>
            <w:r>
              <w:rPr>
                <w:rFonts w:hint="eastAsia"/>
              </w:rPr>
              <w:t>30,352.00</w:t>
            </w:r>
          </w:p>
        </w:tc>
        <w:tc>
          <w:tcPr>
            <w:tcW w:w="1716" w:type="dxa"/>
            <w:vAlign w:val="center"/>
          </w:tcPr>
          <w:p w14:paraId="0F44FDB8">
            <w:pPr>
              <w:jc w:val="right"/>
            </w:pPr>
            <w:r>
              <w:rPr>
                <w:rFonts w:hint="eastAsia"/>
              </w:rPr>
              <w:t>0.00</w:t>
            </w:r>
          </w:p>
        </w:tc>
      </w:tr>
      <w:tr w14:paraId="6F59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5F05F9">
            <w:pPr>
              <w:jc w:val="center"/>
            </w:pPr>
            <w:r>
              <w:rPr>
                <w:rFonts w:hint="eastAsia"/>
              </w:rPr>
              <w:t>15</w:t>
            </w:r>
          </w:p>
        </w:tc>
        <w:tc>
          <w:tcPr>
            <w:tcW w:w="1113" w:type="dxa"/>
            <w:vAlign w:val="center"/>
          </w:tcPr>
          <w:p w14:paraId="42B19D9F">
            <w:r>
              <w:rPr>
                <w:rFonts w:hint="eastAsia"/>
              </w:rPr>
              <w:t>300418</w:t>
            </w:r>
          </w:p>
        </w:tc>
        <w:tc>
          <w:tcPr>
            <w:tcW w:w="1738" w:type="dxa"/>
            <w:vAlign w:val="center"/>
          </w:tcPr>
          <w:p w14:paraId="38F275FF">
            <w:r>
              <w:rPr>
                <w:rFonts w:hint="eastAsia"/>
              </w:rPr>
              <w:t>昆仑万维</w:t>
            </w:r>
          </w:p>
        </w:tc>
        <w:tc>
          <w:tcPr>
            <w:tcW w:w="2995" w:type="dxa"/>
            <w:vAlign w:val="center"/>
          </w:tcPr>
          <w:p w14:paraId="63F16F6E">
            <w:pPr>
              <w:jc w:val="right"/>
            </w:pPr>
            <w:r>
              <w:rPr>
                <w:rFonts w:hint="eastAsia"/>
              </w:rPr>
              <w:t>27,900.00</w:t>
            </w:r>
          </w:p>
        </w:tc>
        <w:tc>
          <w:tcPr>
            <w:tcW w:w="1716" w:type="dxa"/>
            <w:vAlign w:val="center"/>
          </w:tcPr>
          <w:p w14:paraId="0503C53A">
            <w:pPr>
              <w:jc w:val="right"/>
            </w:pPr>
            <w:r>
              <w:rPr>
                <w:rFonts w:hint="eastAsia"/>
              </w:rPr>
              <w:t>0.00</w:t>
            </w:r>
          </w:p>
        </w:tc>
      </w:tr>
      <w:tr w14:paraId="66DF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055E61">
            <w:pPr>
              <w:jc w:val="center"/>
            </w:pPr>
            <w:r>
              <w:rPr>
                <w:rFonts w:hint="eastAsia"/>
              </w:rPr>
              <w:t>16</w:t>
            </w:r>
          </w:p>
        </w:tc>
        <w:tc>
          <w:tcPr>
            <w:tcW w:w="1113" w:type="dxa"/>
            <w:vAlign w:val="center"/>
          </w:tcPr>
          <w:p w14:paraId="0F533FD6">
            <w:r>
              <w:rPr>
                <w:rFonts w:hint="eastAsia"/>
              </w:rPr>
              <w:t>300383</w:t>
            </w:r>
          </w:p>
        </w:tc>
        <w:tc>
          <w:tcPr>
            <w:tcW w:w="1738" w:type="dxa"/>
            <w:vAlign w:val="center"/>
          </w:tcPr>
          <w:p w14:paraId="4E79F08C">
            <w:r>
              <w:rPr>
                <w:rFonts w:hint="eastAsia"/>
              </w:rPr>
              <w:t>光环新网</w:t>
            </w:r>
          </w:p>
        </w:tc>
        <w:tc>
          <w:tcPr>
            <w:tcW w:w="2995" w:type="dxa"/>
            <w:vAlign w:val="center"/>
          </w:tcPr>
          <w:p w14:paraId="60C74C72">
            <w:pPr>
              <w:jc w:val="right"/>
            </w:pPr>
            <w:r>
              <w:rPr>
                <w:rFonts w:hint="eastAsia"/>
              </w:rPr>
              <w:t>27,200.00</w:t>
            </w:r>
          </w:p>
        </w:tc>
        <w:tc>
          <w:tcPr>
            <w:tcW w:w="1716" w:type="dxa"/>
            <w:vAlign w:val="center"/>
          </w:tcPr>
          <w:p w14:paraId="4DD9DAF3">
            <w:pPr>
              <w:jc w:val="right"/>
            </w:pPr>
            <w:r>
              <w:rPr>
                <w:rFonts w:hint="eastAsia"/>
              </w:rPr>
              <w:t>0.00</w:t>
            </w:r>
          </w:p>
        </w:tc>
      </w:tr>
      <w:tr w14:paraId="05ED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4140E4">
            <w:pPr>
              <w:jc w:val="center"/>
            </w:pPr>
            <w:r>
              <w:rPr>
                <w:rFonts w:hint="eastAsia"/>
              </w:rPr>
              <w:t>17</w:t>
            </w:r>
          </w:p>
        </w:tc>
        <w:tc>
          <w:tcPr>
            <w:tcW w:w="1113" w:type="dxa"/>
            <w:vAlign w:val="center"/>
          </w:tcPr>
          <w:p w14:paraId="77239245">
            <w:r>
              <w:rPr>
                <w:rFonts w:hint="eastAsia"/>
              </w:rPr>
              <w:t>300413</w:t>
            </w:r>
          </w:p>
        </w:tc>
        <w:tc>
          <w:tcPr>
            <w:tcW w:w="1738" w:type="dxa"/>
            <w:vAlign w:val="center"/>
          </w:tcPr>
          <w:p w14:paraId="48E404AB">
            <w:r>
              <w:rPr>
                <w:rFonts w:hint="eastAsia"/>
              </w:rPr>
              <w:t>芒果超媒</w:t>
            </w:r>
          </w:p>
        </w:tc>
        <w:tc>
          <w:tcPr>
            <w:tcW w:w="2995" w:type="dxa"/>
            <w:vAlign w:val="center"/>
          </w:tcPr>
          <w:p w14:paraId="2A2ACF49">
            <w:pPr>
              <w:jc w:val="right"/>
            </w:pPr>
            <w:r>
              <w:rPr>
                <w:rFonts w:hint="eastAsia"/>
              </w:rPr>
              <w:t>26,424.00</w:t>
            </w:r>
          </w:p>
        </w:tc>
        <w:tc>
          <w:tcPr>
            <w:tcW w:w="1716" w:type="dxa"/>
            <w:vAlign w:val="center"/>
          </w:tcPr>
          <w:p w14:paraId="11D3C5B2">
            <w:pPr>
              <w:jc w:val="right"/>
            </w:pPr>
            <w:r>
              <w:rPr>
                <w:rFonts w:hint="eastAsia"/>
              </w:rPr>
              <w:t>0.00</w:t>
            </w:r>
          </w:p>
        </w:tc>
      </w:tr>
      <w:tr w14:paraId="6BC2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C0E858">
            <w:pPr>
              <w:jc w:val="center"/>
            </w:pPr>
            <w:r>
              <w:rPr>
                <w:rFonts w:hint="eastAsia"/>
              </w:rPr>
              <w:t>18</w:t>
            </w:r>
          </w:p>
        </w:tc>
        <w:tc>
          <w:tcPr>
            <w:tcW w:w="1113" w:type="dxa"/>
            <w:vAlign w:val="center"/>
          </w:tcPr>
          <w:p w14:paraId="77300676">
            <w:r>
              <w:rPr>
                <w:rFonts w:hint="eastAsia"/>
              </w:rPr>
              <w:t>300339</w:t>
            </w:r>
          </w:p>
        </w:tc>
        <w:tc>
          <w:tcPr>
            <w:tcW w:w="1738" w:type="dxa"/>
            <w:vAlign w:val="center"/>
          </w:tcPr>
          <w:p w14:paraId="65A1C942">
            <w:r>
              <w:rPr>
                <w:rFonts w:hint="eastAsia"/>
              </w:rPr>
              <w:t>润和软件</w:t>
            </w:r>
          </w:p>
        </w:tc>
        <w:tc>
          <w:tcPr>
            <w:tcW w:w="2995" w:type="dxa"/>
            <w:vAlign w:val="center"/>
          </w:tcPr>
          <w:p w14:paraId="33A9FCA5">
            <w:pPr>
              <w:jc w:val="right"/>
            </w:pPr>
            <w:r>
              <w:rPr>
                <w:rFonts w:hint="eastAsia"/>
              </w:rPr>
              <w:t>24,828.00</w:t>
            </w:r>
          </w:p>
        </w:tc>
        <w:tc>
          <w:tcPr>
            <w:tcW w:w="1716" w:type="dxa"/>
            <w:vAlign w:val="center"/>
          </w:tcPr>
          <w:p w14:paraId="0D042B39">
            <w:pPr>
              <w:jc w:val="right"/>
            </w:pPr>
            <w:r>
              <w:rPr>
                <w:rFonts w:hint="eastAsia"/>
              </w:rPr>
              <w:t>0.00</w:t>
            </w:r>
          </w:p>
        </w:tc>
      </w:tr>
      <w:tr w14:paraId="05DD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824B1B">
            <w:pPr>
              <w:jc w:val="center"/>
            </w:pPr>
            <w:r>
              <w:rPr>
                <w:rFonts w:hint="eastAsia"/>
              </w:rPr>
              <w:t>19</w:t>
            </w:r>
          </w:p>
        </w:tc>
        <w:tc>
          <w:tcPr>
            <w:tcW w:w="1113" w:type="dxa"/>
            <w:vAlign w:val="center"/>
          </w:tcPr>
          <w:p w14:paraId="7B33E816">
            <w:r>
              <w:rPr>
                <w:rFonts w:hint="eastAsia"/>
              </w:rPr>
              <w:t>300058</w:t>
            </w:r>
          </w:p>
        </w:tc>
        <w:tc>
          <w:tcPr>
            <w:tcW w:w="1738" w:type="dxa"/>
            <w:vAlign w:val="center"/>
          </w:tcPr>
          <w:p w14:paraId="1B1E7B83">
            <w:r>
              <w:rPr>
                <w:rFonts w:hint="eastAsia"/>
              </w:rPr>
              <w:t>蓝色光标</w:t>
            </w:r>
          </w:p>
        </w:tc>
        <w:tc>
          <w:tcPr>
            <w:tcW w:w="2995" w:type="dxa"/>
            <w:vAlign w:val="center"/>
          </w:tcPr>
          <w:p w14:paraId="6F2CBE0D">
            <w:pPr>
              <w:jc w:val="right"/>
            </w:pPr>
            <w:r>
              <w:rPr>
                <w:rFonts w:hint="eastAsia"/>
              </w:rPr>
              <w:t>23,925.00</w:t>
            </w:r>
          </w:p>
        </w:tc>
        <w:tc>
          <w:tcPr>
            <w:tcW w:w="1716" w:type="dxa"/>
            <w:vAlign w:val="center"/>
          </w:tcPr>
          <w:p w14:paraId="6F8642A9">
            <w:pPr>
              <w:jc w:val="right"/>
            </w:pPr>
            <w:r>
              <w:rPr>
                <w:rFonts w:hint="eastAsia"/>
              </w:rPr>
              <w:t>0.00</w:t>
            </w:r>
          </w:p>
        </w:tc>
      </w:tr>
      <w:tr w14:paraId="4442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DA14CB">
            <w:pPr>
              <w:jc w:val="center"/>
            </w:pPr>
            <w:r>
              <w:rPr>
                <w:rFonts w:hint="eastAsia"/>
              </w:rPr>
              <w:t>20</w:t>
            </w:r>
          </w:p>
        </w:tc>
        <w:tc>
          <w:tcPr>
            <w:tcW w:w="1113" w:type="dxa"/>
            <w:vAlign w:val="center"/>
          </w:tcPr>
          <w:p w14:paraId="1400404F">
            <w:r>
              <w:rPr>
                <w:rFonts w:hint="eastAsia"/>
              </w:rPr>
              <w:t>300002</w:t>
            </w:r>
          </w:p>
        </w:tc>
        <w:tc>
          <w:tcPr>
            <w:tcW w:w="1738" w:type="dxa"/>
            <w:vAlign w:val="center"/>
          </w:tcPr>
          <w:p w14:paraId="25AA4693">
            <w:r>
              <w:rPr>
                <w:rFonts w:hint="eastAsia"/>
              </w:rPr>
              <w:t>神州泰岳</w:t>
            </w:r>
          </w:p>
        </w:tc>
        <w:tc>
          <w:tcPr>
            <w:tcW w:w="2995" w:type="dxa"/>
            <w:vAlign w:val="center"/>
          </w:tcPr>
          <w:p w14:paraId="7CCB1DA6">
            <w:pPr>
              <w:jc w:val="right"/>
            </w:pPr>
            <w:r>
              <w:rPr>
                <w:rFonts w:hint="eastAsia"/>
              </w:rPr>
              <w:t>23,256.00</w:t>
            </w:r>
          </w:p>
        </w:tc>
        <w:tc>
          <w:tcPr>
            <w:tcW w:w="1716" w:type="dxa"/>
            <w:vAlign w:val="center"/>
          </w:tcPr>
          <w:p w14:paraId="2D699C83">
            <w:pPr>
              <w:jc w:val="right"/>
            </w:pPr>
            <w:r>
              <w:rPr>
                <w:rFonts w:hint="eastAsia"/>
              </w:rPr>
              <w:t>0.00</w:t>
            </w:r>
          </w:p>
        </w:tc>
      </w:tr>
    </w:tbl>
    <w:p w14:paraId="0A73EB7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E40A074">
      <w:pPr>
        <w:pStyle w:val="28"/>
      </w:pPr>
      <w:bookmarkStart w:id="167" w:name="_Toc167"/>
      <w:r>
        <w:t>累计卖出金额超出期末基金资产净值2%或前20名的股票明细</w:t>
      </w:r>
      <w:bookmarkEnd w:id="167"/>
    </w:p>
    <w:p w14:paraId="317C2C80">
      <w:pPr>
        <w:pStyle w:val="18"/>
        <w:rPr>
          <w:rFonts w:hint="eastAsia"/>
        </w:rPr>
      </w:pPr>
      <w:r>
        <w:rPr>
          <w:rFonts w:hint="eastAsia"/>
        </w:rPr>
        <w:t>无。</w:t>
      </w:r>
    </w:p>
    <w:p w14:paraId="56158299">
      <w:pPr>
        <w:pStyle w:val="28"/>
      </w:pPr>
      <w:bookmarkStart w:id="168" w:name="_Toc168"/>
      <w:r>
        <w:t>买入股票的成本总额及卖出股票的收入总额</w:t>
      </w:r>
      <w:bookmarkEnd w:id="168"/>
    </w:p>
    <w:p w14:paraId="5FA3E97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FFC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3DD986F">
            <w:r>
              <w:rPr>
                <w:rFonts w:hint="eastAsia"/>
              </w:rPr>
              <w:t>买入股票成本（成交）总额</w:t>
            </w:r>
          </w:p>
        </w:tc>
        <w:tc>
          <w:tcPr>
            <w:tcW w:w="4983" w:type="dxa"/>
            <w:vAlign w:val="center"/>
          </w:tcPr>
          <w:p w14:paraId="32B0B1B0">
            <w:pPr>
              <w:jc w:val="right"/>
            </w:pPr>
            <w:r>
              <w:rPr>
                <w:rFonts w:hint="eastAsia"/>
              </w:rPr>
              <w:t>1,879,191.00</w:t>
            </w:r>
          </w:p>
        </w:tc>
      </w:tr>
      <w:tr w14:paraId="7187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F4443C5">
            <w:r>
              <w:rPr>
                <w:rFonts w:hint="eastAsia"/>
              </w:rPr>
              <w:t>卖出股票收入（成交）总额</w:t>
            </w:r>
          </w:p>
        </w:tc>
        <w:tc>
          <w:tcPr>
            <w:tcW w:w="4983" w:type="dxa"/>
            <w:vAlign w:val="center"/>
          </w:tcPr>
          <w:p w14:paraId="6E669322">
            <w:pPr>
              <w:jc w:val="right"/>
            </w:pPr>
            <w:r>
              <w:rPr>
                <w:rFonts w:hint="eastAsia"/>
              </w:rPr>
              <w:t>-</w:t>
            </w:r>
          </w:p>
        </w:tc>
      </w:tr>
    </w:tbl>
    <w:p w14:paraId="15D985A2">
      <w:pPr>
        <w:pStyle w:val="47"/>
        <w:rPr>
          <w:rFonts w:hint="eastAsia"/>
        </w:rPr>
      </w:pPr>
      <w:r>
        <w:rPr>
          <w:rFonts w:hint="eastAsia"/>
        </w:rPr>
        <w:t>注：买入股票成本、卖出股票收入均按买卖成交金额（成交单价乘以成交数量）填列，不考虑相关交易费用。</w:t>
      </w:r>
    </w:p>
    <w:p w14:paraId="48B339CD">
      <w:pPr>
        <w:pStyle w:val="23"/>
      </w:pPr>
      <w:bookmarkStart w:id="169" w:name="_Toc11225"/>
      <w:r>
        <w:t>期末按债券品种分类的债券投资组合</w:t>
      </w:r>
      <w:bookmarkEnd w:id="169"/>
    </w:p>
    <w:p w14:paraId="4C84DD1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064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C13A61E">
            <w:pPr>
              <w:jc w:val="center"/>
            </w:pPr>
            <w:r>
              <w:rPr>
                <w:rFonts w:hint="eastAsia"/>
                <w:b/>
              </w:rPr>
              <w:t>序号</w:t>
            </w:r>
          </w:p>
        </w:tc>
        <w:tc>
          <w:tcPr>
            <w:tcW w:w="2768" w:type="dxa"/>
            <w:shd w:val="clear" w:color="auto" w:fill="BFBFBF"/>
            <w:vAlign w:val="center"/>
          </w:tcPr>
          <w:p w14:paraId="548D7B59">
            <w:pPr>
              <w:jc w:val="center"/>
            </w:pPr>
            <w:r>
              <w:rPr>
                <w:rFonts w:hint="eastAsia"/>
                <w:b/>
              </w:rPr>
              <w:t>债券品种</w:t>
            </w:r>
          </w:p>
        </w:tc>
        <w:tc>
          <w:tcPr>
            <w:tcW w:w="2408" w:type="dxa"/>
            <w:shd w:val="clear" w:color="auto" w:fill="BFBFBF"/>
            <w:vAlign w:val="center"/>
          </w:tcPr>
          <w:p w14:paraId="4AEB02CA">
            <w:pPr>
              <w:jc w:val="center"/>
            </w:pPr>
            <w:r>
              <w:rPr>
                <w:rFonts w:hint="eastAsia"/>
                <w:b/>
              </w:rPr>
              <w:t>公允价值（元）</w:t>
            </w:r>
          </w:p>
        </w:tc>
        <w:tc>
          <w:tcPr>
            <w:tcW w:w="2497" w:type="dxa"/>
            <w:shd w:val="clear" w:color="auto" w:fill="BFBFBF"/>
            <w:vAlign w:val="center"/>
          </w:tcPr>
          <w:p w14:paraId="03E1D7F3">
            <w:pPr>
              <w:jc w:val="center"/>
            </w:pPr>
            <w:r>
              <w:rPr>
                <w:rFonts w:hint="eastAsia"/>
                <w:b/>
              </w:rPr>
              <w:t>占基金资产净值比例（％）</w:t>
            </w:r>
          </w:p>
        </w:tc>
      </w:tr>
      <w:tr w14:paraId="6865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1AD05E">
            <w:pPr>
              <w:jc w:val="center"/>
            </w:pPr>
            <w:r>
              <w:rPr>
                <w:rFonts w:hint="eastAsia"/>
              </w:rPr>
              <w:t>1</w:t>
            </w:r>
          </w:p>
        </w:tc>
        <w:tc>
          <w:tcPr>
            <w:tcW w:w="2768" w:type="dxa"/>
            <w:vAlign w:val="center"/>
          </w:tcPr>
          <w:p w14:paraId="62C38FED">
            <w:r>
              <w:rPr>
                <w:rFonts w:hint="eastAsia"/>
              </w:rPr>
              <w:t>国家债券</w:t>
            </w:r>
          </w:p>
        </w:tc>
        <w:tc>
          <w:tcPr>
            <w:tcW w:w="2408" w:type="dxa"/>
            <w:vAlign w:val="center"/>
          </w:tcPr>
          <w:p w14:paraId="0FEC62C1">
            <w:pPr>
              <w:jc w:val="right"/>
            </w:pPr>
            <w:r>
              <w:rPr>
                <w:rFonts w:hint="eastAsia"/>
              </w:rPr>
              <w:t>1,003,249.04</w:t>
            </w:r>
          </w:p>
        </w:tc>
        <w:tc>
          <w:tcPr>
            <w:tcW w:w="2497" w:type="dxa"/>
            <w:vAlign w:val="center"/>
          </w:tcPr>
          <w:p w14:paraId="22D8C44B">
            <w:pPr>
              <w:jc w:val="right"/>
            </w:pPr>
            <w:r>
              <w:rPr>
                <w:rFonts w:hint="eastAsia"/>
              </w:rPr>
              <w:t>0.06</w:t>
            </w:r>
          </w:p>
        </w:tc>
      </w:tr>
      <w:tr w14:paraId="2919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5E3AF4">
            <w:pPr>
              <w:jc w:val="center"/>
            </w:pPr>
            <w:r>
              <w:rPr>
                <w:rFonts w:hint="eastAsia"/>
              </w:rPr>
              <w:t>2</w:t>
            </w:r>
          </w:p>
        </w:tc>
        <w:tc>
          <w:tcPr>
            <w:tcW w:w="2768" w:type="dxa"/>
            <w:vAlign w:val="center"/>
          </w:tcPr>
          <w:p w14:paraId="269D5E16">
            <w:r>
              <w:rPr>
                <w:rFonts w:hint="eastAsia"/>
              </w:rPr>
              <w:t>央行票据</w:t>
            </w:r>
          </w:p>
        </w:tc>
        <w:tc>
          <w:tcPr>
            <w:tcW w:w="2408" w:type="dxa"/>
            <w:vAlign w:val="center"/>
          </w:tcPr>
          <w:p w14:paraId="1ADF9A35">
            <w:pPr>
              <w:jc w:val="right"/>
            </w:pPr>
            <w:r>
              <w:rPr>
                <w:rFonts w:hint="eastAsia"/>
              </w:rPr>
              <w:t>-</w:t>
            </w:r>
          </w:p>
        </w:tc>
        <w:tc>
          <w:tcPr>
            <w:tcW w:w="2497" w:type="dxa"/>
            <w:vAlign w:val="center"/>
          </w:tcPr>
          <w:p w14:paraId="4F5382FC">
            <w:pPr>
              <w:jc w:val="right"/>
            </w:pPr>
            <w:r>
              <w:rPr>
                <w:rFonts w:hint="eastAsia"/>
              </w:rPr>
              <w:t>-</w:t>
            </w:r>
          </w:p>
        </w:tc>
      </w:tr>
      <w:tr w14:paraId="550A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1A7889">
            <w:pPr>
              <w:jc w:val="center"/>
            </w:pPr>
            <w:r>
              <w:rPr>
                <w:rFonts w:hint="eastAsia"/>
              </w:rPr>
              <w:t>3</w:t>
            </w:r>
          </w:p>
        </w:tc>
        <w:tc>
          <w:tcPr>
            <w:tcW w:w="2768" w:type="dxa"/>
            <w:vAlign w:val="center"/>
          </w:tcPr>
          <w:p w14:paraId="768D1658">
            <w:r>
              <w:rPr>
                <w:rFonts w:hint="eastAsia"/>
              </w:rPr>
              <w:t>金融债券</w:t>
            </w:r>
          </w:p>
        </w:tc>
        <w:tc>
          <w:tcPr>
            <w:tcW w:w="2408" w:type="dxa"/>
            <w:vAlign w:val="center"/>
          </w:tcPr>
          <w:p w14:paraId="0A8D7D65">
            <w:pPr>
              <w:jc w:val="right"/>
            </w:pPr>
            <w:r>
              <w:rPr>
                <w:rFonts w:hint="eastAsia"/>
              </w:rPr>
              <w:t>-</w:t>
            </w:r>
          </w:p>
        </w:tc>
        <w:tc>
          <w:tcPr>
            <w:tcW w:w="2497" w:type="dxa"/>
            <w:vAlign w:val="center"/>
          </w:tcPr>
          <w:p w14:paraId="5B077F50">
            <w:pPr>
              <w:jc w:val="right"/>
            </w:pPr>
            <w:r>
              <w:rPr>
                <w:rFonts w:hint="eastAsia"/>
              </w:rPr>
              <w:t>-</w:t>
            </w:r>
          </w:p>
        </w:tc>
      </w:tr>
      <w:tr w14:paraId="52D5F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B4661A">
            <w:pPr>
              <w:jc w:val="center"/>
            </w:pPr>
          </w:p>
        </w:tc>
        <w:tc>
          <w:tcPr>
            <w:tcW w:w="2768" w:type="dxa"/>
            <w:vAlign w:val="center"/>
          </w:tcPr>
          <w:p w14:paraId="668F5CD4">
            <w:r>
              <w:rPr>
                <w:rFonts w:hint="eastAsia"/>
              </w:rPr>
              <w:t>其中：政策性金融债</w:t>
            </w:r>
          </w:p>
        </w:tc>
        <w:tc>
          <w:tcPr>
            <w:tcW w:w="2408" w:type="dxa"/>
            <w:vAlign w:val="center"/>
          </w:tcPr>
          <w:p w14:paraId="1E7C2E00">
            <w:pPr>
              <w:jc w:val="right"/>
            </w:pPr>
            <w:r>
              <w:rPr>
                <w:rFonts w:hint="eastAsia"/>
              </w:rPr>
              <w:t>-</w:t>
            </w:r>
          </w:p>
        </w:tc>
        <w:tc>
          <w:tcPr>
            <w:tcW w:w="2497" w:type="dxa"/>
            <w:vAlign w:val="center"/>
          </w:tcPr>
          <w:p w14:paraId="787ECA6E">
            <w:pPr>
              <w:jc w:val="right"/>
            </w:pPr>
            <w:r>
              <w:rPr>
                <w:rFonts w:hint="eastAsia"/>
              </w:rPr>
              <w:t>-</w:t>
            </w:r>
          </w:p>
        </w:tc>
      </w:tr>
      <w:tr w14:paraId="2DD7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60E209">
            <w:pPr>
              <w:jc w:val="center"/>
            </w:pPr>
            <w:r>
              <w:rPr>
                <w:rFonts w:hint="eastAsia"/>
              </w:rPr>
              <w:t>4</w:t>
            </w:r>
          </w:p>
        </w:tc>
        <w:tc>
          <w:tcPr>
            <w:tcW w:w="2768" w:type="dxa"/>
            <w:vAlign w:val="center"/>
          </w:tcPr>
          <w:p w14:paraId="5FBA4A39">
            <w:r>
              <w:rPr>
                <w:rFonts w:hint="eastAsia"/>
              </w:rPr>
              <w:t>企业债券</w:t>
            </w:r>
          </w:p>
        </w:tc>
        <w:tc>
          <w:tcPr>
            <w:tcW w:w="2408" w:type="dxa"/>
            <w:vAlign w:val="center"/>
          </w:tcPr>
          <w:p w14:paraId="3CFA1BF9">
            <w:pPr>
              <w:jc w:val="right"/>
            </w:pPr>
            <w:r>
              <w:rPr>
                <w:rFonts w:hint="eastAsia"/>
              </w:rPr>
              <w:t>-</w:t>
            </w:r>
          </w:p>
        </w:tc>
        <w:tc>
          <w:tcPr>
            <w:tcW w:w="2497" w:type="dxa"/>
            <w:vAlign w:val="center"/>
          </w:tcPr>
          <w:p w14:paraId="56507259">
            <w:pPr>
              <w:jc w:val="right"/>
            </w:pPr>
            <w:r>
              <w:rPr>
                <w:rFonts w:hint="eastAsia"/>
              </w:rPr>
              <w:t>-</w:t>
            </w:r>
          </w:p>
        </w:tc>
      </w:tr>
      <w:tr w14:paraId="5DF9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4D798B">
            <w:pPr>
              <w:jc w:val="center"/>
            </w:pPr>
            <w:r>
              <w:rPr>
                <w:rFonts w:hint="eastAsia"/>
              </w:rPr>
              <w:t>5</w:t>
            </w:r>
          </w:p>
        </w:tc>
        <w:tc>
          <w:tcPr>
            <w:tcW w:w="2768" w:type="dxa"/>
            <w:vAlign w:val="center"/>
          </w:tcPr>
          <w:p w14:paraId="275799C4">
            <w:r>
              <w:rPr>
                <w:rFonts w:hint="eastAsia"/>
              </w:rPr>
              <w:t>企业短期融资券</w:t>
            </w:r>
          </w:p>
        </w:tc>
        <w:tc>
          <w:tcPr>
            <w:tcW w:w="2408" w:type="dxa"/>
            <w:vAlign w:val="center"/>
          </w:tcPr>
          <w:p w14:paraId="7CDCBA53">
            <w:pPr>
              <w:jc w:val="right"/>
            </w:pPr>
            <w:r>
              <w:rPr>
                <w:rFonts w:hint="eastAsia"/>
              </w:rPr>
              <w:t>-</w:t>
            </w:r>
          </w:p>
        </w:tc>
        <w:tc>
          <w:tcPr>
            <w:tcW w:w="2497" w:type="dxa"/>
            <w:vAlign w:val="center"/>
          </w:tcPr>
          <w:p w14:paraId="236CF4FD">
            <w:pPr>
              <w:jc w:val="right"/>
            </w:pPr>
            <w:r>
              <w:rPr>
                <w:rFonts w:hint="eastAsia"/>
              </w:rPr>
              <w:t>-</w:t>
            </w:r>
          </w:p>
        </w:tc>
      </w:tr>
      <w:tr w14:paraId="74BC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242DF1">
            <w:pPr>
              <w:jc w:val="center"/>
            </w:pPr>
            <w:r>
              <w:rPr>
                <w:rFonts w:hint="eastAsia"/>
              </w:rPr>
              <w:t>6</w:t>
            </w:r>
          </w:p>
        </w:tc>
        <w:tc>
          <w:tcPr>
            <w:tcW w:w="2768" w:type="dxa"/>
            <w:vAlign w:val="center"/>
          </w:tcPr>
          <w:p w14:paraId="4849999B">
            <w:r>
              <w:rPr>
                <w:rFonts w:hint="eastAsia"/>
              </w:rPr>
              <w:t>中期票据</w:t>
            </w:r>
          </w:p>
        </w:tc>
        <w:tc>
          <w:tcPr>
            <w:tcW w:w="2408" w:type="dxa"/>
            <w:vAlign w:val="center"/>
          </w:tcPr>
          <w:p w14:paraId="2A258C30">
            <w:pPr>
              <w:jc w:val="right"/>
            </w:pPr>
            <w:r>
              <w:rPr>
                <w:rFonts w:hint="eastAsia"/>
              </w:rPr>
              <w:t>-</w:t>
            </w:r>
          </w:p>
        </w:tc>
        <w:tc>
          <w:tcPr>
            <w:tcW w:w="2497" w:type="dxa"/>
            <w:vAlign w:val="center"/>
          </w:tcPr>
          <w:p w14:paraId="30FD4E19">
            <w:pPr>
              <w:jc w:val="right"/>
            </w:pPr>
            <w:r>
              <w:rPr>
                <w:rFonts w:hint="eastAsia"/>
              </w:rPr>
              <w:t>-</w:t>
            </w:r>
          </w:p>
        </w:tc>
      </w:tr>
      <w:tr w14:paraId="1C61E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047C3F">
            <w:pPr>
              <w:jc w:val="center"/>
            </w:pPr>
            <w:r>
              <w:rPr>
                <w:rFonts w:hint="eastAsia"/>
              </w:rPr>
              <w:t>7</w:t>
            </w:r>
          </w:p>
        </w:tc>
        <w:tc>
          <w:tcPr>
            <w:tcW w:w="2768" w:type="dxa"/>
            <w:vAlign w:val="center"/>
          </w:tcPr>
          <w:p w14:paraId="5140DD8C">
            <w:r>
              <w:rPr>
                <w:rFonts w:hint="eastAsia"/>
              </w:rPr>
              <w:t>可转债（可交换债）</w:t>
            </w:r>
          </w:p>
        </w:tc>
        <w:tc>
          <w:tcPr>
            <w:tcW w:w="2408" w:type="dxa"/>
            <w:vAlign w:val="center"/>
          </w:tcPr>
          <w:p w14:paraId="2D586580">
            <w:pPr>
              <w:jc w:val="right"/>
            </w:pPr>
            <w:r>
              <w:rPr>
                <w:rFonts w:hint="eastAsia"/>
              </w:rPr>
              <w:t>-</w:t>
            </w:r>
          </w:p>
        </w:tc>
        <w:tc>
          <w:tcPr>
            <w:tcW w:w="2497" w:type="dxa"/>
            <w:vAlign w:val="center"/>
          </w:tcPr>
          <w:p w14:paraId="0294EB61">
            <w:pPr>
              <w:jc w:val="right"/>
            </w:pPr>
            <w:r>
              <w:rPr>
                <w:rFonts w:hint="eastAsia"/>
              </w:rPr>
              <w:t>-</w:t>
            </w:r>
          </w:p>
        </w:tc>
      </w:tr>
      <w:tr w14:paraId="398A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5A4CCD">
            <w:pPr>
              <w:jc w:val="center"/>
            </w:pPr>
            <w:r>
              <w:rPr>
                <w:rFonts w:hint="eastAsia"/>
              </w:rPr>
              <w:t>8</w:t>
            </w:r>
          </w:p>
        </w:tc>
        <w:tc>
          <w:tcPr>
            <w:tcW w:w="2768" w:type="dxa"/>
            <w:vAlign w:val="center"/>
          </w:tcPr>
          <w:p w14:paraId="3CD63A74">
            <w:r>
              <w:rPr>
                <w:rFonts w:hint="eastAsia"/>
              </w:rPr>
              <w:t>同业存单</w:t>
            </w:r>
          </w:p>
        </w:tc>
        <w:tc>
          <w:tcPr>
            <w:tcW w:w="2408" w:type="dxa"/>
            <w:vAlign w:val="center"/>
          </w:tcPr>
          <w:p w14:paraId="0EF490F6">
            <w:pPr>
              <w:jc w:val="right"/>
            </w:pPr>
            <w:r>
              <w:rPr>
                <w:rFonts w:hint="eastAsia"/>
              </w:rPr>
              <w:t>-</w:t>
            </w:r>
          </w:p>
        </w:tc>
        <w:tc>
          <w:tcPr>
            <w:tcW w:w="2497" w:type="dxa"/>
            <w:vAlign w:val="center"/>
          </w:tcPr>
          <w:p w14:paraId="0D83F9AD">
            <w:pPr>
              <w:jc w:val="right"/>
            </w:pPr>
            <w:r>
              <w:rPr>
                <w:rFonts w:hint="eastAsia"/>
              </w:rPr>
              <w:t>-</w:t>
            </w:r>
          </w:p>
        </w:tc>
      </w:tr>
      <w:tr w14:paraId="11D2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A1B3C8">
            <w:pPr>
              <w:jc w:val="center"/>
            </w:pPr>
            <w:r>
              <w:rPr>
                <w:rFonts w:hint="eastAsia"/>
              </w:rPr>
              <w:t>9</w:t>
            </w:r>
          </w:p>
        </w:tc>
        <w:tc>
          <w:tcPr>
            <w:tcW w:w="2768" w:type="dxa"/>
            <w:vAlign w:val="center"/>
          </w:tcPr>
          <w:p w14:paraId="34CD7DEB">
            <w:r>
              <w:rPr>
                <w:rFonts w:hint="eastAsia"/>
              </w:rPr>
              <w:t>其他</w:t>
            </w:r>
          </w:p>
        </w:tc>
        <w:tc>
          <w:tcPr>
            <w:tcW w:w="2408" w:type="dxa"/>
            <w:vAlign w:val="center"/>
          </w:tcPr>
          <w:p w14:paraId="06BC29F0">
            <w:pPr>
              <w:jc w:val="right"/>
            </w:pPr>
            <w:r>
              <w:rPr>
                <w:rFonts w:hint="eastAsia"/>
              </w:rPr>
              <w:t>-</w:t>
            </w:r>
          </w:p>
        </w:tc>
        <w:tc>
          <w:tcPr>
            <w:tcW w:w="2497" w:type="dxa"/>
            <w:vAlign w:val="center"/>
          </w:tcPr>
          <w:p w14:paraId="699150F0">
            <w:pPr>
              <w:jc w:val="right"/>
            </w:pPr>
            <w:r>
              <w:rPr>
                <w:rFonts w:hint="eastAsia"/>
              </w:rPr>
              <w:t>-</w:t>
            </w:r>
          </w:p>
        </w:tc>
      </w:tr>
      <w:tr w14:paraId="3591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1DF140">
            <w:pPr>
              <w:jc w:val="center"/>
            </w:pPr>
            <w:r>
              <w:rPr>
                <w:rFonts w:hint="eastAsia"/>
              </w:rPr>
              <w:t>10</w:t>
            </w:r>
          </w:p>
        </w:tc>
        <w:tc>
          <w:tcPr>
            <w:tcW w:w="2768" w:type="dxa"/>
            <w:vAlign w:val="center"/>
          </w:tcPr>
          <w:p w14:paraId="0B324912">
            <w:r>
              <w:rPr>
                <w:rFonts w:hint="eastAsia"/>
              </w:rPr>
              <w:t>合计</w:t>
            </w:r>
          </w:p>
        </w:tc>
        <w:tc>
          <w:tcPr>
            <w:tcW w:w="2408" w:type="dxa"/>
            <w:vAlign w:val="center"/>
          </w:tcPr>
          <w:p w14:paraId="10E7FC91">
            <w:pPr>
              <w:jc w:val="right"/>
            </w:pPr>
            <w:r>
              <w:rPr>
                <w:rFonts w:hint="eastAsia"/>
              </w:rPr>
              <w:t>1,003,249.04</w:t>
            </w:r>
          </w:p>
        </w:tc>
        <w:tc>
          <w:tcPr>
            <w:tcW w:w="2497" w:type="dxa"/>
            <w:vAlign w:val="center"/>
          </w:tcPr>
          <w:p w14:paraId="7E08B494">
            <w:pPr>
              <w:jc w:val="right"/>
            </w:pPr>
            <w:r>
              <w:rPr>
                <w:rFonts w:hint="eastAsia"/>
              </w:rPr>
              <w:t>0.06</w:t>
            </w:r>
          </w:p>
        </w:tc>
      </w:tr>
    </w:tbl>
    <w:p w14:paraId="37474929">
      <w:pPr>
        <w:pStyle w:val="23"/>
      </w:pPr>
      <w:bookmarkStart w:id="170" w:name="_Toc25863"/>
      <w:r>
        <w:t>期末按公允价值占基金资产净值比例大小排序的前五名债券投资明细</w:t>
      </w:r>
      <w:bookmarkEnd w:id="170"/>
    </w:p>
    <w:p w14:paraId="645E24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B6D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0998CED">
            <w:pPr>
              <w:jc w:val="center"/>
            </w:pPr>
            <w:r>
              <w:rPr>
                <w:rFonts w:hint="eastAsia"/>
                <w:b/>
              </w:rPr>
              <w:t>序号</w:t>
            </w:r>
          </w:p>
        </w:tc>
        <w:tc>
          <w:tcPr>
            <w:tcW w:w="1135" w:type="dxa"/>
            <w:shd w:val="clear" w:color="auto" w:fill="BFBFBF"/>
            <w:vAlign w:val="center"/>
          </w:tcPr>
          <w:p w14:paraId="609CCBC1">
            <w:pPr>
              <w:jc w:val="center"/>
            </w:pPr>
            <w:r>
              <w:rPr>
                <w:rFonts w:hint="eastAsia"/>
                <w:b/>
              </w:rPr>
              <w:t>债券代码</w:t>
            </w:r>
          </w:p>
        </w:tc>
        <w:tc>
          <w:tcPr>
            <w:tcW w:w="1882" w:type="dxa"/>
            <w:shd w:val="clear" w:color="auto" w:fill="BFBFBF"/>
            <w:vAlign w:val="center"/>
          </w:tcPr>
          <w:p w14:paraId="737B49A3">
            <w:pPr>
              <w:jc w:val="center"/>
            </w:pPr>
            <w:r>
              <w:rPr>
                <w:rFonts w:hint="eastAsia"/>
                <w:b/>
              </w:rPr>
              <w:t>债券名称</w:t>
            </w:r>
          </w:p>
        </w:tc>
        <w:tc>
          <w:tcPr>
            <w:tcW w:w="1113" w:type="dxa"/>
            <w:shd w:val="clear" w:color="auto" w:fill="BFBFBF"/>
            <w:vAlign w:val="center"/>
          </w:tcPr>
          <w:p w14:paraId="04E3F0E1">
            <w:pPr>
              <w:jc w:val="center"/>
            </w:pPr>
            <w:r>
              <w:rPr>
                <w:rFonts w:hint="eastAsia"/>
                <w:b/>
              </w:rPr>
              <w:t>数量（张）</w:t>
            </w:r>
          </w:p>
        </w:tc>
        <w:tc>
          <w:tcPr>
            <w:tcW w:w="1771" w:type="dxa"/>
            <w:shd w:val="clear" w:color="auto" w:fill="BFBFBF"/>
            <w:vAlign w:val="center"/>
          </w:tcPr>
          <w:p w14:paraId="44F08E9A">
            <w:pPr>
              <w:jc w:val="center"/>
            </w:pPr>
            <w:r>
              <w:rPr>
                <w:rFonts w:hint="eastAsia"/>
                <w:b/>
              </w:rPr>
              <w:t>公允价值（元）</w:t>
            </w:r>
          </w:p>
        </w:tc>
        <w:tc>
          <w:tcPr>
            <w:tcW w:w="1771" w:type="dxa"/>
            <w:shd w:val="clear" w:color="auto" w:fill="BFBFBF"/>
            <w:vAlign w:val="center"/>
          </w:tcPr>
          <w:p w14:paraId="4DB61B48">
            <w:pPr>
              <w:jc w:val="center"/>
            </w:pPr>
            <w:r>
              <w:rPr>
                <w:rFonts w:hint="eastAsia"/>
                <w:b/>
              </w:rPr>
              <w:t>占基金资产净值比例（％）</w:t>
            </w:r>
          </w:p>
        </w:tc>
      </w:tr>
      <w:tr w14:paraId="4300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59C599">
            <w:pPr>
              <w:jc w:val="center"/>
            </w:pPr>
            <w:r>
              <w:rPr>
                <w:rFonts w:hint="eastAsia"/>
              </w:rPr>
              <w:t>1</w:t>
            </w:r>
          </w:p>
        </w:tc>
        <w:tc>
          <w:tcPr>
            <w:tcW w:w="1135" w:type="dxa"/>
            <w:vAlign w:val="center"/>
          </w:tcPr>
          <w:p w14:paraId="6FDDC08C">
            <w:r>
              <w:rPr>
                <w:rFonts w:hint="eastAsia"/>
              </w:rPr>
              <w:t>019792</w:t>
            </w:r>
          </w:p>
        </w:tc>
        <w:tc>
          <w:tcPr>
            <w:tcW w:w="1882" w:type="dxa"/>
            <w:vAlign w:val="center"/>
          </w:tcPr>
          <w:p w14:paraId="51DAFAA5">
            <w:r>
              <w:rPr>
                <w:rFonts w:hint="eastAsia"/>
              </w:rPr>
              <w:t>25国债19</w:t>
            </w:r>
          </w:p>
        </w:tc>
        <w:tc>
          <w:tcPr>
            <w:tcW w:w="1113" w:type="dxa"/>
            <w:vAlign w:val="center"/>
          </w:tcPr>
          <w:p w14:paraId="4AFF29B0">
            <w:pPr>
              <w:jc w:val="right"/>
            </w:pPr>
            <w:r>
              <w:rPr>
                <w:rFonts w:hint="eastAsia"/>
              </w:rPr>
              <w:t>10,000</w:t>
            </w:r>
          </w:p>
        </w:tc>
        <w:tc>
          <w:tcPr>
            <w:tcW w:w="1771" w:type="dxa"/>
            <w:vAlign w:val="center"/>
          </w:tcPr>
          <w:p w14:paraId="156A3F9F">
            <w:pPr>
              <w:jc w:val="right"/>
            </w:pPr>
            <w:r>
              <w:rPr>
                <w:rFonts w:hint="eastAsia"/>
              </w:rPr>
              <w:t>1,003,249.04</w:t>
            </w:r>
          </w:p>
        </w:tc>
        <w:tc>
          <w:tcPr>
            <w:tcW w:w="1771" w:type="dxa"/>
            <w:vAlign w:val="center"/>
          </w:tcPr>
          <w:p w14:paraId="0CDE7210">
            <w:pPr>
              <w:jc w:val="right"/>
            </w:pPr>
            <w:r>
              <w:rPr>
                <w:rFonts w:hint="eastAsia"/>
              </w:rPr>
              <w:t>0.06</w:t>
            </w:r>
          </w:p>
        </w:tc>
      </w:tr>
    </w:tbl>
    <w:p w14:paraId="3CA34C9B">
      <w:pPr>
        <w:pStyle w:val="23"/>
      </w:pPr>
      <w:bookmarkStart w:id="171" w:name="_Toc11497"/>
      <w:r>
        <w:t>期末按公允价值占基金资产净值比例大小排序的所有资产支持证券投资明细</w:t>
      </w:r>
      <w:bookmarkEnd w:id="171"/>
    </w:p>
    <w:p w14:paraId="06642AAC">
      <w:pPr>
        <w:pStyle w:val="18"/>
        <w:rPr>
          <w:rFonts w:hint="eastAsia"/>
        </w:rPr>
      </w:pPr>
      <w:r>
        <w:rPr>
          <w:rFonts w:hint="eastAsia"/>
        </w:rPr>
        <w:t>无。</w:t>
      </w:r>
    </w:p>
    <w:p w14:paraId="10621561">
      <w:pPr>
        <w:pStyle w:val="23"/>
      </w:pPr>
      <w:bookmarkStart w:id="172" w:name="_Toc19052"/>
      <w:r>
        <w:t>报告期末按公允价值占基金资产净值比例大小排序的前五名贵金属投资明细</w:t>
      </w:r>
      <w:bookmarkEnd w:id="172"/>
    </w:p>
    <w:p w14:paraId="3FC6CF41">
      <w:pPr>
        <w:pStyle w:val="18"/>
        <w:rPr>
          <w:rFonts w:hint="eastAsia"/>
        </w:rPr>
      </w:pPr>
      <w:r>
        <w:rPr>
          <w:rFonts w:hint="eastAsia"/>
        </w:rPr>
        <w:t>无。</w:t>
      </w:r>
    </w:p>
    <w:p w14:paraId="00D0B512">
      <w:pPr>
        <w:pStyle w:val="23"/>
      </w:pPr>
      <w:bookmarkStart w:id="173" w:name="_Toc25626"/>
      <w:r>
        <w:t>期末按公允价值占基金资产净值比例大小排序的前五名权证投资明细</w:t>
      </w:r>
      <w:bookmarkEnd w:id="173"/>
    </w:p>
    <w:p w14:paraId="53C7EAEC">
      <w:pPr>
        <w:pStyle w:val="18"/>
        <w:rPr>
          <w:rFonts w:hint="eastAsia"/>
        </w:rPr>
      </w:pPr>
      <w:r>
        <w:rPr>
          <w:rFonts w:hint="eastAsia"/>
        </w:rPr>
        <w:t>无。</w:t>
      </w:r>
    </w:p>
    <w:p w14:paraId="5C85C7F5">
      <w:pPr>
        <w:pStyle w:val="28"/>
      </w:pPr>
      <w:bookmarkStart w:id="174" w:name="_Toc174"/>
      <w:r>
        <w:t>本基金投资股指期货的投资政策</w:t>
      </w:r>
      <w:bookmarkEnd w:id="174"/>
    </w:p>
    <w:p w14:paraId="34661E3C">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043DC0FB">
      <w:pPr>
        <w:pStyle w:val="23"/>
      </w:pPr>
      <w:bookmarkStart w:id="175" w:name="_Toc2911"/>
      <w:r>
        <w:t>报告期末本基金投资的国债期货交易情况说明</w:t>
      </w:r>
      <w:bookmarkEnd w:id="175"/>
    </w:p>
    <w:p w14:paraId="31599228">
      <w:pPr>
        <w:pStyle w:val="28"/>
      </w:pPr>
      <w:bookmarkStart w:id="176" w:name="_Toc176"/>
      <w:r>
        <w:t>本期国债期货投资政策</w:t>
      </w:r>
      <w:bookmarkEnd w:id="176"/>
    </w:p>
    <w:p w14:paraId="009BD7E2">
      <w:pPr>
        <w:pStyle w:val="18"/>
        <w:rPr>
          <w:rFonts w:hint="eastAsia"/>
        </w:rPr>
      </w:pPr>
      <w:r>
        <w:rPr>
          <w:rFonts w:hint="eastAsia"/>
        </w:rPr>
        <w:t>无。</w:t>
      </w:r>
    </w:p>
    <w:p w14:paraId="62DB75BE">
      <w:pPr>
        <w:pStyle w:val="28"/>
      </w:pPr>
      <w:bookmarkStart w:id="177" w:name="_Toc177"/>
      <w:r>
        <w:t>本期国债期货投资评价</w:t>
      </w:r>
      <w:bookmarkEnd w:id="177"/>
    </w:p>
    <w:p w14:paraId="5DCC463F">
      <w:pPr>
        <w:pStyle w:val="18"/>
        <w:rPr>
          <w:rFonts w:hint="eastAsia"/>
        </w:rPr>
      </w:pPr>
      <w:r>
        <w:rPr>
          <w:rFonts w:hint="eastAsia"/>
        </w:rPr>
        <w:t>无。</w:t>
      </w:r>
    </w:p>
    <w:p w14:paraId="2D495EDF">
      <w:pPr>
        <w:pStyle w:val="23"/>
      </w:pPr>
      <w:bookmarkStart w:id="178" w:name="_Toc6102"/>
      <w:r>
        <w:t>本报告期投资基金情况</w:t>
      </w:r>
      <w:bookmarkEnd w:id="178"/>
    </w:p>
    <w:p w14:paraId="2ACF375E">
      <w:pPr>
        <w:pStyle w:val="28"/>
      </w:pPr>
      <w:bookmarkStart w:id="179" w:name="_Toc179"/>
      <w:r>
        <w:t>期末按公允价值占基金资产净值比例大小排序的前十名基金投资明细</w:t>
      </w:r>
      <w:bookmarkEnd w:id="179"/>
    </w:p>
    <w:p w14:paraId="327A3B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4F2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630F8D23">
            <w:pPr>
              <w:jc w:val="center"/>
            </w:pPr>
            <w:r>
              <w:rPr>
                <w:rFonts w:hint="eastAsia"/>
                <w:b/>
              </w:rPr>
              <w:t>序号</w:t>
            </w:r>
          </w:p>
        </w:tc>
        <w:tc>
          <w:tcPr>
            <w:tcW w:w="1186" w:type="dxa"/>
            <w:shd w:val="clear" w:color="auto" w:fill="BFBFBF"/>
            <w:vAlign w:val="center"/>
          </w:tcPr>
          <w:p w14:paraId="7C030B36">
            <w:pPr>
              <w:jc w:val="center"/>
            </w:pPr>
            <w:r>
              <w:rPr>
                <w:rFonts w:hint="eastAsia"/>
                <w:b/>
              </w:rPr>
              <w:t>基金名称</w:t>
            </w:r>
          </w:p>
        </w:tc>
        <w:tc>
          <w:tcPr>
            <w:tcW w:w="1186" w:type="dxa"/>
            <w:shd w:val="clear" w:color="auto" w:fill="BFBFBF"/>
            <w:vAlign w:val="center"/>
          </w:tcPr>
          <w:p w14:paraId="4574A661">
            <w:pPr>
              <w:jc w:val="center"/>
            </w:pPr>
            <w:r>
              <w:rPr>
                <w:rFonts w:hint="eastAsia"/>
                <w:b/>
              </w:rPr>
              <w:t>基金类型</w:t>
            </w:r>
          </w:p>
        </w:tc>
        <w:tc>
          <w:tcPr>
            <w:tcW w:w="1186" w:type="dxa"/>
            <w:shd w:val="clear" w:color="auto" w:fill="BFBFBF"/>
            <w:vAlign w:val="center"/>
          </w:tcPr>
          <w:p w14:paraId="590B7E80">
            <w:pPr>
              <w:jc w:val="center"/>
            </w:pPr>
            <w:r>
              <w:rPr>
                <w:rFonts w:hint="eastAsia"/>
                <w:b/>
              </w:rPr>
              <w:t>运作方式</w:t>
            </w:r>
          </w:p>
        </w:tc>
        <w:tc>
          <w:tcPr>
            <w:tcW w:w="1186" w:type="dxa"/>
            <w:shd w:val="clear" w:color="auto" w:fill="BFBFBF"/>
            <w:vAlign w:val="center"/>
          </w:tcPr>
          <w:p w14:paraId="0BFAFA90">
            <w:pPr>
              <w:jc w:val="center"/>
            </w:pPr>
            <w:r>
              <w:rPr>
                <w:rFonts w:hint="eastAsia"/>
                <w:b/>
              </w:rPr>
              <w:t>管理人</w:t>
            </w:r>
          </w:p>
        </w:tc>
        <w:tc>
          <w:tcPr>
            <w:tcW w:w="1186" w:type="dxa"/>
            <w:shd w:val="clear" w:color="auto" w:fill="BFBFBF"/>
            <w:vAlign w:val="center"/>
          </w:tcPr>
          <w:p w14:paraId="7F8275D7">
            <w:pPr>
              <w:jc w:val="center"/>
            </w:pPr>
            <w:r>
              <w:rPr>
                <w:rFonts w:hint="eastAsia"/>
                <w:b/>
              </w:rPr>
              <w:t>公允价值（人民币元）</w:t>
            </w:r>
          </w:p>
        </w:tc>
        <w:tc>
          <w:tcPr>
            <w:tcW w:w="1186" w:type="dxa"/>
            <w:shd w:val="clear" w:color="auto" w:fill="BFBFBF"/>
            <w:vAlign w:val="center"/>
          </w:tcPr>
          <w:p w14:paraId="60945F28">
            <w:pPr>
              <w:jc w:val="center"/>
            </w:pPr>
            <w:r>
              <w:rPr>
                <w:rFonts w:hint="eastAsia"/>
                <w:b/>
              </w:rPr>
              <w:t>占基金资产净值比例（%）</w:t>
            </w:r>
          </w:p>
        </w:tc>
      </w:tr>
      <w:tr w14:paraId="26E4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E64145">
            <w:pPr>
              <w:jc w:val="center"/>
            </w:pPr>
            <w:r>
              <w:rPr>
                <w:rFonts w:hint="eastAsia"/>
              </w:rPr>
              <w:t>1</w:t>
            </w:r>
          </w:p>
        </w:tc>
        <w:tc>
          <w:tcPr>
            <w:tcW w:w="1186" w:type="dxa"/>
            <w:vAlign w:val="center"/>
          </w:tcPr>
          <w:p w14:paraId="2A4A813C">
            <w:r>
              <w:rPr>
                <w:rFonts w:hint="eastAsia"/>
              </w:rPr>
              <w:t>南方创业板人工智能ETF</w:t>
            </w:r>
          </w:p>
        </w:tc>
        <w:tc>
          <w:tcPr>
            <w:tcW w:w="1186" w:type="dxa"/>
            <w:vAlign w:val="center"/>
          </w:tcPr>
          <w:p w14:paraId="6E3E42C9">
            <w:r>
              <w:rPr>
                <w:rFonts w:hint="eastAsia"/>
              </w:rPr>
              <w:t>股票型</w:t>
            </w:r>
          </w:p>
        </w:tc>
        <w:tc>
          <w:tcPr>
            <w:tcW w:w="1186" w:type="dxa"/>
            <w:vAlign w:val="center"/>
          </w:tcPr>
          <w:p w14:paraId="25E26206">
            <w:r>
              <w:rPr>
                <w:rFonts w:hint="eastAsia"/>
              </w:rPr>
              <w:t>交易型开放式</w:t>
            </w:r>
          </w:p>
        </w:tc>
        <w:tc>
          <w:tcPr>
            <w:tcW w:w="1186" w:type="dxa"/>
            <w:vAlign w:val="center"/>
          </w:tcPr>
          <w:p w14:paraId="20B39BEF">
            <w:r>
              <w:rPr>
                <w:rFonts w:hint="eastAsia"/>
              </w:rPr>
              <w:t>南方基金管理股份有限公司</w:t>
            </w:r>
          </w:p>
        </w:tc>
        <w:tc>
          <w:tcPr>
            <w:tcW w:w="1186" w:type="dxa"/>
            <w:vAlign w:val="center"/>
          </w:tcPr>
          <w:p w14:paraId="606D29C1">
            <w:pPr>
              <w:jc w:val="right"/>
            </w:pPr>
            <w:r>
              <w:rPr>
                <w:rFonts w:hint="eastAsia"/>
              </w:rPr>
              <w:t>1,510,720,342.30</w:t>
            </w:r>
          </w:p>
        </w:tc>
        <w:tc>
          <w:tcPr>
            <w:tcW w:w="1186" w:type="dxa"/>
            <w:vAlign w:val="center"/>
          </w:tcPr>
          <w:p w14:paraId="6AB162D5">
            <w:pPr>
              <w:jc w:val="right"/>
            </w:pPr>
            <w:r>
              <w:rPr>
                <w:rFonts w:hint="eastAsia"/>
              </w:rPr>
              <w:t>94.99</w:t>
            </w:r>
          </w:p>
        </w:tc>
      </w:tr>
    </w:tbl>
    <w:p w14:paraId="2BE9E509">
      <w:pPr>
        <w:pStyle w:val="23"/>
      </w:pPr>
      <w:bookmarkStart w:id="180" w:name="_Toc3598"/>
      <w:r>
        <w:t>投资组合报告附注</w:t>
      </w:r>
      <w:bookmarkEnd w:id="180"/>
    </w:p>
    <w:p w14:paraId="631B2E17">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4C8877F6">
      <w:pPr>
        <w:pStyle w:val="18"/>
        <w:rPr>
          <w:rFonts w:hint="eastAsia"/>
        </w:rPr>
      </w:pPr>
      <w:r>
        <w:rPr>
          <w:rFonts w:hint="eastAsia"/>
        </w:rPr>
        <w:t>报告期内基金投资的前十名证券的发行主体未有被监管部门立案调查，不存在报告编制日前一年内受到公开谴责、处罚的情形。</w:t>
      </w:r>
    </w:p>
    <w:p w14:paraId="19D2EE53">
      <w:pPr>
        <w:pStyle w:val="28"/>
      </w:pPr>
      <w:bookmarkStart w:id="182" w:name="_Toc182"/>
      <w:r>
        <w:t xml:space="preserve">声明基金投资的前十名股票是否超出基金合同规定的备选股票库。如是，还应对相关股票的投资决策程序做出说明 </w:t>
      </w:r>
      <w:bookmarkEnd w:id="182"/>
    </w:p>
    <w:p w14:paraId="633AEF3C">
      <w:pPr>
        <w:pStyle w:val="18"/>
        <w:rPr>
          <w:rFonts w:hint="eastAsia"/>
        </w:rPr>
      </w:pPr>
      <w:r>
        <w:rPr>
          <w:rFonts w:hint="eastAsia"/>
        </w:rPr>
        <w:t>本基金投资的前十名股票（如有）没有超出基金合同规定的备选股票库，本基金管理人从制度和流程上要求股票必须先入库再买入。</w:t>
      </w:r>
    </w:p>
    <w:p w14:paraId="7FBDBDE9">
      <w:pPr>
        <w:pStyle w:val="28"/>
      </w:pPr>
      <w:bookmarkStart w:id="183" w:name="_Toc183"/>
      <w:r>
        <w:t>期末其他各项资产构成</w:t>
      </w:r>
      <w:bookmarkEnd w:id="183"/>
    </w:p>
    <w:p w14:paraId="3BC71E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2D1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1441802">
            <w:pPr>
              <w:jc w:val="center"/>
            </w:pPr>
            <w:r>
              <w:rPr>
                <w:rFonts w:hint="eastAsia"/>
                <w:b/>
              </w:rPr>
              <w:t>序号</w:t>
            </w:r>
          </w:p>
        </w:tc>
        <w:tc>
          <w:tcPr>
            <w:tcW w:w="2907" w:type="dxa"/>
            <w:shd w:val="clear" w:color="auto" w:fill="BFBFBF"/>
            <w:vAlign w:val="center"/>
          </w:tcPr>
          <w:p w14:paraId="08ABF0CA">
            <w:pPr>
              <w:jc w:val="center"/>
            </w:pPr>
            <w:r>
              <w:rPr>
                <w:rFonts w:hint="eastAsia"/>
                <w:b/>
              </w:rPr>
              <w:t>名称</w:t>
            </w:r>
          </w:p>
        </w:tc>
        <w:tc>
          <w:tcPr>
            <w:tcW w:w="4673" w:type="dxa"/>
            <w:shd w:val="clear" w:color="auto" w:fill="BFBFBF"/>
            <w:vAlign w:val="center"/>
          </w:tcPr>
          <w:p w14:paraId="36382C07">
            <w:pPr>
              <w:jc w:val="center"/>
            </w:pPr>
            <w:r>
              <w:rPr>
                <w:rFonts w:hint="eastAsia"/>
                <w:b/>
              </w:rPr>
              <w:t>金额（元）</w:t>
            </w:r>
          </w:p>
        </w:tc>
      </w:tr>
      <w:tr w14:paraId="02D0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357072">
            <w:pPr>
              <w:jc w:val="center"/>
            </w:pPr>
            <w:r>
              <w:rPr>
                <w:rFonts w:hint="eastAsia"/>
              </w:rPr>
              <w:t>1</w:t>
            </w:r>
          </w:p>
        </w:tc>
        <w:tc>
          <w:tcPr>
            <w:tcW w:w="2907" w:type="dxa"/>
            <w:vAlign w:val="center"/>
          </w:tcPr>
          <w:p w14:paraId="4647761B">
            <w:r>
              <w:rPr>
                <w:rFonts w:hint="eastAsia"/>
              </w:rPr>
              <w:t>存出保证金</w:t>
            </w:r>
          </w:p>
        </w:tc>
        <w:tc>
          <w:tcPr>
            <w:tcW w:w="4673" w:type="dxa"/>
            <w:vAlign w:val="center"/>
          </w:tcPr>
          <w:p w14:paraId="4786B8AE">
            <w:pPr>
              <w:jc w:val="right"/>
            </w:pPr>
            <w:r>
              <w:rPr>
                <w:rFonts w:hint="eastAsia"/>
              </w:rPr>
              <w:t>-</w:t>
            </w:r>
          </w:p>
        </w:tc>
      </w:tr>
      <w:tr w14:paraId="50CA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43A6ED">
            <w:pPr>
              <w:jc w:val="center"/>
            </w:pPr>
            <w:r>
              <w:rPr>
                <w:rFonts w:hint="eastAsia"/>
              </w:rPr>
              <w:t>2</w:t>
            </w:r>
          </w:p>
        </w:tc>
        <w:tc>
          <w:tcPr>
            <w:tcW w:w="2907" w:type="dxa"/>
            <w:vAlign w:val="center"/>
          </w:tcPr>
          <w:p w14:paraId="0ED0CC26">
            <w:r>
              <w:rPr>
                <w:rFonts w:hint="eastAsia"/>
              </w:rPr>
              <w:t>应收清算款</w:t>
            </w:r>
          </w:p>
        </w:tc>
        <w:tc>
          <w:tcPr>
            <w:tcW w:w="4673" w:type="dxa"/>
            <w:vAlign w:val="center"/>
          </w:tcPr>
          <w:p w14:paraId="61CE03A6">
            <w:pPr>
              <w:jc w:val="right"/>
            </w:pPr>
            <w:r>
              <w:rPr>
                <w:rFonts w:hint="eastAsia"/>
              </w:rPr>
              <w:t>-</w:t>
            </w:r>
          </w:p>
        </w:tc>
      </w:tr>
      <w:tr w14:paraId="38BC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8F7EE5">
            <w:pPr>
              <w:jc w:val="center"/>
            </w:pPr>
            <w:r>
              <w:rPr>
                <w:rFonts w:hint="eastAsia"/>
              </w:rPr>
              <w:t>3</w:t>
            </w:r>
          </w:p>
        </w:tc>
        <w:tc>
          <w:tcPr>
            <w:tcW w:w="2907" w:type="dxa"/>
            <w:vAlign w:val="center"/>
          </w:tcPr>
          <w:p w14:paraId="26CD5A81">
            <w:r>
              <w:rPr>
                <w:rFonts w:hint="eastAsia"/>
              </w:rPr>
              <w:t>应收股利</w:t>
            </w:r>
          </w:p>
        </w:tc>
        <w:tc>
          <w:tcPr>
            <w:tcW w:w="4673" w:type="dxa"/>
            <w:vAlign w:val="center"/>
          </w:tcPr>
          <w:p w14:paraId="1DEF260F">
            <w:pPr>
              <w:jc w:val="right"/>
            </w:pPr>
            <w:r>
              <w:rPr>
                <w:rFonts w:hint="eastAsia"/>
              </w:rPr>
              <w:t>-</w:t>
            </w:r>
          </w:p>
        </w:tc>
      </w:tr>
      <w:tr w14:paraId="38A9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B72F34">
            <w:pPr>
              <w:jc w:val="center"/>
            </w:pPr>
            <w:r>
              <w:rPr>
                <w:rFonts w:hint="eastAsia"/>
              </w:rPr>
              <w:t>4</w:t>
            </w:r>
          </w:p>
        </w:tc>
        <w:tc>
          <w:tcPr>
            <w:tcW w:w="2907" w:type="dxa"/>
            <w:vAlign w:val="center"/>
          </w:tcPr>
          <w:p w14:paraId="02D00B17">
            <w:r>
              <w:rPr>
                <w:rFonts w:hint="eastAsia"/>
              </w:rPr>
              <w:t>应收利息</w:t>
            </w:r>
          </w:p>
        </w:tc>
        <w:tc>
          <w:tcPr>
            <w:tcW w:w="4673" w:type="dxa"/>
            <w:vAlign w:val="center"/>
          </w:tcPr>
          <w:p w14:paraId="042B9C73">
            <w:pPr>
              <w:jc w:val="right"/>
            </w:pPr>
            <w:r>
              <w:rPr>
                <w:rFonts w:hint="eastAsia"/>
              </w:rPr>
              <w:t>-</w:t>
            </w:r>
          </w:p>
        </w:tc>
      </w:tr>
      <w:tr w14:paraId="7FD0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07FC7C">
            <w:pPr>
              <w:jc w:val="center"/>
            </w:pPr>
            <w:r>
              <w:rPr>
                <w:rFonts w:hint="eastAsia"/>
              </w:rPr>
              <w:t>5</w:t>
            </w:r>
          </w:p>
        </w:tc>
        <w:tc>
          <w:tcPr>
            <w:tcW w:w="2907" w:type="dxa"/>
            <w:vAlign w:val="center"/>
          </w:tcPr>
          <w:p w14:paraId="336953DA">
            <w:r>
              <w:rPr>
                <w:rFonts w:hint="eastAsia"/>
              </w:rPr>
              <w:t>应收申购款</w:t>
            </w:r>
          </w:p>
        </w:tc>
        <w:tc>
          <w:tcPr>
            <w:tcW w:w="4673" w:type="dxa"/>
            <w:vAlign w:val="center"/>
          </w:tcPr>
          <w:p w14:paraId="6B0CB530">
            <w:pPr>
              <w:jc w:val="right"/>
            </w:pPr>
            <w:r>
              <w:rPr>
                <w:rFonts w:hint="eastAsia"/>
              </w:rPr>
              <w:t>11,544,137.22</w:t>
            </w:r>
          </w:p>
        </w:tc>
      </w:tr>
      <w:tr w14:paraId="521E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BBAECC">
            <w:pPr>
              <w:jc w:val="center"/>
            </w:pPr>
            <w:r>
              <w:rPr>
                <w:rFonts w:hint="eastAsia"/>
              </w:rPr>
              <w:t>6</w:t>
            </w:r>
          </w:p>
        </w:tc>
        <w:tc>
          <w:tcPr>
            <w:tcW w:w="2907" w:type="dxa"/>
            <w:vAlign w:val="center"/>
          </w:tcPr>
          <w:p w14:paraId="22E64F9A">
            <w:r>
              <w:rPr>
                <w:rFonts w:hint="eastAsia"/>
              </w:rPr>
              <w:t>其他应收款</w:t>
            </w:r>
          </w:p>
        </w:tc>
        <w:tc>
          <w:tcPr>
            <w:tcW w:w="4673" w:type="dxa"/>
            <w:vAlign w:val="center"/>
          </w:tcPr>
          <w:p w14:paraId="2CF42C37">
            <w:pPr>
              <w:jc w:val="right"/>
            </w:pPr>
            <w:r>
              <w:rPr>
                <w:rFonts w:hint="eastAsia"/>
              </w:rPr>
              <w:t>-</w:t>
            </w:r>
          </w:p>
        </w:tc>
      </w:tr>
      <w:tr w14:paraId="1778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24BF7D">
            <w:pPr>
              <w:jc w:val="center"/>
            </w:pPr>
            <w:r>
              <w:rPr>
                <w:rFonts w:hint="eastAsia"/>
              </w:rPr>
              <w:t>7</w:t>
            </w:r>
          </w:p>
        </w:tc>
        <w:tc>
          <w:tcPr>
            <w:tcW w:w="2907" w:type="dxa"/>
            <w:vAlign w:val="center"/>
          </w:tcPr>
          <w:p w14:paraId="52F86FBA">
            <w:r>
              <w:rPr>
                <w:rFonts w:hint="eastAsia"/>
              </w:rPr>
              <w:t>待摊费用</w:t>
            </w:r>
          </w:p>
        </w:tc>
        <w:tc>
          <w:tcPr>
            <w:tcW w:w="4673" w:type="dxa"/>
            <w:vAlign w:val="center"/>
          </w:tcPr>
          <w:p w14:paraId="23A6B60F">
            <w:pPr>
              <w:jc w:val="right"/>
            </w:pPr>
            <w:r>
              <w:rPr>
                <w:rFonts w:hint="eastAsia"/>
              </w:rPr>
              <w:t>-</w:t>
            </w:r>
          </w:p>
        </w:tc>
      </w:tr>
      <w:tr w14:paraId="0E74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18AC8D">
            <w:pPr>
              <w:jc w:val="center"/>
            </w:pPr>
            <w:r>
              <w:rPr>
                <w:rFonts w:hint="eastAsia"/>
              </w:rPr>
              <w:t>8</w:t>
            </w:r>
          </w:p>
        </w:tc>
        <w:tc>
          <w:tcPr>
            <w:tcW w:w="2907" w:type="dxa"/>
            <w:vAlign w:val="center"/>
          </w:tcPr>
          <w:p w14:paraId="07E49724">
            <w:r>
              <w:rPr>
                <w:rFonts w:hint="eastAsia"/>
              </w:rPr>
              <w:t>其他</w:t>
            </w:r>
          </w:p>
        </w:tc>
        <w:tc>
          <w:tcPr>
            <w:tcW w:w="4673" w:type="dxa"/>
            <w:vAlign w:val="center"/>
          </w:tcPr>
          <w:p w14:paraId="0D036E67">
            <w:pPr>
              <w:jc w:val="right"/>
            </w:pPr>
            <w:r>
              <w:rPr>
                <w:rFonts w:hint="eastAsia"/>
              </w:rPr>
              <w:t>-</w:t>
            </w:r>
          </w:p>
        </w:tc>
      </w:tr>
      <w:tr w14:paraId="3FCA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7566A1">
            <w:pPr>
              <w:jc w:val="center"/>
            </w:pPr>
            <w:r>
              <w:rPr>
                <w:rFonts w:hint="eastAsia"/>
              </w:rPr>
              <w:t>9</w:t>
            </w:r>
          </w:p>
        </w:tc>
        <w:tc>
          <w:tcPr>
            <w:tcW w:w="2907" w:type="dxa"/>
            <w:vAlign w:val="center"/>
          </w:tcPr>
          <w:p w14:paraId="02681980">
            <w:r>
              <w:rPr>
                <w:rFonts w:hint="eastAsia"/>
              </w:rPr>
              <w:t>合计</w:t>
            </w:r>
          </w:p>
        </w:tc>
        <w:tc>
          <w:tcPr>
            <w:tcW w:w="4673" w:type="dxa"/>
            <w:vAlign w:val="center"/>
          </w:tcPr>
          <w:p w14:paraId="78293DF8">
            <w:pPr>
              <w:jc w:val="right"/>
            </w:pPr>
            <w:r>
              <w:rPr>
                <w:rFonts w:hint="eastAsia"/>
              </w:rPr>
              <w:t>11,544,137.22</w:t>
            </w:r>
          </w:p>
        </w:tc>
      </w:tr>
    </w:tbl>
    <w:p w14:paraId="165DF18B">
      <w:pPr>
        <w:pStyle w:val="28"/>
      </w:pPr>
      <w:bookmarkStart w:id="184" w:name="_Toc184"/>
      <w:r>
        <w:t>期末持有的处于转股期的可转换债券明细</w:t>
      </w:r>
      <w:bookmarkEnd w:id="184"/>
    </w:p>
    <w:p w14:paraId="7698B166">
      <w:pPr>
        <w:pStyle w:val="18"/>
        <w:rPr>
          <w:rFonts w:hint="eastAsia"/>
        </w:rPr>
      </w:pPr>
      <w:r>
        <w:rPr>
          <w:rFonts w:hint="eastAsia"/>
        </w:rPr>
        <w:t>本基金本报告期末未持有处于转股期的可转换债券。</w:t>
      </w:r>
    </w:p>
    <w:p w14:paraId="7CCAA9E8">
      <w:pPr>
        <w:pStyle w:val="28"/>
      </w:pPr>
      <w:bookmarkStart w:id="185" w:name="_Toc185"/>
      <w:r>
        <w:t>期末前十名股票中存在流通受限情况的说明</w:t>
      </w:r>
      <w:bookmarkEnd w:id="185"/>
    </w:p>
    <w:p w14:paraId="44AD36B9">
      <w:pPr>
        <w:pStyle w:val="18"/>
        <w:rPr>
          <w:rFonts w:hint="eastAsia"/>
        </w:rPr>
      </w:pPr>
      <w:r>
        <w:rPr>
          <w:rFonts w:hint="eastAsia"/>
        </w:rPr>
        <w:t>无。</w:t>
      </w:r>
    </w:p>
    <w:p w14:paraId="13288978">
      <w:pPr>
        <w:pStyle w:val="26"/>
      </w:pPr>
      <w:bookmarkStart w:id="186" w:name="_Toc12604"/>
      <w:r>
        <w:t>基金份额持有人信息</w:t>
      </w:r>
      <w:bookmarkEnd w:id="186"/>
    </w:p>
    <w:p w14:paraId="52189A93">
      <w:pPr>
        <w:pStyle w:val="23"/>
      </w:pPr>
      <w:bookmarkStart w:id="187" w:name="_Toc27684"/>
      <w:r>
        <w:t>期末基金份额持有人户数及持有人结构</w:t>
      </w:r>
      <w:bookmarkEnd w:id="187"/>
    </w:p>
    <w:p w14:paraId="5D0E5DC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AB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9901884">
            <w:pPr>
              <w:jc w:val="center"/>
            </w:pPr>
            <w:r>
              <w:rPr>
                <w:rFonts w:hint="eastAsia"/>
                <w:b/>
              </w:rPr>
              <w:t>份额级别</w:t>
            </w:r>
          </w:p>
        </w:tc>
        <w:tc>
          <w:tcPr>
            <w:tcW w:w="1186" w:type="dxa"/>
            <w:vMerge w:val="restart"/>
            <w:shd w:val="clear" w:color="auto" w:fill="BFBFBF"/>
            <w:vAlign w:val="center"/>
          </w:tcPr>
          <w:p w14:paraId="64247C67">
            <w:pPr>
              <w:jc w:val="center"/>
            </w:pPr>
            <w:r>
              <w:rPr>
                <w:rFonts w:hint="eastAsia"/>
                <w:b/>
              </w:rPr>
              <w:t>持有人户数（户）</w:t>
            </w:r>
          </w:p>
        </w:tc>
        <w:tc>
          <w:tcPr>
            <w:tcW w:w="1186" w:type="dxa"/>
            <w:vMerge w:val="restart"/>
            <w:shd w:val="clear" w:color="auto" w:fill="BFBFBF"/>
            <w:vAlign w:val="center"/>
          </w:tcPr>
          <w:p w14:paraId="1FC646C2">
            <w:pPr>
              <w:jc w:val="center"/>
            </w:pPr>
            <w:r>
              <w:rPr>
                <w:rFonts w:hint="eastAsia"/>
                <w:b/>
              </w:rPr>
              <w:t>户均持有的基金份额</w:t>
            </w:r>
          </w:p>
        </w:tc>
        <w:tc>
          <w:tcPr>
            <w:tcW w:w="1186" w:type="dxa"/>
            <w:gridSpan w:val="4"/>
            <w:shd w:val="clear" w:color="auto" w:fill="BFBFBF"/>
            <w:vAlign w:val="center"/>
          </w:tcPr>
          <w:p w14:paraId="6EA75A2D">
            <w:pPr>
              <w:jc w:val="center"/>
            </w:pPr>
            <w:r>
              <w:rPr>
                <w:rFonts w:hint="eastAsia"/>
                <w:b/>
              </w:rPr>
              <w:t>持有人结构</w:t>
            </w:r>
          </w:p>
        </w:tc>
      </w:tr>
      <w:tr w14:paraId="3BD4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713ADA7"/>
        </w:tc>
        <w:tc>
          <w:tcPr>
            <w:tcW w:w="1186" w:type="dxa"/>
            <w:vMerge w:val="continue"/>
            <w:vAlign w:val="center"/>
          </w:tcPr>
          <w:p w14:paraId="1B88342A"/>
        </w:tc>
        <w:tc>
          <w:tcPr>
            <w:tcW w:w="1186" w:type="dxa"/>
            <w:vMerge w:val="continue"/>
            <w:vAlign w:val="center"/>
          </w:tcPr>
          <w:p w14:paraId="758D03CE"/>
        </w:tc>
        <w:tc>
          <w:tcPr>
            <w:tcW w:w="1186" w:type="dxa"/>
            <w:gridSpan w:val="2"/>
            <w:shd w:val="clear" w:color="auto" w:fill="BFBFBF"/>
            <w:vAlign w:val="center"/>
          </w:tcPr>
          <w:p w14:paraId="5A8BDD05">
            <w:pPr>
              <w:jc w:val="center"/>
            </w:pPr>
            <w:r>
              <w:rPr>
                <w:rFonts w:hint="eastAsia"/>
                <w:b/>
              </w:rPr>
              <w:t>机构投资者</w:t>
            </w:r>
          </w:p>
        </w:tc>
        <w:tc>
          <w:tcPr>
            <w:tcW w:w="1186" w:type="dxa"/>
            <w:gridSpan w:val="2"/>
            <w:shd w:val="clear" w:color="auto" w:fill="BFBFBF"/>
            <w:vAlign w:val="center"/>
          </w:tcPr>
          <w:p w14:paraId="31F301F3">
            <w:pPr>
              <w:jc w:val="center"/>
            </w:pPr>
            <w:r>
              <w:rPr>
                <w:rFonts w:hint="eastAsia"/>
                <w:b/>
              </w:rPr>
              <w:t>个人投资者</w:t>
            </w:r>
          </w:p>
        </w:tc>
      </w:tr>
      <w:tr w14:paraId="2673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3D5849C"/>
        </w:tc>
        <w:tc>
          <w:tcPr>
            <w:tcW w:w="1186" w:type="dxa"/>
            <w:vMerge w:val="continue"/>
            <w:vAlign w:val="center"/>
          </w:tcPr>
          <w:p w14:paraId="158296DB"/>
        </w:tc>
        <w:tc>
          <w:tcPr>
            <w:tcW w:w="1186" w:type="dxa"/>
            <w:vMerge w:val="continue"/>
            <w:vAlign w:val="center"/>
          </w:tcPr>
          <w:p w14:paraId="3A8E6D54"/>
        </w:tc>
        <w:tc>
          <w:tcPr>
            <w:tcW w:w="1186" w:type="dxa"/>
            <w:shd w:val="clear" w:color="auto" w:fill="BFBFBF"/>
            <w:vAlign w:val="center"/>
          </w:tcPr>
          <w:p w14:paraId="1720BF6A">
            <w:pPr>
              <w:jc w:val="center"/>
            </w:pPr>
            <w:r>
              <w:rPr>
                <w:rFonts w:hint="eastAsia"/>
                <w:b/>
              </w:rPr>
              <w:t>持有份额</w:t>
            </w:r>
          </w:p>
        </w:tc>
        <w:tc>
          <w:tcPr>
            <w:tcW w:w="1186" w:type="dxa"/>
            <w:shd w:val="clear" w:color="auto" w:fill="BFBFBF"/>
            <w:vAlign w:val="center"/>
          </w:tcPr>
          <w:p w14:paraId="6DD46DB5">
            <w:pPr>
              <w:jc w:val="center"/>
            </w:pPr>
            <w:r>
              <w:rPr>
                <w:rFonts w:hint="eastAsia"/>
                <w:b/>
              </w:rPr>
              <w:t>占总份额比例</w:t>
            </w:r>
          </w:p>
        </w:tc>
        <w:tc>
          <w:tcPr>
            <w:tcW w:w="1186" w:type="dxa"/>
            <w:shd w:val="clear" w:color="auto" w:fill="BFBFBF"/>
            <w:vAlign w:val="center"/>
          </w:tcPr>
          <w:p w14:paraId="35881800">
            <w:pPr>
              <w:jc w:val="center"/>
            </w:pPr>
            <w:r>
              <w:rPr>
                <w:rFonts w:hint="eastAsia"/>
                <w:b/>
              </w:rPr>
              <w:t>持有份额</w:t>
            </w:r>
          </w:p>
        </w:tc>
        <w:tc>
          <w:tcPr>
            <w:tcW w:w="1186" w:type="dxa"/>
            <w:shd w:val="clear" w:color="auto" w:fill="BFBFBF"/>
            <w:vAlign w:val="center"/>
          </w:tcPr>
          <w:p w14:paraId="6D2CBFC8">
            <w:pPr>
              <w:jc w:val="center"/>
            </w:pPr>
            <w:r>
              <w:rPr>
                <w:rFonts w:hint="eastAsia"/>
                <w:b/>
              </w:rPr>
              <w:t>占总份额比例</w:t>
            </w:r>
          </w:p>
        </w:tc>
      </w:tr>
      <w:tr w14:paraId="2398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E86F74">
            <w:r>
              <w:rPr>
                <w:rFonts w:hint="eastAsia"/>
              </w:rPr>
              <w:t>南方创业板人工智能ETF联接A</w:t>
            </w:r>
          </w:p>
        </w:tc>
        <w:tc>
          <w:tcPr>
            <w:tcW w:w="1186" w:type="dxa"/>
            <w:vAlign w:val="center"/>
          </w:tcPr>
          <w:p w14:paraId="54115D97">
            <w:pPr>
              <w:jc w:val="right"/>
            </w:pPr>
            <w:r>
              <w:rPr>
                <w:rFonts w:hint="eastAsia"/>
              </w:rPr>
              <w:t>30,641</w:t>
            </w:r>
          </w:p>
        </w:tc>
        <w:tc>
          <w:tcPr>
            <w:tcW w:w="1186" w:type="dxa"/>
            <w:vAlign w:val="center"/>
          </w:tcPr>
          <w:p w14:paraId="19EC40CA">
            <w:pPr>
              <w:jc w:val="right"/>
            </w:pPr>
            <w:r>
              <w:rPr>
                <w:rFonts w:hint="eastAsia"/>
              </w:rPr>
              <w:t>28,272.81</w:t>
            </w:r>
          </w:p>
        </w:tc>
        <w:tc>
          <w:tcPr>
            <w:tcW w:w="1186" w:type="dxa"/>
            <w:vAlign w:val="center"/>
          </w:tcPr>
          <w:p w14:paraId="1A3BEB3B">
            <w:pPr>
              <w:jc w:val="right"/>
            </w:pPr>
            <w:r>
              <w:rPr>
                <w:rFonts w:hint="eastAsia"/>
              </w:rPr>
              <w:t>51,491.31</w:t>
            </w:r>
          </w:p>
        </w:tc>
        <w:tc>
          <w:tcPr>
            <w:tcW w:w="1186" w:type="dxa"/>
            <w:vAlign w:val="center"/>
          </w:tcPr>
          <w:p w14:paraId="5C7550CE">
            <w:pPr>
              <w:jc w:val="right"/>
            </w:pPr>
            <w:r>
              <w:rPr>
                <w:rFonts w:hint="eastAsia"/>
              </w:rPr>
              <w:t>0.01%</w:t>
            </w:r>
          </w:p>
        </w:tc>
        <w:tc>
          <w:tcPr>
            <w:tcW w:w="1186" w:type="dxa"/>
            <w:vAlign w:val="center"/>
          </w:tcPr>
          <w:p w14:paraId="5A9CE168">
            <w:pPr>
              <w:jc w:val="right"/>
            </w:pPr>
            <w:r>
              <w:rPr>
                <w:rFonts w:hint="eastAsia"/>
              </w:rPr>
              <w:t>866,255,751.12</w:t>
            </w:r>
          </w:p>
        </w:tc>
        <w:tc>
          <w:tcPr>
            <w:tcW w:w="1186" w:type="dxa"/>
            <w:vAlign w:val="center"/>
          </w:tcPr>
          <w:p w14:paraId="19FECD85">
            <w:pPr>
              <w:jc w:val="right"/>
            </w:pPr>
            <w:r>
              <w:rPr>
                <w:rFonts w:hint="eastAsia"/>
              </w:rPr>
              <w:t>99.99%</w:t>
            </w:r>
          </w:p>
        </w:tc>
      </w:tr>
      <w:tr w14:paraId="2FFE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37F2C7F">
            <w:r>
              <w:rPr>
                <w:rFonts w:hint="eastAsia"/>
              </w:rPr>
              <w:t>南方创业板人工智能ETF联接C</w:t>
            </w:r>
          </w:p>
        </w:tc>
        <w:tc>
          <w:tcPr>
            <w:tcW w:w="1186" w:type="dxa"/>
            <w:vAlign w:val="center"/>
          </w:tcPr>
          <w:p w14:paraId="0289E164">
            <w:pPr>
              <w:jc w:val="right"/>
            </w:pPr>
            <w:r>
              <w:rPr>
                <w:rFonts w:hint="eastAsia"/>
              </w:rPr>
              <w:t>35,594</w:t>
            </w:r>
          </w:p>
        </w:tc>
        <w:tc>
          <w:tcPr>
            <w:tcW w:w="1186" w:type="dxa"/>
            <w:vAlign w:val="center"/>
          </w:tcPr>
          <w:p w14:paraId="27292465">
            <w:pPr>
              <w:jc w:val="right"/>
            </w:pPr>
            <w:r>
              <w:rPr>
                <w:rFonts w:hint="eastAsia"/>
              </w:rPr>
              <w:t>13,809.00</w:t>
            </w:r>
          </w:p>
        </w:tc>
        <w:tc>
          <w:tcPr>
            <w:tcW w:w="1186" w:type="dxa"/>
            <w:vAlign w:val="center"/>
          </w:tcPr>
          <w:p w14:paraId="7C176E54">
            <w:pPr>
              <w:jc w:val="right"/>
            </w:pPr>
            <w:r>
              <w:rPr>
                <w:rFonts w:hint="eastAsia"/>
              </w:rPr>
              <w:t>50,573.21</w:t>
            </w:r>
          </w:p>
        </w:tc>
        <w:tc>
          <w:tcPr>
            <w:tcW w:w="1186" w:type="dxa"/>
            <w:vAlign w:val="center"/>
          </w:tcPr>
          <w:p w14:paraId="13624E97">
            <w:pPr>
              <w:jc w:val="right"/>
            </w:pPr>
            <w:r>
              <w:rPr>
                <w:rFonts w:hint="eastAsia"/>
              </w:rPr>
              <w:t>0.01%</w:t>
            </w:r>
          </w:p>
        </w:tc>
        <w:tc>
          <w:tcPr>
            <w:tcW w:w="1186" w:type="dxa"/>
            <w:vAlign w:val="center"/>
          </w:tcPr>
          <w:p w14:paraId="7B3EE229">
            <w:pPr>
              <w:jc w:val="right"/>
            </w:pPr>
            <w:r>
              <w:rPr>
                <w:rFonts w:hint="eastAsia"/>
              </w:rPr>
              <w:t>491,467,024.65</w:t>
            </w:r>
          </w:p>
        </w:tc>
        <w:tc>
          <w:tcPr>
            <w:tcW w:w="1186" w:type="dxa"/>
            <w:vAlign w:val="center"/>
          </w:tcPr>
          <w:p w14:paraId="5783ACDB">
            <w:pPr>
              <w:jc w:val="right"/>
            </w:pPr>
            <w:r>
              <w:rPr>
                <w:rFonts w:hint="eastAsia"/>
              </w:rPr>
              <w:t>99.99%</w:t>
            </w:r>
          </w:p>
        </w:tc>
      </w:tr>
      <w:tr w14:paraId="2D41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1699201">
            <w:r>
              <w:rPr>
                <w:rFonts w:hint="eastAsia"/>
              </w:rPr>
              <w:t>合计</w:t>
            </w:r>
          </w:p>
        </w:tc>
        <w:tc>
          <w:tcPr>
            <w:tcW w:w="1186" w:type="dxa"/>
            <w:vAlign w:val="center"/>
          </w:tcPr>
          <w:p w14:paraId="2CCD3725">
            <w:pPr>
              <w:jc w:val="right"/>
            </w:pPr>
            <w:r>
              <w:rPr>
                <w:rFonts w:hint="eastAsia"/>
              </w:rPr>
              <w:t>66,235</w:t>
            </w:r>
          </w:p>
        </w:tc>
        <w:tc>
          <w:tcPr>
            <w:tcW w:w="1186" w:type="dxa"/>
            <w:vAlign w:val="center"/>
          </w:tcPr>
          <w:p w14:paraId="0B68F43F">
            <w:pPr>
              <w:jc w:val="right"/>
            </w:pPr>
            <w:r>
              <w:rPr>
                <w:rFonts w:hint="eastAsia"/>
              </w:rPr>
              <w:t>20,500.11</w:t>
            </w:r>
          </w:p>
        </w:tc>
        <w:tc>
          <w:tcPr>
            <w:tcW w:w="1186" w:type="dxa"/>
            <w:vAlign w:val="center"/>
          </w:tcPr>
          <w:p w14:paraId="1E518A58">
            <w:pPr>
              <w:jc w:val="right"/>
            </w:pPr>
            <w:r>
              <w:rPr>
                <w:rFonts w:hint="eastAsia"/>
              </w:rPr>
              <w:t>102,064.52</w:t>
            </w:r>
          </w:p>
        </w:tc>
        <w:tc>
          <w:tcPr>
            <w:tcW w:w="1186" w:type="dxa"/>
            <w:vAlign w:val="center"/>
          </w:tcPr>
          <w:p w14:paraId="325DB74B">
            <w:pPr>
              <w:jc w:val="right"/>
            </w:pPr>
            <w:r>
              <w:rPr>
                <w:rFonts w:hint="eastAsia"/>
              </w:rPr>
              <w:t>0.01%</w:t>
            </w:r>
          </w:p>
        </w:tc>
        <w:tc>
          <w:tcPr>
            <w:tcW w:w="1186" w:type="dxa"/>
            <w:vAlign w:val="center"/>
          </w:tcPr>
          <w:p w14:paraId="6611D7B2">
            <w:pPr>
              <w:jc w:val="right"/>
            </w:pPr>
            <w:r>
              <w:rPr>
                <w:rFonts w:hint="eastAsia"/>
              </w:rPr>
              <w:t>1,357,722,775.77</w:t>
            </w:r>
          </w:p>
        </w:tc>
        <w:tc>
          <w:tcPr>
            <w:tcW w:w="1186" w:type="dxa"/>
            <w:vAlign w:val="center"/>
          </w:tcPr>
          <w:p w14:paraId="31A45F1E">
            <w:pPr>
              <w:jc w:val="right"/>
            </w:pPr>
            <w:r>
              <w:rPr>
                <w:rFonts w:hint="eastAsia"/>
              </w:rPr>
              <w:t>99.99%</w:t>
            </w:r>
          </w:p>
        </w:tc>
      </w:tr>
    </w:tbl>
    <w:p w14:paraId="02F25F5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B9D5816">
      <w:pPr>
        <w:pStyle w:val="23"/>
      </w:pPr>
      <w:bookmarkStart w:id="188" w:name="_Toc27719"/>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A02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86440">
            <w:r>
              <w:rPr>
                <w:rFonts w:hint="eastAsia"/>
              </w:rPr>
              <w:t>项目</w:t>
            </w:r>
          </w:p>
        </w:tc>
        <w:tc>
          <w:tcPr>
            <w:tcW w:w="2076" w:type="dxa"/>
            <w:vAlign w:val="center"/>
          </w:tcPr>
          <w:p w14:paraId="185E7244">
            <w:r>
              <w:rPr>
                <w:rFonts w:hint="eastAsia"/>
              </w:rPr>
              <w:t>份额级别</w:t>
            </w:r>
          </w:p>
        </w:tc>
        <w:tc>
          <w:tcPr>
            <w:tcW w:w="2076" w:type="dxa"/>
            <w:vAlign w:val="center"/>
          </w:tcPr>
          <w:p w14:paraId="49FECA0F">
            <w:r>
              <w:rPr>
                <w:rFonts w:hint="eastAsia"/>
              </w:rPr>
              <w:t>持有份额总数（份）</w:t>
            </w:r>
          </w:p>
        </w:tc>
        <w:tc>
          <w:tcPr>
            <w:tcW w:w="2076" w:type="dxa"/>
            <w:vAlign w:val="center"/>
          </w:tcPr>
          <w:p w14:paraId="0C5DD15F">
            <w:r>
              <w:rPr>
                <w:rFonts w:hint="eastAsia"/>
              </w:rPr>
              <w:t>占基金总份额比例</w:t>
            </w:r>
          </w:p>
        </w:tc>
      </w:tr>
      <w:tr w14:paraId="5FA4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166019D">
            <w:r>
              <w:rPr>
                <w:rFonts w:hint="eastAsia"/>
              </w:rPr>
              <w:t>基金管理人所有从业人员持有本基金</w:t>
            </w:r>
          </w:p>
        </w:tc>
        <w:tc>
          <w:tcPr>
            <w:tcW w:w="2076" w:type="dxa"/>
            <w:vAlign w:val="center"/>
          </w:tcPr>
          <w:p w14:paraId="087D2CA0">
            <w:r>
              <w:rPr>
                <w:rFonts w:hint="eastAsia"/>
              </w:rPr>
              <w:t>南方创业板人工智能ETF联接A</w:t>
            </w:r>
          </w:p>
        </w:tc>
        <w:tc>
          <w:tcPr>
            <w:tcW w:w="2076" w:type="dxa"/>
            <w:vAlign w:val="center"/>
          </w:tcPr>
          <w:p w14:paraId="69AEB914">
            <w:pPr>
              <w:jc w:val="right"/>
            </w:pPr>
            <w:r>
              <w:rPr>
                <w:rFonts w:hint="eastAsia"/>
              </w:rPr>
              <w:t>101,357.07</w:t>
            </w:r>
          </w:p>
        </w:tc>
        <w:tc>
          <w:tcPr>
            <w:tcW w:w="2076" w:type="dxa"/>
            <w:vAlign w:val="center"/>
          </w:tcPr>
          <w:p w14:paraId="18179794">
            <w:pPr>
              <w:jc w:val="right"/>
            </w:pPr>
            <w:r>
              <w:rPr>
                <w:rFonts w:hint="eastAsia"/>
              </w:rPr>
              <w:t>0.0117%</w:t>
            </w:r>
          </w:p>
        </w:tc>
      </w:tr>
      <w:tr w14:paraId="7EC9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FBEBF34"/>
        </w:tc>
        <w:tc>
          <w:tcPr>
            <w:tcW w:w="2076" w:type="dxa"/>
            <w:vAlign w:val="center"/>
          </w:tcPr>
          <w:p w14:paraId="4AF24841">
            <w:r>
              <w:rPr>
                <w:rFonts w:hint="eastAsia"/>
              </w:rPr>
              <w:t>南方创业板人工智能ETF联接C</w:t>
            </w:r>
          </w:p>
        </w:tc>
        <w:tc>
          <w:tcPr>
            <w:tcW w:w="2076" w:type="dxa"/>
            <w:vAlign w:val="center"/>
          </w:tcPr>
          <w:p w14:paraId="2D84638C">
            <w:pPr>
              <w:jc w:val="right"/>
            </w:pPr>
            <w:r>
              <w:rPr>
                <w:rFonts w:hint="eastAsia"/>
              </w:rPr>
              <w:t>1,732.40</w:t>
            </w:r>
          </w:p>
        </w:tc>
        <w:tc>
          <w:tcPr>
            <w:tcW w:w="2076" w:type="dxa"/>
            <w:vAlign w:val="center"/>
          </w:tcPr>
          <w:p w14:paraId="565C55D6">
            <w:pPr>
              <w:jc w:val="right"/>
            </w:pPr>
            <w:r>
              <w:rPr>
                <w:rFonts w:hint="eastAsia"/>
              </w:rPr>
              <w:t>0.0004%</w:t>
            </w:r>
          </w:p>
        </w:tc>
      </w:tr>
      <w:tr w14:paraId="27A9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99570F"/>
        </w:tc>
        <w:tc>
          <w:tcPr>
            <w:tcW w:w="2076" w:type="dxa"/>
            <w:vAlign w:val="center"/>
          </w:tcPr>
          <w:p w14:paraId="3DDD2132">
            <w:r>
              <w:rPr>
                <w:rFonts w:hint="eastAsia"/>
              </w:rPr>
              <w:t>合计</w:t>
            </w:r>
          </w:p>
        </w:tc>
        <w:tc>
          <w:tcPr>
            <w:tcW w:w="2076" w:type="dxa"/>
            <w:vAlign w:val="center"/>
          </w:tcPr>
          <w:p w14:paraId="24BAD7A9">
            <w:pPr>
              <w:jc w:val="right"/>
            </w:pPr>
            <w:r>
              <w:rPr>
                <w:rFonts w:hint="eastAsia"/>
              </w:rPr>
              <w:t>103,089.47</w:t>
            </w:r>
          </w:p>
        </w:tc>
        <w:tc>
          <w:tcPr>
            <w:tcW w:w="2076" w:type="dxa"/>
            <w:vAlign w:val="center"/>
          </w:tcPr>
          <w:p w14:paraId="45DAD2C1">
            <w:pPr>
              <w:jc w:val="right"/>
            </w:pPr>
            <w:r>
              <w:rPr>
                <w:rFonts w:hint="eastAsia"/>
              </w:rPr>
              <w:t>0.0076%</w:t>
            </w:r>
          </w:p>
        </w:tc>
      </w:tr>
    </w:tbl>
    <w:p w14:paraId="29895CA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56CD662">
      <w:pPr>
        <w:pStyle w:val="23"/>
      </w:pPr>
      <w:bookmarkStart w:id="189" w:name="_Toc16062"/>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D2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F9A902">
            <w:r>
              <w:rPr>
                <w:rFonts w:hint="eastAsia"/>
              </w:rPr>
              <w:t>项目</w:t>
            </w:r>
          </w:p>
        </w:tc>
        <w:tc>
          <w:tcPr>
            <w:tcW w:w="2768" w:type="dxa"/>
            <w:vAlign w:val="center"/>
          </w:tcPr>
          <w:p w14:paraId="0D180CBF">
            <w:r>
              <w:rPr>
                <w:rFonts w:hint="eastAsia"/>
              </w:rPr>
              <w:t>份额级别</w:t>
            </w:r>
          </w:p>
        </w:tc>
        <w:tc>
          <w:tcPr>
            <w:tcW w:w="2768" w:type="dxa"/>
            <w:vAlign w:val="center"/>
          </w:tcPr>
          <w:p w14:paraId="23DB48B1">
            <w:r>
              <w:rPr>
                <w:rFonts w:hint="eastAsia"/>
              </w:rPr>
              <w:t>持有基金份额总量的数量区间（万份）</w:t>
            </w:r>
          </w:p>
        </w:tc>
      </w:tr>
      <w:tr w14:paraId="484E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8E864DC">
            <w:r>
              <w:rPr>
                <w:rFonts w:hint="eastAsia"/>
              </w:rPr>
              <w:t>本公司高级管理人员、基金投资和研究部门负责人持有本开放式基金</w:t>
            </w:r>
          </w:p>
        </w:tc>
        <w:tc>
          <w:tcPr>
            <w:tcW w:w="2768" w:type="dxa"/>
            <w:vAlign w:val="center"/>
          </w:tcPr>
          <w:p w14:paraId="78E0E35C">
            <w:r>
              <w:rPr>
                <w:rFonts w:hint="eastAsia"/>
              </w:rPr>
              <w:t>南方创业板人工智能ETF联接A</w:t>
            </w:r>
          </w:p>
        </w:tc>
        <w:tc>
          <w:tcPr>
            <w:tcW w:w="2768" w:type="dxa"/>
            <w:vAlign w:val="center"/>
          </w:tcPr>
          <w:p w14:paraId="40A2B5AC">
            <w:pPr>
              <w:jc w:val="right"/>
            </w:pPr>
            <w:r>
              <w:rPr>
                <w:rFonts w:hint="eastAsia"/>
              </w:rPr>
              <w:t>0</w:t>
            </w:r>
          </w:p>
        </w:tc>
      </w:tr>
      <w:tr w14:paraId="570B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CF48A28"/>
        </w:tc>
        <w:tc>
          <w:tcPr>
            <w:tcW w:w="2768" w:type="dxa"/>
            <w:vAlign w:val="center"/>
          </w:tcPr>
          <w:p w14:paraId="388F4540">
            <w:r>
              <w:rPr>
                <w:rFonts w:hint="eastAsia"/>
              </w:rPr>
              <w:t>南方创业板人工智能ETF联接C</w:t>
            </w:r>
          </w:p>
        </w:tc>
        <w:tc>
          <w:tcPr>
            <w:tcW w:w="2768" w:type="dxa"/>
            <w:vAlign w:val="center"/>
          </w:tcPr>
          <w:p w14:paraId="409B8780">
            <w:pPr>
              <w:jc w:val="right"/>
            </w:pPr>
            <w:r>
              <w:rPr>
                <w:rFonts w:hint="eastAsia"/>
              </w:rPr>
              <w:t>0</w:t>
            </w:r>
          </w:p>
        </w:tc>
      </w:tr>
      <w:tr w14:paraId="2E5B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817ACE"/>
        </w:tc>
        <w:tc>
          <w:tcPr>
            <w:tcW w:w="2768" w:type="dxa"/>
            <w:vAlign w:val="center"/>
          </w:tcPr>
          <w:p w14:paraId="43CF5F32">
            <w:r>
              <w:rPr>
                <w:rFonts w:hint="eastAsia"/>
              </w:rPr>
              <w:t>合计</w:t>
            </w:r>
          </w:p>
        </w:tc>
        <w:tc>
          <w:tcPr>
            <w:tcW w:w="2768" w:type="dxa"/>
            <w:vAlign w:val="center"/>
          </w:tcPr>
          <w:p w14:paraId="23ECCCA0">
            <w:pPr>
              <w:jc w:val="right"/>
            </w:pPr>
            <w:r>
              <w:rPr>
                <w:rFonts w:hint="eastAsia"/>
              </w:rPr>
              <w:t>0</w:t>
            </w:r>
          </w:p>
        </w:tc>
      </w:tr>
      <w:tr w14:paraId="6733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31837FB">
            <w:r>
              <w:rPr>
                <w:rFonts w:hint="eastAsia"/>
              </w:rPr>
              <w:t>本基金基金经理持有本开放式基金</w:t>
            </w:r>
          </w:p>
        </w:tc>
        <w:tc>
          <w:tcPr>
            <w:tcW w:w="2768" w:type="dxa"/>
            <w:vAlign w:val="center"/>
          </w:tcPr>
          <w:p w14:paraId="58CB5395">
            <w:r>
              <w:rPr>
                <w:rFonts w:hint="eastAsia"/>
              </w:rPr>
              <w:t>南方创业板人工智能ETF联接A</w:t>
            </w:r>
          </w:p>
        </w:tc>
        <w:tc>
          <w:tcPr>
            <w:tcW w:w="2768" w:type="dxa"/>
            <w:vAlign w:val="center"/>
          </w:tcPr>
          <w:p w14:paraId="14C272D2">
            <w:pPr>
              <w:jc w:val="right"/>
            </w:pPr>
            <w:r>
              <w:rPr>
                <w:rFonts w:hint="eastAsia"/>
              </w:rPr>
              <w:t>0~10</w:t>
            </w:r>
          </w:p>
        </w:tc>
      </w:tr>
      <w:tr w14:paraId="54CE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4A381A5"/>
        </w:tc>
        <w:tc>
          <w:tcPr>
            <w:tcW w:w="2768" w:type="dxa"/>
            <w:vAlign w:val="center"/>
          </w:tcPr>
          <w:p w14:paraId="3C749F6D">
            <w:r>
              <w:rPr>
                <w:rFonts w:hint="eastAsia"/>
              </w:rPr>
              <w:t>南方创业板人工智能ETF联接C</w:t>
            </w:r>
          </w:p>
        </w:tc>
        <w:tc>
          <w:tcPr>
            <w:tcW w:w="2768" w:type="dxa"/>
            <w:vAlign w:val="center"/>
          </w:tcPr>
          <w:p w14:paraId="2094FF54">
            <w:pPr>
              <w:jc w:val="right"/>
            </w:pPr>
            <w:r>
              <w:rPr>
                <w:rFonts w:hint="eastAsia"/>
              </w:rPr>
              <w:t>0</w:t>
            </w:r>
          </w:p>
        </w:tc>
      </w:tr>
      <w:tr w14:paraId="5F5A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E0F11A7"/>
        </w:tc>
        <w:tc>
          <w:tcPr>
            <w:tcW w:w="2768" w:type="dxa"/>
            <w:vAlign w:val="center"/>
          </w:tcPr>
          <w:p w14:paraId="0DDEE9A7">
            <w:r>
              <w:rPr>
                <w:rFonts w:hint="eastAsia"/>
              </w:rPr>
              <w:t>合计</w:t>
            </w:r>
          </w:p>
        </w:tc>
        <w:tc>
          <w:tcPr>
            <w:tcW w:w="2768" w:type="dxa"/>
            <w:vAlign w:val="center"/>
          </w:tcPr>
          <w:p w14:paraId="24E259F6">
            <w:pPr>
              <w:jc w:val="right"/>
            </w:pPr>
            <w:r>
              <w:rPr>
                <w:rFonts w:hint="eastAsia"/>
              </w:rPr>
              <w:t>0~10</w:t>
            </w:r>
          </w:p>
        </w:tc>
      </w:tr>
    </w:tbl>
    <w:p w14:paraId="04C6FE48">
      <w:pPr>
        <w:pStyle w:val="26"/>
      </w:pPr>
      <w:bookmarkStart w:id="190" w:name="_Toc24168"/>
      <w:r>
        <w:t>开放式基金份额变动</w:t>
      </w:r>
      <w:bookmarkEnd w:id="190"/>
    </w:p>
    <w:p w14:paraId="444F906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6F5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D4EE252">
            <w:pPr>
              <w:jc w:val="center"/>
            </w:pPr>
            <w:r>
              <w:rPr>
                <w:rFonts w:hint="eastAsia"/>
                <w:b/>
              </w:rPr>
              <w:t>项目</w:t>
            </w:r>
          </w:p>
        </w:tc>
        <w:tc>
          <w:tcPr>
            <w:tcW w:w="1799" w:type="dxa"/>
            <w:shd w:val="clear" w:color="auto" w:fill="BFBFBF"/>
            <w:vAlign w:val="center"/>
          </w:tcPr>
          <w:p w14:paraId="137AFC9A">
            <w:pPr>
              <w:jc w:val="center"/>
            </w:pPr>
            <w:r>
              <w:rPr>
                <w:rFonts w:hint="eastAsia"/>
                <w:b/>
              </w:rPr>
              <w:t>南方创业板人工智能ETF联接A</w:t>
            </w:r>
          </w:p>
        </w:tc>
        <w:tc>
          <w:tcPr>
            <w:tcW w:w="1633" w:type="dxa"/>
            <w:shd w:val="clear" w:color="auto" w:fill="BFBFBF"/>
            <w:vAlign w:val="center"/>
          </w:tcPr>
          <w:p w14:paraId="2B0F20BF">
            <w:pPr>
              <w:jc w:val="center"/>
            </w:pPr>
            <w:r>
              <w:rPr>
                <w:rFonts w:hint="eastAsia"/>
                <w:b/>
              </w:rPr>
              <w:t>南方创业板人工智能ETF联接C</w:t>
            </w:r>
          </w:p>
        </w:tc>
      </w:tr>
      <w:tr w14:paraId="6A2F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3AFED55">
            <w:r>
              <w:rPr>
                <w:rFonts w:hint="eastAsia"/>
              </w:rPr>
              <w:t>基金合同生效日(2025年10月30日)基金份额总额</w:t>
            </w:r>
          </w:p>
        </w:tc>
        <w:tc>
          <w:tcPr>
            <w:tcW w:w="1799" w:type="dxa"/>
            <w:vAlign w:val="center"/>
          </w:tcPr>
          <w:p w14:paraId="78F06F28">
            <w:pPr>
              <w:jc w:val="right"/>
            </w:pPr>
            <w:r>
              <w:rPr>
                <w:rFonts w:hint="eastAsia"/>
              </w:rPr>
              <w:t>3,056,193,885.92</w:t>
            </w:r>
          </w:p>
        </w:tc>
        <w:tc>
          <w:tcPr>
            <w:tcW w:w="1633" w:type="dxa"/>
            <w:vAlign w:val="center"/>
          </w:tcPr>
          <w:p w14:paraId="3F1DAFF0">
            <w:pPr>
              <w:jc w:val="right"/>
            </w:pPr>
            <w:r>
              <w:rPr>
                <w:rFonts w:hint="eastAsia"/>
              </w:rPr>
              <w:t>987,270,799.49</w:t>
            </w:r>
          </w:p>
        </w:tc>
      </w:tr>
      <w:tr w14:paraId="066F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518B36F">
            <w:r>
              <w:rPr>
                <w:rFonts w:hint="eastAsia"/>
              </w:rPr>
              <w:t>基金合同生效日起至报告期期末基金总申购份额</w:t>
            </w:r>
          </w:p>
        </w:tc>
        <w:tc>
          <w:tcPr>
            <w:tcW w:w="1799" w:type="dxa"/>
            <w:vAlign w:val="center"/>
          </w:tcPr>
          <w:p w14:paraId="64E21D24">
            <w:pPr>
              <w:jc w:val="right"/>
            </w:pPr>
            <w:r>
              <w:rPr>
                <w:rFonts w:hint="eastAsia"/>
              </w:rPr>
              <w:t>232,441,750.01</w:t>
            </w:r>
          </w:p>
        </w:tc>
        <w:tc>
          <w:tcPr>
            <w:tcW w:w="1633" w:type="dxa"/>
            <w:vAlign w:val="center"/>
          </w:tcPr>
          <w:p w14:paraId="15AF363F">
            <w:pPr>
              <w:jc w:val="right"/>
            </w:pPr>
            <w:r>
              <w:rPr>
                <w:rFonts w:hint="eastAsia"/>
              </w:rPr>
              <w:t>339,619,213.71</w:t>
            </w:r>
          </w:p>
        </w:tc>
      </w:tr>
      <w:tr w14:paraId="1EE1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EC2D0AB">
            <w:r>
              <w:rPr>
                <w:rFonts w:hint="eastAsia"/>
              </w:rPr>
              <w:t>减：基金合同生效日起至报告期期末基金总赎回份额</w:t>
            </w:r>
          </w:p>
        </w:tc>
        <w:tc>
          <w:tcPr>
            <w:tcW w:w="1799" w:type="dxa"/>
            <w:vAlign w:val="center"/>
          </w:tcPr>
          <w:p w14:paraId="1E43C8DE">
            <w:pPr>
              <w:jc w:val="right"/>
            </w:pPr>
            <w:r>
              <w:rPr>
                <w:rFonts w:hint="eastAsia"/>
              </w:rPr>
              <w:t>2,422,328,393.50</w:t>
            </w:r>
          </w:p>
        </w:tc>
        <w:tc>
          <w:tcPr>
            <w:tcW w:w="1633" w:type="dxa"/>
            <w:vAlign w:val="center"/>
          </w:tcPr>
          <w:p w14:paraId="29B90857">
            <w:pPr>
              <w:jc w:val="right"/>
            </w:pPr>
            <w:r>
              <w:rPr>
                <w:rFonts w:hint="eastAsia"/>
              </w:rPr>
              <w:t>835,372,415.34</w:t>
            </w:r>
          </w:p>
        </w:tc>
      </w:tr>
      <w:tr w14:paraId="6BA3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E5B0ACC">
            <w:r>
              <w:rPr>
                <w:rFonts w:hint="eastAsia"/>
              </w:rPr>
              <w:t>基金合同生效日起至报告期期末基金拆分变动份额</w:t>
            </w:r>
          </w:p>
        </w:tc>
        <w:tc>
          <w:tcPr>
            <w:tcW w:w="1799" w:type="dxa"/>
            <w:vAlign w:val="center"/>
          </w:tcPr>
          <w:p w14:paraId="629BA2F0">
            <w:pPr>
              <w:jc w:val="right"/>
            </w:pPr>
            <w:r>
              <w:rPr>
                <w:rFonts w:hint="eastAsia"/>
              </w:rPr>
              <w:t>-</w:t>
            </w:r>
          </w:p>
        </w:tc>
        <w:tc>
          <w:tcPr>
            <w:tcW w:w="1633" w:type="dxa"/>
            <w:vAlign w:val="center"/>
          </w:tcPr>
          <w:p w14:paraId="4167D93F">
            <w:pPr>
              <w:jc w:val="right"/>
            </w:pPr>
            <w:r>
              <w:rPr>
                <w:rFonts w:hint="eastAsia"/>
              </w:rPr>
              <w:t>-</w:t>
            </w:r>
          </w:p>
        </w:tc>
      </w:tr>
      <w:tr w14:paraId="7234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C485462">
            <w:r>
              <w:rPr>
                <w:rFonts w:hint="eastAsia"/>
              </w:rPr>
              <w:t>本报告期期末基金份额总额</w:t>
            </w:r>
          </w:p>
        </w:tc>
        <w:tc>
          <w:tcPr>
            <w:tcW w:w="1799" w:type="dxa"/>
            <w:vAlign w:val="center"/>
          </w:tcPr>
          <w:p w14:paraId="1DDA2FFE">
            <w:pPr>
              <w:jc w:val="right"/>
            </w:pPr>
            <w:r>
              <w:rPr>
                <w:rFonts w:hint="eastAsia"/>
              </w:rPr>
              <w:t>866,307,242.43</w:t>
            </w:r>
          </w:p>
        </w:tc>
        <w:tc>
          <w:tcPr>
            <w:tcW w:w="1633" w:type="dxa"/>
            <w:vAlign w:val="center"/>
          </w:tcPr>
          <w:p w14:paraId="10E68691">
            <w:pPr>
              <w:jc w:val="right"/>
            </w:pPr>
            <w:r>
              <w:rPr>
                <w:rFonts w:hint="eastAsia"/>
              </w:rPr>
              <w:t>491,517,597.86</w:t>
            </w:r>
          </w:p>
        </w:tc>
      </w:tr>
    </w:tbl>
    <w:p w14:paraId="07D16A61">
      <w:pPr>
        <w:pStyle w:val="26"/>
      </w:pPr>
      <w:bookmarkStart w:id="191" w:name="_Toc19243"/>
      <w:r>
        <w:t>重大事件揭示</w:t>
      </w:r>
      <w:bookmarkEnd w:id="191"/>
    </w:p>
    <w:p w14:paraId="0D37522B">
      <w:pPr>
        <w:pStyle w:val="23"/>
      </w:pPr>
      <w:bookmarkStart w:id="192" w:name="_Toc11980"/>
      <w:r>
        <w:t>基金份额持有人大会决议</w:t>
      </w:r>
      <w:bookmarkEnd w:id="192"/>
    </w:p>
    <w:p w14:paraId="3FA9ADC6">
      <w:pPr>
        <w:pStyle w:val="18"/>
        <w:rPr>
          <w:rFonts w:hint="eastAsia"/>
        </w:rPr>
      </w:pPr>
      <w:r>
        <w:rPr>
          <w:rFonts w:hint="eastAsia"/>
        </w:rPr>
        <w:t>本报告期本基金无基金份额持有人大会决议。</w:t>
      </w:r>
    </w:p>
    <w:p w14:paraId="6AB6C0C2">
      <w:pPr>
        <w:pStyle w:val="23"/>
      </w:pPr>
      <w:r>
        <w:t xml:space="preserve"> </w:t>
      </w:r>
      <w:bookmarkStart w:id="193" w:name="_Toc7831"/>
      <w:r>
        <w:t>基金管理人、基金托管人的专门基金托管部门的重大人事变动</w:t>
      </w:r>
      <w:bookmarkEnd w:id="193"/>
    </w:p>
    <w:p w14:paraId="11C3C8F3">
      <w:pPr>
        <w:pStyle w:val="18"/>
        <w:rPr>
          <w:rFonts w:hint="eastAsia"/>
        </w:rPr>
      </w:pPr>
      <w:r>
        <w:rPr>
          <w:rFonts w:hint="eastAsia"/>
        </w:rPr>
        <w:t>本报告期内，本基金的基金管理人未发生重大人事变动。</w:t>
      </w:r>
    </w:p>
    <w:p w14:paraId="074C6865">
      <w:pPr>
        <w:pStyle w:val="18"/>
        <w:rPr>
          <w:rFonts w:hint="eastAsia"/>
        </w:rPr>
      </w:pPr>
      <w:r>
        <w:rPr>
          <w:rFonts w:hint="eastAsia"/>
        </w:rPr>
        <w:t>中国建设银行股份有限公司（以下简称“中国建设银行”）研究决定，聘任陈颖钰为中国建设银行资产托管业务部总经理。</w:t>
      </w:r>
    </w:p>
    <w:p w14:paraId="64D39279">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4DEE3B0D">
      <w:pPr>
        <w:pStyle w:val="23"/>
      </w:pPr>
      <w:r>
        <w:t xml:space="preserve"> </w:t>
      </w:r>
      <w:bookmarkStart w:id="194" w:name="_Toc30173"/>
      <w:r>
        <w:t>涉及基金管理人、基金财产、基金托管业务的诉讼</w:t>
      </w:r>
      <w:bookmarkEnd w:id="194"/>
    </w:p>
    <w:p w14:paraId="1E924F3A">
      <w:pPr>
        <w:pStyle w:val="18"/>
        <w:rPr>
          <w:rFonts w:hint="eastAsia"/>
        </w:rPr>
      </w:pPr>
      <w:r>
        <w:rPr>
          <w:rFonts w:hint="eastAsia"/>
        </w:rPr>
        <w:t>本报告期内，无涉及基金管理人主营业务的诉讼。</w:t>
      </w:r>
    </w:p>
    <w:p w14:paraId="4DF6EAA4">
      <w:pPr>
        <w:pStyle w:val="18"/>
        <w:rPr>
          <w:rFonts w:hint="eastAsia"/>
        </w:rPr>
      </w:pPr>
      <w:r>
        <w:rPr>
          <w:rFonts w:hint="eastAsia"/>
        </w:rPr>
        <w:t>本报告期内无涉及基金财产的诉讼事项。</w:t>
      </w:r>
    </w:p>
    <w:p w14:paraId="45C9D873">
      <w:pPr>
        <w:pStyle w:val="18"/>
        <w:rPr>
          <w:rFonts w:hint="eastAsia"/>
        </w:rPr>
      </w:pPr>
      <w:r>
        <w:rPr>
          <w:rFonts w:hint="eastAsia"/>
        </w:rPr>
        <w:t>本报告期无涉及基金托管业务的诉讼事项。</w:t>
      </w:r>
    </w:p>
    <w:p w14:paraId="7739E0E3">
      <w:pPr>
        <w:pStyle w:val="23"/>
      </w:pPr>
      <w:bookmarkStart w:id="195" w:name="_Toc22536"/>
      <w:r>
        <w:t>基金投资策略的改变</w:t>
      </w:r>
      <w:bookmarkEnd w:id="195"/>
    </w:p>
    <w:p w14:paraId="699AF461">
      <w:pPr>
        <w:pStyle w:val="18"/>
        <w:rPr>
          <w:rFonts w:hint="eastAsia"/>
        </w:rPr>
      </w:pPr>
      <w:r>
        <w:rPr>
          <w:rFonts w:hint="eastAsia"/>
        </w:rPr>
        <w:t>本报告期内本基金的投资策略未有重大变化。</w:t>
      </w:r>
    </w:p>
    <w:p w14:paraId="1AE820B6">
      <w:pPr>
        <w:pStyle w:val="23"/>
      </w:pPr>
      <w:bookmarkStart w:id="196" w:name="_Toc9665"/>
      <w:r>
        <w:t>为基金进行审计的会计师事务所情况</w:t>
      </w:r>
      <w:bookmarkEnd w:id="196"/>
    </w:p>
    <w:p w14:paraId="7DB2893C">
      <w:pPr>
        <w:pStyle w:val="18"/>
        <w:rPr>
          <w:rFonts w:hint="eastAsia"/>
        </w:rPr>
      </w:pPr>
      <w:r>
        <w:rPr>
          <w:rFonts w:hint="eastAsia"/>
        </w:rPr>
        <w:t>本报告期本基金的审计事务所无变化；目前安永华明会计师事务所（特殊普通合伙）已为本基金提供审计服务1年，本报告期应支付给安永华明会计师事务所（特殊普通合伙）的报酬为人民币48,000.00元。</w:t>
      </w:r>
    </w:p>
    <w:p w14:paraId="09D0D1DF">
      <w:pPr>
        <w:pStyle w:val="23"/>
      </w:pPr>
      <w:bookmarkStart w:id="197" w:name="_Toc7004"/>
      <w:r>
        <w:t>管理人、托管人及相关从业人员受调查或处罚等情况</w:t>
      </w:r>
      <w:bookmarkEnd w:id="197"/>
    </w:p>
    <w:p w14:paraId="603F35C2">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BBA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4D73502">
            <w:pPr>
              <w:jc w:val="center"/>
            </w:pPr>
            <w:r>
              <w:rPr>
                <w:rFonts w:hint="eastAsia"/>
                <w:b/>
              </w:rPr>
              <w:t>管理人受调查或处罚等情况</w:t>
            </w:r>
          </w:p>
        </w:tc>
        <w:tc>
          <w:tcPr>
            <w:tcW w:w="4153" w:type="dxa"/>
            <w:shd w:val="clear" w:color="auto" w:fill="BFBFBF"/>
            <w:vAlign w:val="center"/>
          </w:tcPr>
          <w:p w14:paraId="2BA57DA9">
            <w:pPr>
              <w:jc w:val="center"/>
            </w:pPr>
            <w:r>
              <w:rPr>
                <w:rFonts w:hint="eastAsia"/>
                <w:b/>
              </w:rPr>
              <w:t>内容</w:t>
            </w:r>
          </w:p>
        </w:tc>
      </w:tr>
      <w:tr w14:paraId="73A6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737E0D">
            <w:r>
              <w:rPr>
                <w:rFonts w:hint="eastAsia"/>
              </w:rPr>
              <w:t>受到调查或处罚等措施的主体</w:t>
            </w:r>
          </w:p>
        </w:tc>
        <w:tc>
          <w:tcPr>
            <w:tcW w:w="4153" w:type="dxa"/>
            <w:vAlign w:val="center"/>
          </w:tcPr>
          <w:p w14:paraId="2009F8F3">
            <w:r>
              <w:rPr>
                <w:rFonts w:hint="eastAsia"/>
              </w:rPr>
              <w:t>管理人</w:t>
            </w:r>
          </w:p>
        </w:tc>
      </w:tr>
      <w:tr w14:paraId="50A0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FC38E3">
            <w:r>
              <w:rPr>
                <w:rFonts w:hint="eastAsia"/>
              </w:rPr>
              <w:t>受到调查或处罚等措施的时间</w:t>
            </w:r>
          </w:p>
        </w:tc>
        <w:tc>
          <w:tcPr>
            <w:tcW w:w="4153" w:type="dxa"/>
            <w:vAlign w:val="center"/>
          </w:tcPr>
          <w:p w14:paraId="40A7F81C">
            <w:pPr>
              <w:rPr>
                <w:rFonts w:hint="eastAsia"/>
              </w:rPr>
            </w:pPr>
            <w:r>
              <w:rPr>
                <w:rFonts w:hint="eastAsia"/>
              </w:rPr>
              <w:t>2025-10-17；
</w:t>
            </w:r>
            <w:r>
              <w:rPr>
                <w:rFonts w:hint="eastAsia"/>
              </w:rPr>
              <w:br w:type="textWrapping"/>
            </w:r>
            <w:r>
              <w:rPr>
                <w:rFonts w:hint="eastAsia"/>
              </w:rPr>
              <w:t>2025-11-18</w:t>
            </w:r>
          </w:p>
        </w:tc>
      </w:tr>
      <w:tr w14:paraId="7B41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181541">
            <w:r>
              <w:rPr>
                <w:rFonts w:hint="eastAsia"/>
              </w:rPr>
              <w:t>采取调查或处罚等措施的机构</w:t>
            </w:r>
          </w:p>
        </w:tc>
        <w:tc>
          <w:tcPr>
            <w:tcW w:w="4153" w:type="dxa"/>
            <w:vAlign w:val="center"/>
          </w:tcPr>
          <w:p w14:paraId="2D03E57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164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D4BF7E">
            <w:r>
              <w:rPr>
                <w:rFonts w:hint="eastAsia"/>
              </w:rPr>
              <w:t>受到调查或处罚等措施类型</w:t>
            </w:r>
          </w:p>
        </w:tc>
        <w:tc>
          <w:tcPr>
            <w:tcW w:w="4153" w:type="dxa"/>
            <w:vAlign w:val="center"/>
          </w:tcPr>
          <w:p w14:paraId="471F1CC4">
            <w:pPr>
              <w:rPr>
                <w:rFonts w:hint="eastAsia"/>
              </w:rPr>
            </w:pPr>
            <w:r>
              <w:rPr>
                <w:rFonts w:hint="eastAsia"/>
              </w:rPr>
              <w:t>行政监管措施；
</w:t>
            </w:r>
            <w:r>
              <w:rPr>
                <w:rFonts w:hint="eastAsia"/>
              </w:rPr>
              <w:br w:type="textWrapping"/>
            </w:r>
            <w:r>
              <w:rPr>
                <w:rFonts w:hint="eastAsia"/>
              </w:rPr>
              <w:t>行政处罚</w:t>
            </w:r>
          </w:p>
        </w:tc>
      </w:tr>
      <w:tr w14:paraId="0E9D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19ECF8">
            <w:r>
              <w:rPr>
                <w:rFonts w:hint="eastAsia"/>
              </w:rPr>
              <w:t>受到的具体措施类型</w:t>
            </w:r>
          </w:p>
        </w:tc>
        <w:tc>
          <w:tcPr>
            <w:tcW w:w="4153" w:type="dxa"/>
            <w:vAlign w:val="center"/>
          </w:tcPr>
          <w:p w14:paraId="1594AE33">
            <w:pPr>
              <w:rPr>
                <w:rFonts w:hint="eastAsia"/>
              </w:rPr>
            </w:pPr>
            <w:r>
              <w:rPr>
                <w:rFonts w:hint="eastAsia"/>
              </w:rPr>
              <w:t>责令改正；
</w:t>
            </w:r>
            <w:r>
              <w:rPr>
                <w:rFonts w:hint="eastAsia"/>
              </w:rPr>
              <w:br w:type="textWrapping"/>
            </w:r>
            <w:r>
              <w:rPr>
                <w:rFonts w:hint="eastAsia"/>
              </w:rPr>
              <w:t>警告、罚款</w:t>
            </w:r>
          </w:p>
        </w:tc>
      </w:tr>
      <w:tr w14:paraId="5152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B393E0">
            <w:r>
              <w:rPr>
                <w:rFonts w:hint="eastAsia"/>
              </w:rPr>
              <w:t>受到调查或处罚等措施的原因</w:t>
            </w:r>
          </w:p>
        </w:tc>
        <w:tc>
          <w:tcPr>
            <w:tcW w:w="4153" w:type="dxa"/>
            <w:vAlign w:val="center"/>
          </w:tcPr>
          <w:p w14:paraId="5DFBF94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A79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088CC7">
            <w:r>
              <w:rPr>
                <w:rFonts w:hint="eastAsia"/>
              </w:rPr>
              <w:t>受到处罚的依据</w:t>
            </w:r>
          </w:p>
        </w:tc>
        <w:tc>
          <w:tcPr>
            <w:tcW w:w="4153" w:type="dxa"/>
            <w:vAlign w:val="center"/>
          </w:tcPr>
          <w:p w14:paraId="03BFCE0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864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26302E">
            <w:r>
              <w:rPr>
                <w:rFonts w:hint="eastAsia"/>
              </w:rPr>
              <w:t>管理人采取整改措施的情况</w:t>
            </w:r>
          </w:p>
        </w:tc>
        <w:tc>
          <w:tcPr>
            <w:tcW w:w="4153" w:type="dxa"/>
            <w:vAlign w:val="center"/>
          </w:tcPr>
          <w:p w14:paraId="4BFEAEE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B9A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D8A2E">
            <w:r>
              <w:rPr>
                <w:rFonts w:hint="eastAsia"/>
              </w:rPr>
              <w:t>其他</w:t>
            </w:r>
          </w:p>
        </w:tc>
        <w:tc>
          <w:tcPr>
            <w:tcW w:w="4153" w:type="dxa"/>
            <w:vAlign w:val="center"/>
          </w:tcPr>
          <w:p w14:paraId="639DBEED">
            <w:r>
              <w:rPr>
                <w:rFonts w:hint="eastAsia"/>
              </w:rPr>
              <w:t>-</w:t>
            </w:r>
          </w:p>
        </w:tc>
      </w:tr>
    </w:tbl>
    <w:p w14:paraId="137942C8">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242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6D9F426">
            <w:pPr>
              <w:jc w:val="center"/>
            </w:pPr>
            <w:r>
              <w:rPr>
                <w:rFonts w:hint="eastAsia"/>
                <w:b/>
              </w:rPr>
              <w:t>管理人相关从业人员受调查或处罚等情况</w:t>
            </w:r>
          </w:p>
        </w:tc>
        <w:tc>
          <w:tcPr>
            <w:tcW w:w="4153" w:type="dxa"/>
            <w:shd w:val="clear" w:color="auto" w:fill="BFBFBF"/>
            <w:vAlign w:val="center"/>
          </w:tcPr>
          <w:p w14:paraId="0D526199">
            <w:pPr>
              <w:jc w:val="center"/>
            </w:pPr>
            <w:r>
              <w:rPr>
                <w:rFonts w:hint="eastAsia"/>
                <w:b/>
              </w:rPr>
              <w:t>内容</w:t>
            </w:r>
          </w:p>
        </w:tc>
      </w:tr>
      <w:tr w14:paraId="0EE3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BEE108">
            <w:r>
              <w:rPr>
                <w:rFonts w:hint="eastAsia"/>
              </w:rPr>
              <w:t>受到调查或处罚等措施的主体</w:t>
            </w:r>
          </w:p>
        </w:tc>
        <w:tc>
          <w:tcPr>
            <w:tcW w:w="4153" w:type="dxa"/>
            <w:vAlign w:val="center"/>
          </w:tcPr>
          <w:p w14:paraId="1E263427">
            <w:r>
              <w:rPr>
                <w:rFonts w:hint="eastAsia"/>
              </w:rPr>
              <w:t>高级管理人员</w:t>
            </w:r>
          </w:p>
        </w:tc>
      </w:tr>
      <w:tr w14:paraId="30A7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C830E6">
            <w:r>
              <w:rPr>
                <w:rFonts w:hint="eastAsia"/>
              </w:rPr>
              <w:t>受到调查或处罚等措施的时间</w:t>
            </w:r>
          </w:p>
        </w:tc>
        <w:tc>
          <w:tcPr>
            <w:tcW w:w="4153" w:type="dxa"/>
            <w:vAlign w:val="center"/>
          </w:tcPr>
          <w:p w14:paraId="0BD358DB">
            <w:r>
              <w:rPr>
                <w:rFonts w:hint="eastAsia"/>
              </w:rPr>
              <w:t>2025-10-17</w:t>
            </w:r>
          </w:p>
        </w:tc>
      </w:tr>
      <w:tr w14:paraId="3507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74291A">
            <w:r>
              <w:rPr>
                <w:rFonts w:hint="eastAsia"/>
              </w:rPr>
              <w:t>采取调查或处罚等措施的机构</w:t>
            </w:r>
          </w:p>
        </w:tc>
        <w:tc>
          <w:tcPr>
            <w:tcW w:w="4153" w:type="dxa"/>
            <w:vAlign w:val="center"/>
          </w:tcPr>
          <w:p w14:paraId="194D179A">
            <w:r>
              <w:rPr>
                <w:rFonts w:hint="eastAsia"/>
              </w:rPr>
              <w:t>中国证监会深圳监管局</w:t>
            </w:r>
          </w:p>
        </w:tc>
      </w:tr>
      <w:tr w14:paraId="7497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1C6AFC">
            <w:r>
              <w:rPr>
                <w:rFonts w:hint="eastAsia"/>
              </w:rPr>
              <w:t>受到调查或处罚等措施类型</w:t>
            </w:r>
          </w:p>
        </w:tc>
        <w:tc>
          <w:tcPr>
            <w:tcW w:w="4153" w:type="dxa"/>
            <w:vAlign w:val="center"/>
          </w:tcPr>
          <w:p w14:paraId="472804FE">
            <w:r>
              <w:rPr>
                <w:rFonts w:hint="eastAsia"/>
              </w:rPr>
              <w:t>行政监管措施</w:t>
            </w:r>
          </w:p>
        </w:tc>
      </w:tr>
      <w:tr w14:paraId="154B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15B7CF">
            <w:r>
              <w:rPr>
                <w:rFonts w:hint="eastAsia"/>
              </w:rPr>
              <w:t>受到的具体措施类型</w:t>
            </w:r>
          </w:p>
        </w:tc>
        <w:tc>
          <w:tcPr>
            <w:tcW w:w="4153" w:type="dxa"/>
            <w:vAlign w:val="center"/>
          </w:tcPr>
          <w:p w14:paraId="467DFEAF">
            <w:r>
              <w:rPr>
                <w:rFonts w:hint="eastAsia"/>
              </w:rPr>
              <w:t>出具警示函</w:t>
            </w:r>
          </w:p>
        </w:tc>
      </w:tr>
      <w:tr w14:paraId="2BDA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111ABA">
            <w:r>
              <w:rPr>
                <w:rFonts w:hint="eastAsia"/>
              </w:rPr>
              <w:t>受到调查或处罚等措施的原因</w:t>
            </w:r>
          </w:p>
        </w:tc>
        <w:tc>
          <w:tcPr>
            <w:tcW w:w="4153" w:type="dxa"/>
            <w:vAlign w:val="center"/>
          </w:tcPr>
          <w:p w14:paraId="0379D3F2">
            <w:r>
              <w:rPr>
                <w:rFonts w:hint="eastAsia"/>
              </w:rPr>
              <w:t>人员管理、其他问题(销售管理)</w:t>
            </w:r>
          </w:p>
        </w:tc>
      </w:tr>
      <w:tr w14:paraId="2A37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4372B4">
            <w:r>
              <w:rPr>
                <w:rFonts w:hint="eastAsia"/>
              </w:rPr>
              <w:t>受到处罚的依据</w:t>
            </w:r>
          </w:p>
        </w:tc>
        <w:tc>
          <w:tcPr>
            <w:tcW w:w="4153" w:type="dxa"/>
            <w:vAlign w:val="center"/>
          </w:tcPr>
          <w:p w14:paraId="3827A9E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2C6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2D5C21">
            <w:r>
              <w:rPr>
                <w:rFonts w:hint="eastAsia"/>
              </w:rPr>
              <w:t>管理人采取整改措施的情况（如提出整改意见）</w:t>
            </w:r>
          </w:p>
        </w:tc>
        <w:tc>
          <w:tcPr>
            <w:tcW w:w="4153" w:type="dxa"/>
            <w:vAlign w:val="center"/>
          </w:tcPr>
          <w:p w14:paraId="4BC7A88E">
            <w:r>
              <w:rPr>
                <w:rFonts w:hint="eastAsia"/>
              </w:rPr>
              <w:t>截至报告期末公司已通过完善制度、优化流程等整改措施完成整改，整改成果已经中国证监会深圳监管局验收通过</w:t>
            </w:r>
          </w:p>
        </w:tc>
      </w:tr>
      <w:tr w14:paraId="5D36A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482DEB">
            <w:r>
              <w:rPr>
                <w:rFonts w:hint="eastAsia"/>
              </w:rPr>
              <w:t>其他</w:t>
            </w:r>
          </w:p>
        </w:tc>
        <w:tc>
          <w:tcPr>
            <w:tcW w:w="4153" w:type="dxa"/>
            <w:vAlign w:val="center"/>
          </w:tcPr>
          <w:p w14:paraId="6EA17C1E">
            <w:pPr>
              <w:jc w:val="right"/>
            </w:pPr>
            <w:r>
              <w:rPr>
                <w:rFonts w:hint="eastAsia"/>
              </w:rPr>
              <w:t>-</w:t>
            </w:r>
          </w:p>
        </w:tc>
      </w:tr>
    </w:tbl>
    <w:p w14:paraId="3A43CED5">
      <w:pPr>
        <w:pStyle w:val="28"/>
      </w:pPr>
      <w:bookmarkStart w:id="200" w:name="_Toc200"/>
      <w:r>
        <w:t>托管人受调查或处罚等情况</w:t>
      </w:r>
      <w:bookmarkEnd w:id="200"/>
    </w:p>
    <w:p w14:paraId="503579EF">
      <w:pPr>
        <w:pStyle w:val="18"/>
        <w:rPr>
          <w:rFonts w:hint="eastAsia"/>
        </w:rPr>
      </w:pPr>
      <w:r>
        <w:rPr>
          <w:rFonts w:hint="eastAsia"/>
        </w:rPr>
        <w:t>无。</w:t>
      </w:r>
    </w:p>
    <w:p w14:paraId="33796550">
      <w:pPr>
        <w:pStyle w:val="28"/>
      </w:pPr>
      <w:bookmarkStart w:id="201" w:name="_Toc201"/>
      <w:r>
        <w:t>托管人相关从业人员受调查或处罚等情况</w:t>
      </w:r>
      <w:bookmarkEnd w:id="201"/>
    </w:p>
    <w:p w14:paraId="42A7389E">
      <w:pPr>
        <w:pStyle w:val="18"/>
        <w:rPr>
          <w:rFonts w:hint="eastAsia"/>
        </w:rPr>
      </w:pPr>
      <w:r>
        <w:rPr>
          <w:rFonts w:hint="eastAsia"/>
        </w:rPr>
        <w:t>无。</w:t>
      </w:r>
    </w:p>
    <w:p w14:paraId="68113487">
      <w:pPr>
        <w:pStyle w:val="23"/>
      </w:pPr>
      <w:bookmarkStart w:id="202" w:name="_Toc11238"/>
      <w:r>
        <w:t>基金租用证券公司交易单元的有关情况</w:t>
      </w:r>
      <w:bookmarkEnd w:id="202"/>
    </w:p>
    <w:p w14:paraId="3D5156BC">
      <w:pPr>
        <w:pStyle w:val="28"/>
      </w:pPr>
      <w:bookmarkStart w:id="203" w:name="_Toc203"/>
      <w:r>
        <w:t>基金租用证券公司交易单元进行股票投资及佣金支付情况</w:t>
      </w:r>
      <w:bookmarkEnd w:id="203"/>
    </w:p>
    <w:p w14:paraId="2F3922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CD8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B7A7C02">
            <w:pPr>
              <w:jc w:val="center"/>
            </w:pPr>
            <w:r>
              <w:rPr>
                <w:rFonts w:hint="eastAsia"/>
                <w:b/>
              </w:rPr>
              <w:t>券商名称</w:t>
            </w:r>
          </w:p>
        </w:tc>
        <w:tc>
          <w:tcPr>
            <w:tcW w:w="775" w:type="dxa"/>
            <w:vMerge w:val="restart"/>
            <w:shd w:val="clear" w:color="auto" w:fill="BFBFBF"/>
            <w:vAlign w:val="center"/>
          </w:tcPr>
          <w:p w14:paraId="40CB0414">
            <w:pPr>
              <w:jc w:val="center"/>
            </w:pPr>
            <w:r>
              <w:rPr>
                <w:rFonts w:hint="eastAsia"/>
                <w:b/>
              </w:rPr>
              <w:t>交易单元数量</w:t>
            </w:r>
          </w:p>
        </w:tc>
        <w:tc>
          <w:tcPr>
            <w:tcW w:w="1699" w:type="dxa"/>
            <w:gridSpan w:val="2"/>
            <w:shd w:val="clear" w:color="auto" w:fill="BFBFBF"/>
            <w:vAlign w:val="center"/>
          </w:tcPr>
          <w:p w14:paraId="71D4C08D">
            <w:pPr>
              <w:jc w:val="center"/>
            </w:pPr>
            <w:r>
              <w:rPr>
                <w:rFonts w:hint="eastAsia"/>
                <w:b/>
              </w:rPr>
              <w:t>股票交易</w:t>
            </w:r>
          </w:p>
        </w:tc>
        <w:tc>
          <w:tcPr>
            <w:tcW w:w="1312" w:type="dxa"/>
            <w:gridSpan w:val="2"/>
            <w:shd w:val="clear" w:color="auto" w:fill="BFBFBF"/>
            <w:vAlign w:val="center"/>
          </w:tcPr>
          <w:p w14:paraId="712ED550">
            <w:pPr>
              <w:jc w:val="center"/>
            </w:pPr>
            <w:r>
              <w:rPr>
                <w:rFonts w:hint="eastAsia"/>
                <w:b/>
              </w:rPr>
              <w:t>应支付该券商的佣金</w:t>
            </w:r>
          </w:p>
        </w:tc>
        <w:tc>
          <w:tcPr>
            <w:tcW w:w="946" w:type="dxa"/>
            <w:vMerge w:val="restart"/>
            <w:shd w:val="clear" w:color="auto" w:fill="BFBFBF"/>
            <w:vAlign w:val="center"/>
          </w:tcPr>
          <w:p w14:paraId="627512FC">
            <w:pPr>
              <w:jc w:val="center"/>
            </w:pPr>
            <w:r>
              <w:rPr>
                <w:rFonts w:hint="eastAsia"/>
                <w:b/>
              </w:rPr>
              <w:t>备注</w:t>
            </w:r>
          </w:p>
        </w:tc>
      </w:tr>
      <w:tr w14:paraId="7637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155B428"/>
        </w:tc>
        <w:tc>
          <w:tcPr>
            <w:tcW w:w="775" w:type="dxa"/>
            <w:vMerge w:val="continue"/>
            <w:vAlign w:val="center"/>
          </w:tcPr>
          <w:p w14:paraId="64CDFF04"/>
        </w:tc>
        <w:tc>
          <w:tcPr>
            <w:tcW w:w="1699" w:type="dxa"/>
            <w:shd w:val="clear" w:color="auto" w:fill="BFBFBF"/>
            <w:vAlign w:val="center"/>
          </w:tcPr>
          <w:p w14:paraId="40A3111C">
            <w:pPr>
              <w:jc w:val="center"/>
            </w:pPr>
            <w:r>
              <w:rPr>
                <w:rFonts w:hint="eastAsia"/>
                <w:b/>
              </w:rPr>
              <w:t>成交金额</w:t>
            </w:r>
          </w:p>
        </w:tc>
        <w:tc>
          <w:tcPr>
            <w:tcW w:w="1201" w:type="dxa"/>
            <w:shd w:val="clear" w:color="auto" w:fill="BFBFBF"/>
            <w:vAlign w:val="center"/>
          </w:tcPr>
          <w:p w14:paraId="2C5819A3">
            <w:pPr>
              <w:jc w:val="center"/>
            </w:pPr>
            <w:r>
              <w:rPr>
                <w:rFonts w:hint="eastAsia"/>
                <w:b/>
              </w:rPr>
              <w:t>占当期股票成交总额的比例</w:t>
            </w:r>
          </w:p>
        </w:tc>
        <w:tc>
          <w:tcPr>
            <w:tcW w:w="1312" w:type="dxa"/>
            <w:shd w:val="clear" w:color="auto" w:fill="BFBFBF"/>
            <w:vAlign w:val="center"/>
          </w:tcPr>
          <w:p w14:paraId="4CC2F4D3">
            <w:pPr>
              <w:jc w:val="center"/>
            </w:pPr>
            <w:r>
              <w:rPr>
                <w:rFonts w:hint="eastAsia"/>
                <w:b/>
              </w:rPr>
              <w:t>佣金</w:t>
            </w:r>
          </w:p>
        </w:tc>
        <w:tc>
          <w:tcPr>
            <w:tcW w:w="1256" w:type="dxa"/>
            <w:shd w:val="clear" w:color="auto" w:fill="BFBFBF"/>
            <w:vAlign w:val="center"/>
          </w:tcPr>
          <w:p w14:paraId="7D6D6D76">
            <w:pPr>
              <w:jc w:val="center"/>
            </w:pPr>
            <w:r>
              <w:rPr>
                <w:rFonts w:hint="eastAsia"/>
                <w:b/>
              </w:rPr>
              <w:t>占当期佣金总量的比例</w:t>
            </w:r>
          </w:p>
        </w:tc>
        <w:tc>
          <w:tcPr>
            <w:tcW w:w="946" w:type="dxa"/>
            <w:vMerge w:val="continue"/>
            <w:vAlign w:val="center"/>
          </w:tcPr>
          <w:p w14:paraId="0F95C093"/>
        </w:tc>
      </w:tr>
      <w:tr w14:paraId="57F5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973654">
            <w:r>
              <w:rPr>
                <w:rFonts w:hint="eastAsia"/>
              </w:rPr>
              <w:t>招商证券</w:t>
            </w:r>
          </w:p>
        </w:tc>
        <w:tc>
          <w:tcPr>
            <w:tcW w:w="775" w:type="dxa"/>
            <w:vAlign w:val="center"/>
          </w:tcPr>
          <w:p w14:paraId="45BFE362">
            <w:pPr>
              <w:jc w:val="right"/>
            </w:pPr>
            <w:r>
              <w:rPr>
                <w:rFonts w:hint="eastAsia"/>
              </w:rPr>
              <w:t>3</w:t>
            </w:r>
          </w:p>
        </w:tc>
        <w:tc>
          <w:tcPr>
            <w:tcW w:w="1699" w:type="dxa"/>
            <w:vAlign w:val="center"/>
          </w:tcPr>
          <w:p w14:paraId="778B6852">
            <w:pPr>
              <w:jc w:val="right"/>
            </w:pPr>
            <w:r>
              <w:rPr>
                <w:rFonts w:hint="eastAsia"/>
              </w:rPr>
              <w:t>1,879,191.00</w:t>
            </w:r>
          </w:p>
        </w:tc>
        <w:tc>
          <w:tcPr>
            <w:tcW w:w="1201" w:type="dxa"/>
            <w:vAlign w:val="center"/>
          </w:tcPr>
          <w:p w14:paraId="67353E2B">
            <w:pPr>
              <w:jc w:val="right"/>
            </w:pPr>
            <w:r>
              <w:rPr>
                <w:rFonts w:hint="eastAsia"/>
              </w:rPr>
              <w:t>100.00%</w:t>
            </w:r>
          </w:p>
        </w:tc>
        <w:tc>
          <w:tcPr>
            <w:tcW w:w="1312" w:type="dxa"/>
            <w:vAlign w:val="center"/>
          </w:tcPr>
          <w:p w14:paraId="59DFF626">
            <w:pPr>
              <w:jc w:val="right"/>
            </w:pPr>
            <w:r>
              <w:rPr>
                <w:rFonts w:hint="eastAsia"/>
              </w:rPr>
              <w:t>187.79</w:t>
            </w:r>
          </w:p>
        </w:tc>
        <w:tc>
          <w:tcPr>
            <w:tcW w:w="1256" w:type="dxa"/>
            <w:vAlign w:val="center"/>
          </w:tcPr>
          <w:p w14:paraId="14758126">
            <w:pPr>
              <w:jc w:val="right"/>
            </w:pPr>
            <w:r>
              <w:rPr>
                <w:rFonts w:hint="eastAsia"/>
              </w:rPr>
              <w:t>100.00%</w:t>
            </w:r>
          </w:p>
        </w:tc>
        <w:tc>
          <w:tcPr>
            <w:tcW w:w="946" w:type="dxa"/>
            <w:vAlign w:val="center"/>
          </w:tcPr>
          <w:p w14:paraId="1AE9E013">
            <w:pPr>
              <w:jc w:val="right"/>
            </w:pPr>
            <w:r>
              <w:rPr>
                <w:rFonts w:hint="eastAsia"/>
              </w:rPr>
              <w:t>-</w:t>
            </w:r>
          </w:p>
        </w:tc>
      </w:tr>
    </w:tbl>
    <w:p w14:paraId="2540079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348E475">
      <w:pPr>
        <w:pStyle w:val="47"/>
        <w:rPr>
          <w:rFonts w:hint="eastAsia"/>
        </w:rPr>
      </w:pPr>
      <w:r>
        <w:tab/>
      </w:r>
      <w:r>
        <w:rPr>
          <w:rFonts w:hint="eastAsia"/>
        </w:rPr>
        <w:t>1、选择标准</w:t>
      </w:r>
    </w:p>
    <w:p w14:paraId="21EDAC5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913474F">
      <w:pPr>
        <w:pStyle w:val="47"/>
        <w:rPr>
          <w:rFonts w:hint="eastAsia"/>
        </w:rPr>
      </w:pPr>
      <w:r>
        <w:tab/>
      </w:r>
      <w:r>
        <w:rPr>
          <w:rFonts w:hint="eastAsia"/>
        </w:rPr>
        <w:t>2、选择程序</w:t>
      </w:r>
    </w:p>
    <w:p w14:paraId="27F146A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3D6ABD4">
      <w:pPr>
        <w:pStyle w:val="47"/>
        <w:rPr>
          <w:rFonts w:hint="eastAsia"/>
        </w:rPr>
      </w:pPr>
      <w:r>
        <w:tab/>
      </w:r>
      <w:r>
        <w:rPr>
          <w:rFonts w:hint="eastAsia"/>
        </w:rPr>
        <w:t>（2）基金管理人根据其建立的服务评价及交易量分配机制，定期对证券公司开展评价后，根据评价结果进行交易量的分配。</w:t>
      </w:r>
    </w:p>
    <w:p w14:paraId="4A7895A2">
      <w:pPr>
        <w:pStyle w:val="47"/>
        <w:rPr>
          <w:rFonts w:hint="eastAsia"/>
        </w:rPr>
      </w:pPr>
      <w:r>
        <w:tab/>
      </w:r>
      <w:r>
        <w:rPr>
          <w:rFonts w:hint="eastAsia"/>
        </w:rPr>
        <w:t>3、报告期内基金租用券商交易单元的变更情况：新增交易单元：招商证券；减少交易单元：无。</w:t>
      </w:r>
    </w:p>
    <w:p w14:paraId="42EEDA20">
      <w:pPr>
        <w:pStyle w:val="28"/>
      </w:pPr>
      <w:bookmarkStart w:id="204" w:name="_Toc204"/>
      <w:r>
        <w:t>基金租用证券公司交易单元进行其他证券投资的情况</w:t>
      </w:r>
      <w:bookmarkEnd w:id="204"/>
    </w:p>
    <w:p w14:paraId="5621C7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CC2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01324FF2">
            <w:pPr>
              <w:jc w:val="center"/>
            </w:pPr>
            <w:r>
              <w:rPr>
                <w:rFonts w:hint="eastAsia"/>
                <w:b/>
              </w:rPr>
              <w:t>券商名称</w:t>
            </w:r>
          </w:p>
        </w:tc>
        <w:tc>
          <w:tcPr>
            <w:tcW w:w="922" w:type="dxa"/>
            <w:gridSpan w:val="2"/>
            <w:shd w:val="clear" w:color="auto" w:fill="BFBFBF"/>
            <w:vAlign w:val="center"/>
          </w:tcPr>
          <w:p w14:paraId="687231FB">
            <w:pPr>
              <w:jc w:val="center"/>
            </w:pPr>
            <w:r>
              <w:rPr>
                <w:rFonts w:hint="eastAsia"/>
                <w:b/>
              </w:rPr>
              <w:t>债券交易</w:t>
            </w:r>
          </w:p>
        </w:tc>
        <w:tc>
          <w:tcPr>
            <w:tcW w:w="922" w:type="dxa"/>
            <w:gridSpan w:val="2"/>
            <w:shd w:val="clear" w:color="auto" w:fill="BFBFBF"/>
            <w:vAlign w:val="center"/>
          </w:tcPr>
          <w:p w14:paraId="0B94260F">
            <w:pPr>
              <w:jc w:val="center"/>
            </w:pPr>
            <w:r>
              <w:rPr>
                <w:rFonts w:hint="eastAsia"/>
                <w:b/>
              </w:rPr>
              <w:t>债券回购交易</w:t>
            </w:r>
          </w:p>
        </w:tc>
        <w:tc>
          <w:tcPr>
            <w:tcW w:w="922" w:type="dxa"/>
            <w:gridSpan w:val="2"/>
            <w:shd w:val="clear" w:color="auto" w:fill="BFBFBF"/>
            <w:vAlign w:val="center"/>
          </w:tcPr>
          <w:p w14:paraId="7E4DC7D5">
            <w:pPr>
              <w:jc w:val="center"/>
            </w:pPr>
            <w:r>
              <w:rPr>
                <w:rFonts w:hint="eastAsia"/>
                <w:b/>
              </w:rPr>
              <w:t>权证交易</w:t>
            </w:r>
          </w:p>
        </w:tc>
        <w:tc>
          <w:tcPr>
            <w:tcW w:w="922" w:type="dxa"/>
            <w:gridSpan w:val="2"/>
            <w:shd w:val="clear" w:color="auto" w:fill="BFBFBF"/>
            <w:vAlign w:val="center"/>
          </w:tcPr>
          <w:p w14:paraId="182E69BF">
            <w:pPr>
              <w:jc w:val="center"/>
            </w:pPr>
            <w:r>
              <w:rPr>
                <w:rFonts w:hint="eastAsia"/>
                <w:b/>
              </w:rPr>
              <w:t>基金交易</w:t>
            </w:r>
          </w:p>
        </w:tc>
      </w:tr>
      <w:tr w14:paraId="2666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6F67DFF2"/>
        </w:tc>
        <w:tc>
          <w:tcPr>
            <w:tcW w:w="922" w:type="dxa"/>
            <w:shd w:val="clear" w:color="auto" w:fill="BFBFBF"/>
            <w:vAlign w:val="center"/>
          </w:tcPr>
          <w:p w14:paraId="52CE953A">
            <w:pPr>
              <w:jc w:val="center"/>
            </w:pPr>
            <w:r>
              <w:rPr>
                <w:rFonts w:hint="eastAsia"/>
                <w:b/>
              </w:rPr>
              <w:t>成交金额</w:t>
            </w:r>
          </w:p>
        </w:tc>
        <w:tc>
          <w:tcPr>
            <w:tcW w:w="922" w:type="dxa"/>
            <w:shd w:val="clear" w:color="auto" w:fill="BFBFBF"/>
            <w:vAlign w:val="center"/>
          </w:tcPr>
          <w:p w14:paraId="676667E1">
            <w:pPr>
              <w:jc w:val="center"/>
            </w:pPr>
            <w:r>
              <w:rPr>
                <w:rFonts w:hint="eastAsia"/>
                <w:b/>
              </w:rPr>
              <w:t>占当期债券成交总额的比例</w:t>
            </w:r>
          </w:p>
        </w:tc>
        <w:tc>
          <w:tcPr>
            <w:tcW w:w="922" w:type="dxa"/>
            <w:shd w:val="clear" w:color="auto" w:fill="BFBFBF"/>
            <w:vAlign w:val="center"/>
          </w:tcPr>
          <w:p w14:paraId="16BFE6DD">
            <w:pPr>
              <w:jc w:val="center"/>
            </w:pPr>
            <w:r>
              <w:rPr>
                <w:rFonts w:hint="eastAsia"/>
                <w:b/>
              </w:rPr>
              <w:t>成交金额</w:t>
            </w:r>
          </w:p>
        </w:tc>
        <w:tc>
          <w:tcPr>
            <w:tcW w:w="922" w:type="dxa"/>
            <w:shd w:val="clear" w:color="auto" w:fill="BFBFBF"/>
            <w:vAlign w:val="center"/>
          </w:tcPr>
          <w:p w14:paraId="1F1EBC85">
            <w:pPr>
              <w:jc w:val="center"/>
            </w:pPr>
            <w:r>
              <w:rPr>
                <w:rFonts w:hint="eastAsia"/>
                <w:b/>
              </w:rPr>
              <w:t>占当期债券回购成交总额的比例</w:t>
            </w:r>
          </w:p>
        </w:tc>
        <w:tc>
          <w:tcPr>
            <w:tcW w:w="922" w:type="dxa"/>
            <w:shd w:val="clear" w:color="auto" w:fill="BFBFBF"/>
            <w:vAlign w:val="center"/>
          </w:tcPr>
          <w:p w14:paraId="741E408A">
            <w:pPr>
              <w:jc w:val="center"/>
            </w:pPr>
            <w:r>
              <w:rPr>
                <w:rFonts w:hint="eastAsia"/>
                <w:b/>
              </w:rPr>
              <w:t>成交金额</w:t>
            </w:r>
          </w:p>
        </w:tc>
        <w:tc>
          <w:tcPr>
            <w:tcW w:w="922" w:type="dxa"/>
            <w:shd w:val="clear" w:color="auto" w:fill="BFBFBF"/>
            <w:vAlign w:val="center"/>
          </w:tcPr>
          <w:p w14:paraId="52BC33AA">
            <w:pPr>
              <w:jc w:val="center"/>
            </w:pPr>
            <w:r>
              <w:rPr>
                <w:rFonts w:hint="eastAsia"/>
                <w:b/>
              </w:rPr>
              <w:t>占当期权证成交总额的比例</w:t>
            </w:r>
          </w:p>
        </w:tc>
        <w:tc>
          <w:tcPr>
            <w:tcW w:w="922" w:type="dxa"/>
            <w:shd w:val="clear" w:color="auto" w:fill="BFBFBF"/>
            <w:vAlign w:val="center"/>
          </w:tcPr>
          <w:p w14:paraId="5F6A5377">
            <w:pPr>
              <w:jc w:val="center"/>
            </w:pPr>
            <w:r>
              <w:rPr>
                <w:rFonts w:hint="eastAsia"/>
                <w:b/>
              </w:rPr>
              <w:t>成交金额</w:t>
            </w:r>
          </w:p>
        </w:tc>
        <w:tc>
          <w:tcPr>
            <w:tcW w:w="922" w:type="dxa"/>
            <w:shd w:val="clear" w:color="auto" w:fill="BFBFBF"/>
            <w:vAlign w:val="center"/>
          </w:tcPr>
          <w:p w14:paraId="1215B788">
            <w:pPr>
              <w:jc w:val="center"/>
            </w:pPr>
            <w:r>
              <w:rPr>
                <w:rFonts w:hint="eastAsia"/>
                <w:b/>
              </w:rPr>
              <w:t>占当期基金成交总额的比例</w:t>
            </w:r>
          </w:p>
        </w:tc>
      </w:tr>
      <w:tr w14:paraId="7F8D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5E5E55">
            <w:r>
              <w:rPr>
                <w:rFonts w:hint="eastAsia"/>
              </w:rPr>
              <w:t>招商证券</w:t>
            </w:r>
          </w:p>
        </w:tc>
        <w:tc>
          <w:tcPr>
            <w:tcW w:w="922" w:type="dxa"/>
            <w:vAlign w:val="center"/>
          </w:tcPr>
          <w:p w14:paraId="66CD3E43">
            <w:pPr>
              <w:jc w:val="right"/>
            </w:pPr>
            <w:r>
              <w:rPr>
                <w:rFonts w:hint="eastAsia"/>
              </w:rPr>
              <w:t>999,860.00</w:t>
            </w:r>
          </w:p>
        </w:tc>
        <w:tc>
          <w:tcPr>
            <w:tcW w:w="922" w:type="dxa"/>
            <w:vAlign w:val="center"/>
          </w:tcPr>
          <w:p w14:paraId="5DF1423A">
            <w:pPr>
              <w:jc w:val="right"/>
            </w:pPr>
            <w:r>
              <w:rPr>
                <w:rFonts w:hint="eastAsia"/>
              </w:rPr>
              <w:t>100.00%</w:t>
            </w:r>
          </w:p>
        </w:tc>
        <w:tc>
          <w:tcPr>
            <w:tcW w:w="922" w:type="dxa"/>
            <w:vAlign w:val="center"/>
          </w:tcPr>
          <w:p w14:paraId="61252A1A">
            <w:pPr>
              <w:jc w:val="right"/>
            </w:pPr>
            <w:r>
              <w:rPr>
                <w:rFonts w:hint="eastAsia"/>
              </w:rPr>
              <w:t>28,728,000,000.00</w:t>
            </w:r>
          </w:p>
        </w:tc>
        <w:tc>
          <w:tcPr>
            <w:tcW w:w="922" w:type="dxa"/>
            <w:vAlign w:val="center"/>
          </w:tcPr>
          <w:p w14:paraId="210F2DB3">
            <w:pPr>
              <w:jc w:val="right"/>
            </w:pPr>
            <w:r>
              <w:rPr>
                <w:rFonts w:hint="eastAsia"/>
              </w:rPr>
              <w:t>100.00%</w:t>
            </w:r>
          </w:p>
        </w:tc>
        <w:tc>
          <w:tcPr>
            <w:tcW w:w="922" w:type="dxa"/>
            <w:vAlign w:val="center"/>
          </w:tcPr>
          <w:p w14:paraId="49987F75">
            <w:pPr>
              <w:jc w:val="right"/>
            </w:pPr>
            <w:r>
              <w:rPr>
                <w:rFonts w:hint="eastAsia"/>
              </w:rPr>
              <w:t>-</w:t>
            </w:r>
          </w:p>
        </w:tc>
        <w:tc>
          <w:tcPr>
            <w:tcW w:w="922" w:type="dxa"/>
            <w:vAlign w:val="center"/>
          </w:tcPr>
          <w:p w14:paraId="02EDD9D4">
            <w:pPr>
              <w:jc w:val="right"/>
            </w:pPr>
            <w:r>
              <w:rPr>
                <w:rFonts w:hint="eastAsia"/>
              </w:rPr>
              <w:t>-</w:t>
            </w:r>
          </w:p>
        </w:tc>
        <w:tc>
          <w:tcPr>
            <w:tcW w:w="922" w:type="dxa"/>
            <w:vAlign w:val="center"/>
          </w:tcPr>
          <w:p w14:paraId="5F69055B">
            <w:pPr>
              <w:jc w:val="right"/>
            </w:pPr>
            <w:r>
              <w:rPr>
                <w:rFonts w:hint="eastAsia"/>
              </w:rPr>
              <w:t>5,769,750,369.10</w:t>
            </w:r>
          </w:p>
        </w:tc>
        <w:tc>
          <w:tcPr>
            <w:tcW w:w="922" w:type="dxa"/>
            <w:vAlign w:val="center"/>
          </w:tcPr>
          <w:p w14:paraId="0297A318">
            <w:pPr>
              <w:jc w:val="right"/>
            </w:pPr>
            <w:r>
              <w:rPr>
                <w:rFonts w:hint="eastAsia"/>
              </w:rPr>
              <w:t>100.00%</w:t>
            </w:r>
          </w:p>
        </w:tc>
      </w:tr>
    </w:tbl>
    <w:p w14:paraId="722D6311">
      <w:pPr>
        <w:pStyle w:val="23"/>
      </w:pPr>
      <w:bookmarkStart w:id="205" w:name="_Toc15660"/>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9EC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shd w:val="clear" w:color="auto" w:fill="BFBFBF"/>
            <w:vAlign w:val="center"/>
          </w:tcPr>
          <w:p w14:paraId="27A0F348">
            <w:pPr>
              <w:jc w:val="center"/>
            </w:pPr>
            <w:r>
              <w:rPr>
                <w:rFonts w:hint="eastAsia"/>
                <w:b/>
              </w:rPr>
              <w:t>序号</w:t>
            </w:r>
          </w:p>
        </w:tc>
        <w:tc>
          <w:tcPr>
            <w:tcW w:w="4319" w:type="dxa"/>
            <w:shd w:val="clear" w:color="auto" w:fill="BFBFBF"/>
            <w:vAlign w:val="center"/>
          </w:tcPr>
          <w:p w14:paraId="5F2DBB5C">
            <w:pPr>
              <w:jc w:val="center"/>
            </w:pPr>
            <w:r>
              <w:rPr>
                <w:rFonts w:hint="eastAsia"/>
                <w:b/>
              </w:rPr>
              <w:t>公告事项</w:t>
            </w:r>
          </w:p>
        </w:tc>
        <w:tc>
          <w:tcPr>
            <w:tcW w:w="2076" w:type="dxa"/>
            <w:shd w:val="clear" w:color="auto" w:fill="BFBFBF"/>
            <w:vAlign w:val="center"/>
          </w:tcPr>
          <w:p w14:paraId="30E93213">
            <w:pPr>
              <w:jc w:val="center"/>
            </w:pPr>
            <w:r>
              <w:rPr>
                <w:rFonts w:hint="eastAsia"/>
                <w:b/>
              </w:rPr>
              <w:t>法定披露方式</w:t>
            </w:r>
          </w:p>
        </w:tc>
        <w:tc>
          <w:tcPr>
            <w:tcW w:w="1218" w:type="dxa"/>
            <w:shd w:val="clear" w:color="auto" w:fill="BFBFBF"/>
            <w:vAlign w:val="center"/>
          </w:tcPr>
          <w:p w14:paraId="1AE68F01">
            <w:pPr>
              <w:jc w:val="center"/>
            </w:pPr>
            <w:r>
              <w:rPr>
                <w:rFonts w:hint="eastAsia"/>
                <w:b/>
              </w:rPr>
              <w:t>法定披露日期</w:t>
            </w:r>
          </w:p>
        </w:tc>
      </w:tr>
      <w:tr w14:paraId="4B96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02AF8D">
            <w:pPr>
              <w:jc w:val="center"/>
            </w:pPr>
            <w:r>
              <w:rPr>
                <w:rFonts w:hint="eastAsia"/>
              </w:rPr>
              <w:t>1</w:t>
            </w:r>
          </w:p>
        </w:tc>
        <w:tc>
          <w:tcPr>
            <w:tcW w:w="4319" w:type="dxa"/>
            <w:vAlign w:val="center"/>
          </w:tcPr>
          <w:p w14:paraId="12035F36">
            <w:r>
              <w:rPr>
                <w:rFonts w:hint="eastAsia"/>
              </w:rPr>
              <w:t>南方创业板人工智能交易型开放式指数证券投资基金联接基金基金合同及招募说明书提示性公告</w:t>
            </w:r>
          </w:p>
        </w:tc>
        <w:tc>
          <w:tcPr>
            <w:tcW w:w="2076" w:type="dxa"/>
            <w:vAlign w:val="center"/>
          </w:tcPr>
          <w:p w14:paraId="2AF66081">
            <w:r>
              <w:rPr>
                <w:rFonts w:hint="eastAsia"/>
              </w:rPr>
              <w:t>上海证券报、基金管理人网站、中国证监会基金电子披露网站</w:t>
            </w:r>
          </w:p>
        </w:tc>
        <w:tc>
          <w:tcPr>
            <w:tcW w:w="1218" w:type="dxa"/>
            <w:vAlign w:val="center"/>
          </w:tcPr>
          <w:p w14:paraId="5F6B0C06">
            <w:r>
              <w:rPr>
                <w:rFonts w:hint="eastAsia"/>
              </w:rPr>
              <w:t>2025-09-27</w:t>
            </w:r>
          </w:p>
        </w:tc>
      </w:tr>
      <w:tr w14:paraId="6D01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ED45C2">
            <w:pPr>
              <w:jc w:val="center"/>
            </w:pPr>
            <w:r>
              <w:rPr>
                <w:rFonts w:hint="eastAsia"/>
              </w:rPr>
              <w:t>2</w:t>
            </w:r>
          </w:p>
        </w:tc>
        <w:tc>
          <w:tcPr>
            <w:tcW w:w="4319" w:type="dxa"/>
            <w:vAlign w:val="center"/>
          </w:tcPr>
          <w:p w14:paraId="6D234B75">
            <w:r>
              <w:rPr>
                <w:rFonts w:hint="eastAsia"/>
              </w:rPr>
              <w:t>关于南方创业板人工智能交易型开放式指数证券投资基金联接基金基金份额发售时间的提示性公告</w:t>
            </w:r>
          </w:p>
        </w:tc>
        <w:tc>
          <w:tcPr>
            <w:tcW w:w="2076" w:type="dxa"/>
            <w:vAlign w:val="center"/>
          </w:tcPr>
          <w:p w14:paraId="75B971D4">
            <w:r>
              <w:rPr>
                <w:rFonts w:hint="eastAsia"/>
              </w:rPr>
              <w:t>上海证券报、基金管理人网站、中国证监会基金电子披露网站</w:t>
            </w:r>
          </w:p>
        </w:tc>
        <w:tc>
          <w:tcPr>
            <w:tcW w:w="1218" w:type="dxa"/>
            <w:vAlign w:val="center"/>
          </w:tcPr>
          <w:p w14:paraId="1C7E4238">
            <w:r>
              <w:rPr>
                <w:rFonts w:hint="eastAsia"/>
              </w:rPr>
              <w:t>2025-10-23</w:t>
            </w:r>
          </w:p>
        </w:tc>
      </w:tr>
      <w:tr w14:paraId="14A5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0C3F55">
            <w:pPr>
              <w:jc w:val="center"/>
            </w:pPr>
            <w:r>
              <w:rPr>
                <w:rFonts w:hint="eastAsia"/>
              </w:rPr>
              <w:t>3</w:t>
            </w:r>
          </w:p>
        </w:tc>
        <w:tc>
          <w:tcPr>
            <w:tcW w:w="4319" w:type="dxa"/>
            <w:vAlign w:val="center"/>
          </w:tcPr>
          <w:p w14:paraId="66A17549">
            <w:r>
              <w:rPr>
                <w:rFonts w:hint="eastAsia"/>
              </w:rPr>
              <w:t>南方创业板人工智能交易型开放式指数证券投资基金联接基金开放日常申购、赎回、转换及定投业务的公告</w:t>
            </w:r>
          </w:p>
        </w:tc>
        <w:tc>
          <w:tcPr>
            <w:tcW w:w="2076" w:type="dxa"/>
            <w:vAlign w:val="center"/>
          </w:tcPr>
          <w:p w14:paraId="0E759230">
            <w:r>
              <w:rPr>
                <w:rFonts w:hint="eastAsia"/>
              </w:rPr>
              <w:t>上海证券报、基金管理人网站、中国证监会基金电子披露网站</w:t>
            </w:r>
          </w:p>
        </w:tc>
        <w:tc>
          <w:tcPr>
            <w:tcW w:w="1218" w:type="dxa"/>
            <w:vAlign w:val="center"/>
          </w:tcPr>
          <w:p w14:paraId="54D19F16">
            <w:r>
              <w:rPr>
                <w:rFonts w:hint="eastAsia"/>
              </w:rPr>
              <w:t>2025-11-12</w:t>
            </w:r>
          </w:p>
        </w:tc>
      </w:tr>
    </w:tbl>
    <w:p w14:paraId="7963DEAB">
      <w:pPr>
        <w:pStyle w:val="26"/>
      </w:pPr>
      <w:bookmarkStart w:id="206" w:name="_Toc15324"/>
      <w:r>
        <w:t>影响投资者决策的其他重要信息</w:t>
      </w:r>
      <w:bookmarkEnd w:id="206"/>
    </w:p>
    <w:p w14:paraId="45510F05">
      <w:pPr>
        <w:pStyle w:val="23"/>
      </w:pPr>
      <w:bookmarkStart w:id="207" w:name="_Toc30393"/>
      <w:r>
        <w:t>报告期内单一投资者持有基金份额比例达到或超过20%的情况</w:t>
      </w:r>
      <w:bookmarkEnd w:id="207"/>
    </w:p>
    <w:p w14:paraId="7F616FE8">
      <w:pPr>
        <w:pStyle w:val="18"/>
        <w:rPr>
          <w:rFonts w:hint="eastAsia"/>
        </w:rPr>
      </w:pPr>
      <w:r>
        <w:rPr>
          <w:rFonts w:hint="eastAsia"/>
        </w:rPr>
        <w:t>报告期内单一投资者持有基金份额比例不存在达到或超过20%的情况。</w:t>
      </w:r>
    </w:p>
    <w:p w14:paraId="53D3359A">
      <w:pPr>
        <w:pStyle w:val="23"/>
      </w:pPr>
      <w:bookmarkStart w:id="208" w:name="_Toc30217"/>
      <w:r>
        <w:t>影响投资者决策的其他重要信息</w:t>
      </w:r>
      <w:bookmarkEnd w:id="208"/>
    </w:p>
    <w:p w14:paraId="51C21F51">
      <w:pPr>
        <w:pStyle w:val="18"/>
        <w:rPr>
          <w:rFonts w:hint="eastAsia"/>
        </w:rPr>
      </w:pPr>
      <w:r>
        <w:rPr>
          <w:rFonts w:hint="eastAsia"/>
        </w:rPr>
        <w:t>无。</w:t>
      </w:r>
    </w:p>
    <w:p w14:paraId="0F142C6A">
      <w:pPr>
        <w:pStyle w:val="26"/>
      </w:pPr>
      <w:bookmarkStart w:id="209" w:name="_Toc10832"/>
      <w:r>
        <w:t>备查文件目录</w:t>
      </w:r>
      <w:bookmarkEnd w:id="209"/>
    </w:p>
    <w:p w14:paraId="098038C3">
      <w:pPr>
        <w:pStyle w:val="23"/>
      </w:pPr>
      <w:bookmarkStart w:id="210" w:name="_Toc28930"/>
      <w:r>
        <w:t>备查文件目录</w:t>
      </w:r>
      <w:bookmarkEnd w:id="210"/>
    </w:p>
    <w:p w14:paraId="29539FFF">
      <w:pPr>
        <w:pStyle w:val="18"/>
        <w:rPr>
          <w:rFonts w:hint="eastAsia"/>
        </w:rPr>
      </w:pPr>
      <w:r>
        <w:rPr>
          <w:rFonts w:hint="eastAsia"/>
        </w:rPr>
        <w:t>1、中国证监会批准设立南方创业板人工智能交易型开放式指数证券投资基金联接基金的文件；</w:t>
      </w:r>
    </w:p>
    <w:p w14:paraId="67286BA6">
      <w:pPr>
        <w:pStyle w:val="18"/>
        <w:rPr>
          <w:rFonts w:hint="eastAsia"/>
        </w:rPr>
      </w:pPr>
      <w:r>
        <w:rPr>
          <w:rFonts w:hint="eastAsia"/>
        </w:rPr>
        <w:t>2、《南方创业板人工智能交易型开放式指数证券投资基金联接基金基金合同》；</w:t>
      </w:r>
    </w:p>
    <w:p w14:paraId="1FFC46C4">
      <w:pPr>
        <w:pStyle w:val="18"/>
        <w:rPr>
          <w:rFonts w:hint="eastAsia"/>
        </w:rPr>
      </w:pPr>
      <w:r>
        <w:rPr>
          <w:rFonts w:hint="eastAsia"/>
        </w:rPr>
        <w:t>3、《南方创业板人工智能交易型开放式指数证券投资基金联接基金托管协议》；</w:t>
      </w:r>
    </w:p>
    <w:p w14:paraId="7B7702AC">
      <w:pPr>
        <w:pStyle w:val="18"/>
        <w:rPr>
          <w:rFonts w:hint="eastAsia"/>
        </w:rPr>
      </w:pPr>
      <w:r>
        <w:rPr>
          <w:rFonts w:hint="eastAsia"/>
        </w:rPr>
        <w:t>4、基金管理人业务资格批件、营业执照；</w:t>
      </w:r>
    </w:p>
    <w:p w14:paraId="2AFCEE9E">
      <w:pPr>
        <w:pStyle w:val="18"/>
        <w:rPr>
          <w:rFonts w:hint="eastAsia"/>
        </w:rPr>
      </w:pPr>
      <w:r>
        <w:rPr>
          <w:rFonts w:hint="eastAsia"/>
        </w:rPr>
        <w:t>5、报告期内在选定报刊上披露的各项公告；</w:t>
      </w:r>
    </w:p>
    <w:p w14:paraId="2FF59221">
      <w:pPr>
        <w:pStyle w:val="18"/>
        <w:rPr>
          <w:rFonts w:hint="eastAsia"/>
        </w:rPr>
      </w:pPr>
      <w:r>
        <w:rPr>
          <w:rFonts w:hint="eastAsia"/>
        </w:rPr>
        <w:t>6、《南方创业板人工智能交易型开放式指数证券投资基金联接基金2025年年度报告》原文。</w:t>
      </w:r>
    </w:p>
    <w:p w14:paraId="24BBDD65">
      <w:pPr>
        <w:pStyle w:val="23"/>
      </w:pPr>
      <w:bookmarkStart w:id="211" w:name="_Toc17355"/>
      <w:r>
        <w:t>存放地点</w:t>
      </w:r>
      <w:bookmarkEnd w:id="211"/>
    </w:p>
    <w:p w14:paraId="04EF8941">
      <w:pPr>
        <w:pStyle w:val="18"/>
        <w:rPr>
          <w:rFonts w:hint="eastAsia"/>
        </w:rPr>
      </w:pPr>
      <w:r>
        <w:rPr>
          <w:rFonts w:hint="eastAsia"/>
        </w:rPr>
        <w:t>深圳市福田区莲花街道益田路5999号基金大厦32-42楼。</w:t>
      </w:r>
    </w:p>
    <w:p w14:paraId="7CF92957">
      <w:pPr>
        <w:pStyle w:val="23"/>
      </w:pPr>
      <w:bookmarkStart w:id="212" w:name="_Toc8834"/>
      <w:r>
        <w:t>查阅方式</w:t>
      </w:r>
      <w:bookmarkEnd w:id="212"/>
    </w:p>
    <w:p w14:paraId="580F95E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212E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76475">
    <w:pPr>
      <w:pStyle w:val="7"/>
      <w:pBdr>
        <w:bottom w:val="single" w:color="auto" w:sz="4" w:space="1"/>
      </w:pBdr>
      <w:jc w:val="right"/>
    </w:pPr>
    <w:r>
      <w:t>南方创业板人工智能交易型开放式指数证券投资基金联接基金2025年年度报告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1DFB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F0C3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2026-03-28T02:15:29Z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3D4D10AC800D452C998C15D72B788D8A_12</vt:lpwstr>
  </property>
</Properties>
</file>