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90695">
      <w:pPr>
        <w:pStyle w:val="18"/>
        <w:ind w:firstLine="420"/>
      </w:pPr>
      <w:bookmarkStart w:id="204" w:name="_GoBack"/>
      <w:bookmarkEnd w:id="204"/>
    </w:p>
    <w:p w14:paraId="4BFFFD53">
      <w:pPr>
        <w:jc w:val="center"/>
        <w:rPr>
          <w:rFonts w:ascii="宋体" w:hAnsi="宋体"/>
          <w:b/>
          <w:bCs/>
          <w:sz w:val="28"/>
          <w:szCs w:val="30"/>
        </w:rPr>
      </w:pPr>
    </w:p>
    <w:p w14:paraId="5B8AD357">
      <w:pPr>
        <w:jc w:val="center"/>
        <w:rPr>
          <w:rFonts w:ascii="宋体" w:hAnsi="宋体"/>
          <w:b/>
          <w:bCs/>
          <w:sz w:val="48"/>
          <w:szCs w:val="30"/>
        </w:rPr>
      </w:pPr>
      <w:r>
        <w:rPr>
          <w:rFonts w:ascii="宋体" w:hAnsi="宋体"/>
          <w:b/>
          <w:bCs/>
          <w:sz w:val="48"/>
          <w:szCs w:val="30"/>
        </w:rPr>
        <w:t>南方稳航120天滚动持有债券型证券投资基金2025年年度报告</w:t>
      </w:r>
    </w:p>
    <w:p w14:paraId="52ED87E1">
      <w:pPr>
        <w:jc w:val="center"/>
        <w:rPr>
          <w:rFonts w:ascii="宋体" w:hAnsi="宋体"/>
          <w:b/>
          <w:bCs/>
          <w:sz w:val="48"/>
          <w:szCs w:val="30"/>
        </w:rPr>
      </w:pPr>
      <w:bookmarkStart w:id="0" w:name="OLE_LINK1"/>
      <w:bookmarkStart w:id="1" w:name="OLE_LINK2"/>
    </w:p>
    <w:p w14:paraId="66D62529">
      <w:pPr>
        <w:jc w:val="center"/>
        <w:rPr>
          <w:rFonts w:ascii="宋体" w:hAnsi="宋体"/>
          <w:b/>
          <w:bCs/>
          <w:sz w:val="28"/>
          <w:szCs w:val="30"/>
        </w:rPr>
      </w:pPr>
    </w:p>
    <w:bookmarkEnd w:id="0"/>
    <w:bookmarkEnd w:id="1"/>
    <w:p w14:paraId="5D65798A">
      <w:pPr>
        <w:jc w:val="center"/>
        <w:rPr>
          <w:rFonts w:ascii="宋体" w:hAnsi="宋体"/>
          <w:b/>
          <w:bCs/>
          <w:sz w:val="28"/>
          <w:szCs w:val="30"/>
        </w:rPr>
      </w:pPr>
      <w:r>
        <w:rPr>
          <w:rFonts w:ascii="宋体" w:hAnsi="宋体"/>
          <w:b/>
          <w:bCs/>
          <w:sz w:val="28"/>
          <w:szCs w:val="30"/>
        </w:rPr>
        <w:t>2025年12月31日</w:t>
      </w:r>
    </w:p>
    <w:p w14:paraId="5D2B6E6C">
      <w:pPr>
        <w:jc w:val="center"/>
        <w:rPr>
          <w:rFonts w:ascii="宋体" w:hAnsi="宋体"/>
          <w:sz w:val="28"/>
          <w:szCs w:val="30"/>
        </w:rPr>
      </w:pPr>
    </w:p>
    <w:p w14:paraId="32B5F41B">
      <w:pPr>
        <w:jc w:val="center"/>
        <w:rPr>
          <w:rFonts w:ascii="宋体" w:hAnsi="宋体"/>
          <w:sz w:val="28"/>
          <w:szCs w:val="30"/>
        </w:rPr>
      </w:pPr>
    </w:p>
    <w:p w14:paraId="0C1BF133">
      <w:pPr>
        <w:jc w:val="center"/>
        <w:rPr>
          <w:rFonts w:ascii="宋体" w:hAnsi="宋体"/>
          <w:sz w:val="28"/>
          <w:szCs w:val="30"/>
        </w:rPr>
      </w:pPr>
    </w:p>
    <w:p w14:paraId="6E223448">
      <w:pPr>
        <w:jc w:val="center"/>
        <w:rPr>
          <w:rFonts w:ascii="宋体" w:hAnsi="宋体"/>
          <w:sz w:val="28"/>
          <w:szCs w:val="30"/>
        </w:rPr>
      </w:pPr>
    </w:p>
    <w:p w14:paraId="09FDB994">
      <w:pPr>
        <w:jc w:val="center"/>
        <w:rPr>
          <w:rFonts w:ascii="宋体" w:hAnsi="宋体"/>
          <w:sz w:val="28"/>
          <w:szCs w:val="30"/>
        </w:rPr>
      </w:pPr>
    </w:p>
    <w:p w14:paraId="422B8A80">
      <w:pPr>
        <w:jc w:val="center"/>
        <w:rPr>
          <w:rFonts w:ascii="宋体" w:hAnsi="宋体"/>
          <w:sz w:val="28"/>
          <w:szCs w:val="30"/>
        </w:rPr>
      </w:pPr>
    </w:p>
    <w:p w14:paraId="2A9B2F46">
      <w:pPr>
        <w:jc w:val="center"/>
        <w:rPr>
          <w:rFonts w:ascii="宋体" w:hAnsi="宋体"/>
          <w:sz w:val="28"/>
          <w:szCs w:val="30"/>
        </w:rPr>
      </w:pPr>
    </w:p>
    <w:p w14:paraId="0B75068D">
      <w:pPr>
        <w:jc w:val="center"/>
        <w:rPr>
          <w:rFonts w:ascii="宋体" w:hAnsi="宋体"/>
          <w:sz w:val="28"/>
          <w:szCs w:val="30"/>
        </w:rPr>
      </w:pPr>
    </w:p>
    <w:p w14:paraId="18F85FA8">
      <w:pPr>
        <w:jc w:val="center"/>
        <w:rPr>
          <w:rFonts w:ascii="宋体" w:hAnsi="宋体"/>
          <w:sz w:val="28"/>
          <w:szCs w:val="30"/>
        </w:rPr>
      </w:pPr>
    </w:p>
    <w:p w14:paraId="0E35B9A3">
      <w:pPr>
        <w:jc w:val="center"/>
        <w:rPr>
          <w:rFonts w:ascii="宋体" w:hAnsi="宋体"/>
          <w:sz w:val="28"/>
          <w:szCs w:val="30"/>
        </w:rPr>
      </w:pPr>
    </w:p>
    <w:p w14:paraId="41764783">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7E08D1F">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6CAFBA7B">
      <w:pPr>
        <w:ind w:firstLine="1687" w:firstLineChars="600"/>
        <w:rPr>
          <w:rFonts w:ascii="宋体" w:hAnsi="宋体"/>
          <w:b/>
          <w:bCs/>
          <w:sz w:val="28"/>
          <w:szCs w:val="30"/>
        </w:rPr>
      </w:pPr>
      <w:r>
        <w:rPr>
          <w:rFonts w:hint="eastAsia" w:ascii="宋体" w:hAnsi="宋体"/>
          <w:b/>
          <w:bCs/>
          <w:sz w:val="28"/>
          <w:szCs w:val="30"/>
        </w:rPr>
        <w:t>送出日期：2026年3月31日</w:t>
      </w:r>
    </w:p>
    <w:p w14:paraId="2906C387">
      <w:pPr>
        <w:ind w:firstLine="1687" w:firstLineChars="600"/>
        <w:rPr>
          <w:rFonts w:ascii="宋体" w:hAnsi="宋体"/>
          <w:b/>
          <w:bCs/>
          <w:sz w:val="28"/>
          <w:szCs w:val="30"/>
        </w:rPr>
      </w:pPr>
    </w:p>
    <w:p w14:paraId="38CFE4C6">
      <w:pPr>
        <w:snapToGrid w:val="0"/>
        <w:spacing w:line="360" w:lineRule="auto"/>
        <w:jc w:val="left"/>
      </w:pPr>
      <w:r>
        <w:br w:type="page"/>
      </w:r>
    </w:p>
    <w:p w14:paraId="37723299"/>
    <w:p w14:paraId="1B300646">
      <w:pPr>
        <w:pStyle w:val="26"/>
      </w:pPr>
      <w:bookmarkStart w:id="2" w:name="_Toc22433"/>
      <w:r>
        <w:t>重要提示及目录</w:t>
      </w:r>
      <w:bookmarkEnd w:id="2"/>
    </w:p>
    <w:p w14:paraId="3EDDE068">
      <w:pPr>
        <w:pStyle w:val="23"/>
      </w:pPr>
      <w:bookmarkStart w:id="3" w:name="_Toc21190"/>
      <w:r>
        <w:t>重要提示</w:t>
      </w:r>
      <w:bookmarkEnd w:id="3"/>
    </w:p>
    <w:p w14:paraId="4872039E">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18E993C">
      <w:pPr>
        <w:pStyle w:val="18"/>
        <w:rPr>
          <w:rFonts w:hint="eastAsia"/>
        </w:rPr>
      </w:pPr>
      <w:r>
        <w:rPr>
          <w:rFonts w:hint="eastAsia"/>
        </w:rPr>
        <w:t>本年度报告已经三分之二以上独立董事签字同意，并由董事长签发。</w:t>
      </w:r>
    </w:p>
    <w:p w14:paraId="1120DEC5">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393AFE29">
      <w:pPr>
        <w:pStyle w:val="18"/>
        <w:rPr>
          <w:rFonts w:hint="eastAsia"/>
        </w:rPr>
      </w:pPr>
      <w:r>
        <w:rPr>
          <w:rFonts w:hint="eastAsia"/>
        </w:rPr>
        <w:t>基金管理人承诺以诚实信用、勤勉尽责的原则管理和运用基金资产，但不保证基金一定盈利。</w:t>
      </w:r>
    </w:p>
    <w:p w14:paraId="74E69755">
      <w:pPr>
        <w:pStyle w:val="18"/>
        <w:rPr>
          <w:rFonts w:hint="eastAsia"/>
        </w:rPr>
      </w:pPr>
      <w:r>
        <w:rPr>
          <w:rFonts w:hint="eastAsia"/>
        </w:rPr>
        <w:t>基金的过往业绩并不代表其未来表现。投资有风险，投资者在作出投资决策前应仔细阅读本基金的招募说明书及其更新。</w:t>
      </w:r>
    </w:p>
    <w:p w14:paraId="4E39A9B9">
      <w:pPr>
        <w:pStyle w:val="18"/>
        <w:rPr>
          <w:rFonts w:hint="eastAsia"/>
        </w:rPr>
      </w:pPr>
      <w:r>
        <w:rPr>
          <w:rFonts w:hint="eastAsia"/>
        </w:rPr>
        <w:t>本报告期自2025年9月16日（基金合同生效日）起至12月31日止。</w:t>
      </w:r>
    </w:p>
    <w:p w14:paraId="426F5A54">
      <w:pPr>
        <w:pStyle w:val="23"/>
        <w:pageBreakBefore/>
      </w:pPr>
      <w:bookmarkStart w:id="4" w:name="_Toc5997"/>
      <w:r>
        <w:t>目录</w:t>
      </w:r>
      <w:bookmarkEnd w:id="4"/>
    </w:p>
    <w:sdt>
      <w:sdtPr>
        <w:rPr>
          <w:rFonts w:ascii="宋体" w:hAnsi="宋体" w:eastAsia="宋体"/>
          <w:color w:val="DBDBDB"/>
          <w:sz w:val="21"/>
          <w:szCs w:val="24"/>
          <w:lang w:val="en-US" w:eastAsia="zh-CN" w:bidi="ar-SA"/>
        </w:rPr>
        <w:id w:val="36629"/>
        <w:docPartObj>
          <w:docPartGallery w:val="Table of Contents"/>
          <w:docPartUnique/>
        </w:docPartObj>
      </w:sdtPr>
      <w:sdtEndPr>
        <w:rPr>
          <w:rFonts w:ascii="宋体" w:hAnsi="宋体" w:eastAsia="宋体"/>
          <w:b/>
          <w:color w:val="DBDBDB"/>
          <w:sz w:val="21"/>
          <w:szCs w:val="24"/>
          <w:lang w:val="en-US" w:eastAsia="zh-CN" w:bidi="ar-SA"/>
        </w:rPr>
      </w:sdtEndPr>
      <w:sdtContent>
        <w:p w14:paraId="5DCD2ABA">
          <w:pPr>
            <w:pStyle w:val="61"/>
            <w:spacing w:before="0" w:beforeLines="0" w:after="0" w:afterLines="0" w:line="240" w:lineRule="auto"/>
            <w:ind w:left="0" w:leftChars="0" w:right="0" w:rightChars="0" w:firstLine="0" w:firstLineChars="0"/>
            <w:jc w:val="center"/>
            <w:rPr>
              <w:b/>
            </w:rPr>
          </w:pPr>
          <w:r>
            <w:rPr>
              <w:b/>
              <w:lang w:val="zh-CN"/>
            </w:rPr>
            <w:t>目录</w:t>
          </w:r>
        </w:p>
        <w:p w14:paraId="2528C3F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_Toc22433 </w:instrText>
          </w:r>
          <w:r>
            <w:fldChar w:fldCharType="separate"/>
          </w:r>
          <w:r>
            <w:rPr>
              <w:rFonts w:hint="eastAsia"/>
            </w:rPr>
            <w:t xml:space="preserve">§1 </w:t>
          </w:r>
          <w:r>
            <w:t>重要提示及目录</w:t>
          </w:r>
          <w:r>
            <w:tab/>
          </w:r>
          <w:r>
            <w:fldChar w:fldCharType="begin"/>
          </w:r>
          <w:r>
            <w:instrText xml:space="preserve"> PAGEREF _Toc22433 \h </w:instrText>
          </w:r>
          <w:r>
            <w:fldChar w:fldCharType="separate"/>
          </w:r>
          <w:r>
            <w:t>1</w:t>
          </w:r>
          <w:r>
            <w:fldChar w:fldCharType="end"/>
          </w:r>
          <w:r>
            <w:fldChar w:fldCharType="end"/>
          </w:r>
        </w:p>
        <w:p w14:paraId="36CA357F">
          <w:pPr>
            <w:pStyle w:val="10"/>
            <w:tabs>
              <w:tab w:val="right" w:leader="dot" w:pos="8306"/>
            </w:tabs>
          </w:pPr>
          <w:r>
            <w:fldChar w:fldCharType="begin"/>
          </w:r>
          <w:r>
            <w:instrText xml:space="preserve"> HYPERLINK \l _Toc21190 </w:instrText>
          </w:r>
          <w:r>
            <w:fldChar w:fldCharType="separate"/>
          </w:r>
          <w:r>
            <w:rPr>
              <w:rFonts w:hint="eastAsia"/>
            </w:rPr>
            <w:t xml:space="preserve">1.1 </w:t>
          </w:r>
          <w:r>
            <w:t>重要提示</w:t>
          </w:r>
          <w:r>
            <w:tab/>
          </w:r>
          <w:r>
            <w:fldChar w:fldCharType="begin"/>
          </w:r>
          <w:r>
            <w:instrText xml:space="preserve"> PAGEREF _Toc21190 \h </w:instrText>
          </w:r>
          <w:r>
            <w:fldChar w:fldCharType="separate"/>
          </w:r>
          <w:r>
            <w:t>1</w:t>
          </w:r>
          <w:r>
            <w:fldChar w:fldCharType="end"/>
          </w:r>
          <w:r>
            <w:fldChar w:fldCharType="end"/>
          </w:r>
        </w:p>
        <w:p w14:paraId="484594F7">
          <w:pPr>
            <w:pStyle w:val="10"/>
            <w:tabs>
              <w:tab w:val="right" w:leader="dot" w:pos="8306"/>
            </w:tabs>
          </w:pPr>
          <w:r>
            <w:fldChar w:fldCharType="begin"/>
          </w:r>
          <w:r>
            <w:instrText xml:space="preserve"> HYPERLINK \l _Toc5997 </w:instrText>
          </w:r>
          <w:r>
            <w:fldChar w:fldCharType="separate"/>
          </w:r>
          <w:r>
            <w:rPr>
              <w:rFonts w:hint="eastAsia"/>
            </w:rPr>
            <w:t xml:space="preserve">1.2 </w:t>
          </w:r>
          <w:r>
            <w:t>目录</w:t>
          </w:r>
          <w:r>
            <w:tab/>
          </w:r>
          <w:r>
            <w:fldChar w:fldCharType="begin"/>
          </w:r>
          <w:r>
            <w:instrText xml:space="preserve"> PAGEREF _Toc5997 \h </w:instrText>
          </w:r>
          <w:r>
            <w:fldChar w:fldCharType="separate"/>
          </w:r>
          <w:r>
            <w:t>2</w:t>
          </w:r>
          <w:r>
            <w:fldChar w:fldCharType="end"/>
          </w:r>
          <w:r>
            <w:fldChar w:fldCharType="end"/>
          </w:r>
        </w:p>
        <w:p w14:paraId="10ED2B58">
          <w:pPr>
            <w:pStyle w:val="8"/>
            <w:tabs>
              <w:tab w:val="right" w:leader="dot" w:pos="8306"/>
            </w:tabs>
          </w:pPr>
          <w:r>
            <w:fldChar w:fldCharType="begin"/>
          </w:r>
          <w:r>
            <w:instrText xml:space="preserve"> HYPERLINK \l _Toc23205 </w:instrText>
          </w:r>
          <w:r>
            <w:fldChar w:fldCharType="separate"/>
          </w:r>
          <w:r>
            <w:rPr>
              <w:rFonts w:hint="eastAsia"/>
            </w:rPr>
            <w:t xml:space="preserve">§2 </w:t>
          </w:r>
          <w:r>
            <w:t>基金简介</w:t>
          </w:r>
          <w:r>
            <w:tab/>
          </w:r>
          <w:r>
            <w:fldChar w:fldCharType="begin"/>
          </w:r>
          <w:r>
            <w:instrText xml:space="preserve"> PAGEREF _Toc23205 \h </w:instrText>
          </w:r>
          <w:r>
            <w:fldChar w:fldCharType="separate"/>
          </w:r>
          <w:r>
            <w:t>4</w:t>
          </w:r>
          <w:r>
            <w:fldChar w:fldCharType="end"/>
          </w:r>
          <w:r>
            <w:fldChar w:fldCharType="end"/>
          </w:r>
        </w:p>
        <w:p w14:paraId="2BDF454E">
          <w:pPr>
            <w:pStyle w:val="10"/>
            <w:tabs>
              <w:tab w:val="right" w:leader="dot" w:pos="8306"/>
            </w:tabs>
          </w:pPr>
          <w:r>
            <w:fldChar w:fldCharType="begin"/>
          </w:r>
          <w:r>
            <w:instrText xml:space="preserve"> HYPERLINK \l _Toc804 </w:instrText>
          </w:r>
          <w:r>
            <w:fldChar w:fldCharType="separate"/>
          </w:r>
          <w:r>
            <w:rPr>
              <w:rFonts w:hint="eastAsia"/>
            </w:rPr>
            <w:t xml:space="preserve">2.1 </w:t>
          </w:r>
          <w:r>
            <w:t>基金基本情况</w:t>
          </w:r>
          <w:r>
            <w:tab/>
          </w:r>
          <w:r>
            <w:fldChar w:fldCharType="begin"/>
          </w:r>
          <w:r>
            <w:instrText xml:space="preserve"> PAGEREF _Toc804 \h </w:instrText>
          </w:r>
          <w:r>
            <w:fldChar w:fldCharType="separate"/>
          </w:r>
          <w:r>
            <w:t>4</w:t>
          </w:r>
          <w:r>
            <w:fldChar w:fldCharType="end"/>
          </w:r>
          <w:r>
            <w:fldChar w:fldCharType="end"/>
          </w:r>
        </w:p>
        <w:p w14:paraId="3FAB34DA">
          <w:pPr>
            <w:pStyle w:val="10"/>
            <w:tabs>
              <w:tab w:val="right" w:leader="dot" w:pos="8306"/>
            </w:tabs>
          </w:pPr>
          <w:r>
            <w:fldChar w:fldCharType="begin"/>
          </w:r>
          <w:r>
            <w:instrText xml:space="preserve"> HYPERLINK \l _Toc546 </w:instrText>
          </w:r>
          <w:r>
            <w:fldChar w:fldCharType="separate"/>
          </w:r>
          <w:r>
            <w:rPr>
              <w:rFonts w:hint="eastAsia"/>
            </w:rPr>
            <w:t xml:space="preserve">2.2 </w:t>
          </w:r>
          <w:r>
            <w:t>基金产品说明</w:t>
          </w:r>
          <w:r>
            <w:tab/>
          </w:r>
          <w:r>
            <w:fldChar w:fldCharType="begin"/>
          </w:r>
          <w:r>
            <w:instrText xml:space="preserve"> PAGEREF _Toc546 \h </w:instrText>
          </w:r>
          <w:r>
            <w:fldChar w:fldCharType="separate"/>
          </w:r>
          <w:r>
            <w:t>4</w:t>
          </w:r>
          <w:r>
            <w:fldChar w:fldCharType="end"/>
          </w:r>
          <w:r>
            <w:fldChar w:fldCharType="end"/>
          </w:r>
        </w:p>
        <w:p w14:paraId="2A5656DA">
          <w:pPr>
            <w:pStyle w:val="10"/>
            <w:tabs>
              <w:tab w:val="right" w:leader="dot" w:pos="8306"/>
            </w:tabs>
          </w:pPr>
          <w:r>
            <w:fldChar w:fldCharType="begin"/>
          </w:r>
          <w:r>
            <w:instrText xml:space="preserve"> HYPERLINK \l _Toc28390 </w:instrText>
          </w:r>
          <w:r>
            <w:fldChar w:fldCharType="separate"/>
          </w:r>
          <w:r>
            <w:rPr>
              <w:rFonts w:hint="eastAsia"/>
            </w:rPr>
            <w:t xml:space="preserve">2.3 </w:t>
          </w:r>
          <w:r>
            <w:t>基金管理人和基金托管人</w:t>
          </w:r>
          <w:r>
            <w:tab/>
          </w:r>
          <w:r>
            <w:fldChar w:fldCharType="begin"/>
          </w:r>
          <w:r>
            <w:instrText xml:space="preserve"> PAGEREF _Toc28390 \h </w:instrText>
          </w:r>
          <w:r>
            <w:fldChar w:fldCharType="separate"/>
          </w:r>
          <w:r>
            <w:t>4</w:t>
          </w:r>
          <w:r>
            <w:fldChar w:fldCharType="end"/>
          </w:r>
          <w:r>
            <w:fldChar w:fldCharType="end"/>
          </w:r>
        </w:p>
        <w:p w14:paraId="52A2F857">
          <w:pPr>
            <w:pStyle w:val="10"/>
            <w:tabs>
              <w:tab w:val="right" w:leader="dot" w:pos="8306"/>
            </w:tabs>
          </w:pPr>
          <w:r>
            <w:fldChar w:fldCharType="begin"/>
          </w:r>
          <w:r>
            <w:instrText xml:space="preserve"> HYPERLINK \l _Toc12750 </w:instrText>
          </w:r>
          <w:r>
            <w:fldChar w:fldCharType="separate"/>
          </w:r>
          <w:r>
            <w:rPr>
              <w:rFonts w:hint="eastAsia"/>
            </w:rPr>
            <w:t xml:space="preserve">2.4 </w:t>
          </w:r>
          <w:r>
            <w:t>信息披露方式</w:t>
          </w:r>
          <w:r>
            <w:tab/>
          </w:r>
          <w:r>
            <w:fldChar w:fldCharType="begin"/>
          </w:r>
          <w:r>
            <w:instrText xml:space="preserve"> PAGEREF _Toc12750 \h </w:instrText>
          </w:r>
          <w:r>
            <w:fldChar w:fldCharType="separate"/>
          </w:r>
          <w:r>
            <w:t>5</w:t>
          </w:r>
          <w:r>
            <w:fldChar w:fldCharType="end"/>
          </w:r>
          <w:r>
            <w:fldChar w:fldCharType="end"/>
          </w:r>
        </w:p>
        <w:p w14:paraId="518451C6">
          <w:pPr>
            <w:pStyle w:val="10"/>
            <w:tabs>
              <w:tab w:val="right" w:leader="dot" w:pos="8306"/>
            </w:tabs>
          </w:pPr>
          <w:r>
            <w:fldChar w:fldCharType="begin"/>
          </w:r>
          <w:r>
            <w:instrText xml:space="preserve"> HYPERLINK \l _Toc14893 </w:instrText>
          </w:r>
          <w:r>
            <w:fldChar w:fldCharType="separate"/>
          </w:r>
          <w:r>
            <w:rPr>
              <w:rFonts w:hint="eastAsia"/>
            </w:rPr>
            <w:t xml:space="preserve">2.5 </w:t>
          </w:r>
          <w:r>
            <w:t>其他相关资料</w:t>
          </w:r>
          <w:r>
            <w:tab/>
          </w:r>
          <w:r>
            <w:fldChar w:fldCharType="begin"/>
          </w:r>
          <w:r>
            <w:instrText xml:space="preserve"> PAGEREF _Toc14893 \h </w:instrText>
          </w:r>
          <w:r>
            <w:fldChar w:fldCharType="separate"/>
          </w:r>
          <w:r>
            <w:t>5</w:t>
          </w:r>
          <w:r>
            <w:fldChar w:fldCharType="end"/>
          </w:r>
          <w:r>
            <w:fldChar w:fldCharType="end"/>
          </w:r>
        </w:p>
        <w:p w14:paraId="45DB6AC7">
          <w:pPr>
            <w:pStyle w:val="8"/>
            <w:tabs>
              <w:tab w:val="right" w:leader="dot" w:pos="8306"/>
            </w:tabs>
          </w:pPr>
          <w:r>
            <w:fldChar w:fldCharType="begin"/>
          </w:r>
          <w:r>
            <w:instrText xml:space="preserve"> HYPERLINK \l _Toc10174 </w:instrText>
          </w:r>
          <w:r>
            <w:fldChar w:fldCharType="separate"/>
          </w:r>
          <w:r>
            <w:rPr>
              <w:rFonts w:hint="eastAsia"/>
            </w:rPr>
            <w:t xml:space="preserve">§3 </w:t>
          </w:r>
          <w:r>
            <w:t>主要财务指标、基金净值表现及利润分配情况</w:t>
          </w:r>
          <w:r>
            <w:tab/>
          </w:r>
          <w:r>
            <w:fldChar w:fldCharType="begin"/>
          </w:r>
          <w:r>
            <w:instrText xml:space="preserve"> PAGEREF _Toc10174 \h </w:instrText>
          </w:r>
          <w:r>
            <w:fldChar w:fldCharType="separate"/>
          </w:r>
          <w:r>
            <w:t>6</w:t>
          </w:r>
          <w:r>
            <w:fldChar w:fldCharType="end"/>
          </w:r>
          <w:r>
            <w:fldChar w:fldCharType="end"/>
          </w:r>
        </w:p>
        <w:p w14:paraId="3DC8B2F1">
          <w:pPr>
            <w:pStyle w:val="10"/>
            <w:tabs>
              <w:tab w:val="right" w:leader="dot" w:pos="8306"/>
            </w:tabs>
          </w:pPr>
          <w:r>
            <w:fldChar w:fldCharType="begin"/>
          </w:r>
          <w:r>
            <w:instrText xml:space="preserve"> HYPERLINK \l _Toc7471 </w:instrText>
          </w:r>
          <w:r>
            <w:fldChar w:fldCharType="separate"/>
          </w:r>
          <w:r>
            <w:rPr>
              <w:rFonts w:hint="eastAsia"/>
            </w:rPr>
            <w:t xml:space="preserve">3.1 </w:t>
          </w:r>
          <w:r>
            <w:t>主要会计数据和财务指标</w:t>
          </w:r>
          <w:r>
            <w:tab/>
          </w:r>
          <w:r>
            <w:fldChar w:fldCharType="begin"/>
          </w:r>
          <w:r>
            <w:instrText xml:space="preserve"> PAGEREF _Toc7471 \h </w:instrText>
          </w:r>
          <w:r>
            <w:fldChar w:fldCharType="separate"/>
          </w:r>
          <w:r>
            <w:t>6</w:t>
          </w:r>
          <w:r>
            <w:fldChar w:fldCharType="end"/>
          </w:r>
          <w:r>
            <w:fldChar w:fldCharType="end"/>
          </w:r>
        </w:p>
        <w:p w14:paraId="52D3F98F">
          <w:pPr>
            <w:pStyle w:val="10"/>
            <w:tabs>
              <w:tab w:val="right" w:leader="dot" w:pos="8306"/>
            </w:tabs>
          </w:pPr>
          <w:r>
            <w:fldChar w:fldCharType="begin"/>
          </w:r>
          <w:r>
            <w:instrText xml:space="preserve"> HYPERLINK \l _Toc19423 </w:instrText>
          </w:r>
          <w:r>
            <w:fldChar w:fldCharType="separate"/>
          </w:r>
          <w:r>
            <w:rPr>
              <w:rFonts w:hint="eastAsia"/>
            </w:rPr>
            <w:t xml:space="preserve">3.2 </w:t>
          </w:r>
          <w:r>
            <w:t>基金净值表现</w:t>
          </w:r>
          <w:r>
            <w:tab/>
          </w:r>
          <w:r>
            <w:fldChar w:fldCharType="begin"/>
          </w:r>
          <w:r>
            <w:instrText xml:space="preserve"> PAGEREF _Toc19423 \h </w:instrText>
          </w:r>
          <w:r>
            <w:fldChar w:fldCharType="separate"/>
          </w:r>
          <w:r>
            <w:t>7</w:t>
          </w:r>
          <w:r>
            <w:fldChar w:fldCharType="end"/>
          </w:r>
          <w:r>
            <w:fldChar w:fldCharType="end"/>
          </w:r>
        </w:p>
        <w:p w14:paraId="45E76C0D">
          <w:pPr>
            <w:pStyle w:val="10"/>
            <w:tabs>
              <w:tab w:val="right" w:leader="dot" w:pos="8306"/>
            </w:tabs>
          </w:pPr>
          <w:r>
            <w:fldChar w:fldCharType="begin"/>
          </w:r>
          <w:r>
            <w:instrText xml:space="preserve"> HYPERLINK \l _Toc30320 </w:instrText>
          </w:r>
          <w:r>
            <w:fldChar w:fldCharType="separate"/>
          </w:r>
          <w:r>
            <w:rPr>
              <w:rFonts w:hint="eastAsia"/>
            </w:rPr>
            <w:t xml:space="preserve">3.3 </w:t>
          </w:r>
          <w:r>
            <w:t>过去三年基金的利润分配情况</w:t>
          </w:r>
          <w:r>
            <w:tab/>
          </w:r>
          <w:r>
            <w:fldChar w:fldCharType="begin"/>
          </w:r>
          <w:r>
            <w:instrText xml:space="preserve"> PAGEREF _Toc30320 \h </w:instrText>
          </w:r>
          <w:r>
            <w:fldChar w:fldCharType="separate"/>
          </w:r>
          <w:r>
            <w:t>9</w:t>
          </w:r>
          <w:r>
            <w:fldChar w:fldCharType="end"/>
          </w:r>
          <w:r>
            <w:fldChar w:fldCharType="end"/>
          </w:r>
        </w:p>
        <w:p w14:paraId="1B8F0457">
          <w:pPr>
            <w:pStyle w:val="8"/>
            <w:tabs>
              <w:tab w:val="right" w:leader="dot" w:pos="8306"/>
            </w:tabs>
          </w:pPr>
          <w:r>
            <w:fldChar w:fldCharType="begin"/>
          </w:r>
          <w:r>
            <w:instrText xml:space="preserve"> HYPERLINK \l _Toc26572 </w:instrText>
          </w:r>
          <w:r>
            <w:fldChar w:fldCharType="separate"/>
          </w:r>
          <w:r>
            <w:rPr>
              <w:rFonts w:hint="eastAsia"/>
            </w:rPr>
            <w:t xml:space="preserve">§4 </w:t>
          </w:r>
          <w:r>
            <w:t>管理人报告</w:t>
          </w:r>
          <w:r>
            <w:tab/>
          </w:r>
          <w:r>
            <w:fldChar w:fldCharType="begin"/>
          </w:r>
          <w:r>
            <w:instrText xml:space="preserve"> PAGEREF _Toc26572 \h </w:instrText>
          </w:r>
          <w:r>
            <w:fldChar w:fldCharType="separate"/>
          </w:r>
          <w:r>
            <w:t>10</w:t>
          </w:r>
          <w:r>
            <w:fldChar w:fldCharType="end"/>
          </w:r>
          <w:r>
            <w:fldChar w:fldCharType="end"/>
          </w:r>
        </w:p>
        <w:p w14:paraId="56A6FAA6">
          <w:pPr>
            <w:pStyle w:val="10"/>
            <w:tabs>
              <w:tab w:val="right" w:leader="dot" w:pos="8306"/>
            </w:tabs>
          </w:pPr>
          <w:r>
            <w:fldChar w:fldCharType="begin"/>
          </w:r>
          <w:r>
            <w:instrText xml:space="preserve"> HYPERLINK \l _Toc16829 </w:instrText>
          </w:r>
          <w:r>
            <w:fldChar w:fldCharType="separate"/>
          </w:r>
          <w:r>
            <w:rPr>
              <w:rFonts w:hint="eastAsia"/>
            </w:rPr>
            <w:t xml:space="preserve">4.1 </w:t>
          </w:r>
          <w:r>
            <w:t>基金管理人及基金经理情况</w:t>
          </w:r>
          <w:r>
            <w:tab/>
          </w:r>
          <w:r>
            <w:fldChar w:fldCharType="begin"/>
          </w:r>
          <w:r>
            <w:instrText xml:space="preserve"> PAGEREF _Toc16829 \h </w:instrText>
          </w:r>
          <w:r>
            <w:fldChar w:fldCharType="separate"/>
          </w:r>
          <w:r>
            <w:t>10</w:t>
          </w:r>
          <w:r>
            <w:fldChar w:fldCharType="end"/>
          </w:r>
          <w:r>
            <w:fldChar w:fldCharType="end"/>
          </w:r>
        </w:p>
        <w:p w14:paraId="6887F4FB">
          <w:pPr>
            <w:pStyle w:val="10"/>
            <w:tabs>
              <w:tab w:val="right" w:leader="dot" w:pos="8306"/>
            </w:tabs>
          </w:pPr>
          <w:r>
            <w:fldChar w:fldCharType="begin"/>
          </w:r>
          <w:r>
            <w:instrText xml:space="preserve"> HYPERLINK \l _Toc26188 </w:instrText>
          </w:r>
          <w:r>
            <w:fldChar w:fldCharType="separate"/>
          </w:r>
          <w:r>
            <w:rPr>
              <w:rFonts w:hint="eastAsia"/>
            </w:rPr>
            <w:t xml:space="preserve">4.2 </w:t>
          </w:r>
          <w:r>
            <w:t>管理人对报告期内本基金运作遵规守信情况的说明</w:t>
          </w:r>
          <w:r>
            <w:tab/>
          </w:r>
          <w:r>
            <w:fldChar w:fldCharType="begin"/>
          </w:r>
          <w:r>
            <w:instrText xml:space="preserve"> PAGEREF _Toc26188 \h </w:instrText>
          </w:r>
          <w:r>
            <w:fldChar w:fldCharType="separate"/>
          </w:r>
          <w:r>
            <w:t>11</w:t>
          </w:r>
          <w:r>
            <w:fldChar w:fldCharType="end"/>
          </w:r>
          <w:r>
            <w:fldChar w:fldCharType="end"/>
          </w:r>
        </w:p>
        <w:p w14:paraId="6360DE33">
          <w:pPr>
            <w:pStyle w:val="10"/>
            <w:tabs>
              <w:tab w:val="right" w:leader="dot" w:pos="8306"/>
            </w:tabs>
          </w:pPr>
          <w:r>
            <w:fldChar w:fldCharType="begin"/>
          </w:r>
          <w:r>
            <w:instrText xml:space="preserve"> HYPERLINK \l _Toc27688 </w:instrText>
          </w:r>
          <w:r>
            <w:fldChar w:fldCharType="separate"/>
          </w:r>
          <w:r>
            <w:rPr>
              <w:rFonts w:hint="eastAsia"/>
            </w:rPr>
            <w:t xml:space="preserve">4.3 </w:t>
          </w:r>
          <w:r>
            <w:t>管理人对报告期内公平交易情况的专项说明</w:t>
          </w:r>
          <w:r>
            <w:tab/>
          </w:r>
          <w:r>
            <w:fldChar w:fldCharType="begin"/>
          </w:r>
          <w:r>
            <w:instrText xml:space="preserve"> PAGEREF _Toc27688 \h </w:instrText>
          </w:r>
          <w:r>
            <w:fldChar w:fldCharType="separate"/>
          </w:r>
          <w:r>
            <w:t>11</w:t>
          </w:r>
          <w:r>
            <w:fldChar w:fldCharType="end"/>
          </w:r>
          <w:r>
            <w:fldChar w:fldCharType="end"/>
          </w:r>
        </w:p>
        <w:p w14:paraId="506A42B3">
          <w:pPr>
            <w:pStyle w:val="10"/>
            <w:tabs>
              <w:tab w:val="right" w:leader="dot" w:pos="8306"/>
            </w:tabs>
          </w:pPr>
          <w:r>
            <w:fldChar w:fldCharType="begin"/>
          </w:r>
          <w:r>
            <w:instrText xml:space="preserve"> HYPERLINK \l _Toc8174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_Toc8174 \h </w:instrText>
          </w:r>
          <w:r>
            <w:fldChar w:fldCharType="separate"/>
          </w:r>
          <w:r>
            <w:t>12</w:t>
          </w:r>
          <w:r>
            <w:fldChar w:fldCharType="end"/>
          </w:r>
          <w:r>
            <w:fldChar w:fldCharType="end"/>
          </w:r>
        </w:p>
        <w:p w14:paraId="5C22D4FF">
          <w:pPr>
            <w:pStyle w:val="10"/>
            <w:tabs>
              <w:tab w:val="right" w:leader="dot" w:pos="8306"/>
            </w:tabs>
          </w:pPr>
          <w:r>
            <w:fldChar w:fldCharType="begin"/>
          </w:r>
          <w:r>
            <w:instrText xml:space="preserve"> HYPERLINK \l _Toc5309 </w:instrText>
          </w:r>
          <w:r>
            <w:fldChar w:fldCharType="separate"/>
          </w:r>
          <w:r>
            <w:rPr>
              <w:rFonts w:hint="eastAsia"/>
            </w:rPr>
            <w:t xml:space="preserve">4.5 </w:t>
          </w:r>
          <w:r>
            <w:t>管理人对宏观经济、证券市场及行业走势的简要展望</w:t>
          </w:r>
          <w:r>
            <w:tab/>
          </w:r>
          <w:r>
            <w:fldChar w:fldCharType="begin"/>
          </w:r>
          <w:r>
            <w:instrText xml:space="preserve"> PAGEREF _Toc5309 \h </w:instrText>
          </w:r>
          <w:r>
            <w:fldChar w:fldCharType="separate"/>
          </w:r>
          <w:r>
            <w:t>12</w:t>
          </w:r>
          <w:r>
            <w:fldChar w:fldCharType="end"/>
          </w:r>
          <w:r>
            <w:fldChar w:fldCharType="end"/>
          </w:r>
        </w:p>
        <w:p w14:paraId="0D4A708D">
          <w:pPr>
            <w:pStyle w:val="10"/>
            <w:tabs>
              <w:tab w:val="right" w:leader="dot" w:pos="8306"/>
            </w:tabs>
          </w:pPr>
          <w:r>
            <w:fldChar w:fldCharType="begin"/>
          </w:r>
          <w:r>
            <w:instrText xml:space="preserve"> HYPERLINK \l _Toc9564 </w:instrText>
          </w:r>
          <w:r>
            <w:fldChar w:fldCharType="separate"/>
          </w:r>
          <w:r>
            <w:rPr>
              <w:rFonts w:hint="eastAsia"/>
            </w:rPr>
            <w:t xml:space="preserve">4.6 </w:t>
          </w:r>
          <w:r>
            <w:t>管理人内部有关本基金的监察稽核工作情况</w:t>
          </w:r>
          <w:r>
            <w:tab/>
          </w:r>
          <w:r>
            <w:fldChar w:fldCharType="begin"/>
          </w:r>
          <w:r>
            <w:instrText xml:space="preserve"> PAGEREF _Toc9564 \h </w:instrText>
          </w:r>
          <w:r>
            <w:fldChar w:fldCharType="separate"/>
          </w:r>
          <w:r>
            <w:t>13</w:t>
          </w:r>
          <w:r>
            <w:fldChar w:fldCharType="end"/>
          </w:r>
          <w:r>
            <w:fldChar w:fldCharType="end"/>
          </w:r>
        </w:p>
        <w:p w14:paraId="031EEA71">
          <w:pPr>
            <w:pStyle w:val="10"/>
            <w:tabs>
              <w:tab w:val="right" w:leader="dot" w:pos="8306"/>
            </w:tabs>
          </w:pPr>
          <w:r>
            <w:fldChar w:fldCharType="begin"/>
          </w:r>
          <w:r>
            <w:instrText xml:space="preserve"> HYPERLINK \l _Toc2056 </w:instrText>
          </w:r>
          <w:r>
            <w:fldChar w:fldCharType="separate"/>
          </w:r>
          <w:r>
            <w:rPr>
              <w:rFonts w:hint="eastAsia"/>
            </w:rPr>
            <w:t xml:space="preserve">4.7 </w:t>
          </w:r>
          <w:r>
            <w:t>管理人对报告期内基金估值程序等事项的说明</w:t>
          </w:r>
          <w:r>
            <w:tab/>
          </w:r>
          <w:r>
            <w:fldChar w:fldCharType="begin"/>
          </w:r>
          <w:r>
            <w:instrText xml:space="preserve"> PAGEREF _Toc2056 \h </w:instrText>
          </w:r>
          <w:r>
            <w:fldChar w:fldCharType="separate"/>
          </w:r>
          <w:r>
            <w:t>14</w:t>
          </w:r>
          <w:r>
            <w:fldChar w:fldCharType="end"/>
          </w:r>
          <w:r>
            <w:fldChar w:fldCharType="end"/>
          </w:r>
        </w:p>
        <w:p w14:paraId="2F18F98D">
          <w:pPr>
            <w:pStyle w:val="10"/>
            <w:tabs>
              <w:tab w:val="right" w:leader="dot" w:pos="8306"/>
            </w:tabs>
          </w:pPr>
          <w:r>
            <w:fldChar w:fldCharType="begin"/>
          </w:r>
          <w:r>
            <w:instrText xml:space="preserve"> HYPERLINK \l _Toc15702 </w:instrText>
          </w:r>
          <w:r>
            <w:fldChar w:fldCharType="separate"/>
          </w:r>
          <w:r>
            <w:rPr>
              <w:rFonts w:hint="eastAsia"/>
            </w:rPr>
            <w:t xml:space="preserve">4.8 </w:t>
          </w:r>
          <w:r>
            <w:t>管理人对报告期内基金利润分配情况的说明</w:t>
          </w:r>
          <w:r>
            <w:tab/>
          </w:r>
          <w:r>
            <w:fldChar w:fldCharType="begin"/>
          </w:r>
          <w:r>
            <w:instrText xml:space="preserve"> PAGEREF _Toc15702 \h </w:instrText>
          </w:r>
          <w:r>
            <w:fldChar w:fldCharType="separate"/>
          </w:r>
          <w:r>
            <w:t>14</w:t>
          </w:r>
          <w:r>
            <w:fldChar w:fldCharType="end"/>
          </w:r>
          <w:r>
            <w:fldChar w:fldCharType="end"/>
          </w:r>
        </w:p>
        <w:p w14:paraId="19A547D7">
          <w:pPr>
            <w:pStyle w:val="10"/>
            <w:tabs>
              <w:tab w:val="right" w:leader="dot" w:pos="8306"/>
            </w:tabs>
          </w:pPr>
          <w:r>
            <w:fldChar w:fldCharType="begin"/>
          </w:r>
          <w:r>
            <w:instrText xml:space="preserve"> HYPERLINK \l _Toc29863 </w:instrText>
          </w:r>
          <w:r>
            <w:fldChar w:fldCharType="separate"/>
          </w:r>
          <w:r>
            <w:rPr>
              <w:rFonts w:hint="eastAsia"/>
            </w:rPr>
            <w:t xml:space="preserve">4.9 </w:t>
          </w:r>
          <w:r>
            <w:t>报告期内基金持有人数或基金资产净值预警说明</w:t>
          </w:r>
          <w:r>
            <w:tab/>
          </w:r>
          <w:r>
            <w:fldChar w:fldCharType="begin"/>
          </w:r>
          <w:r>
            <w:instrText xml:space="preserve"> PAGEREF _Toc29863 \h </w:instrText>
          </w:r>
          <w:r>
            <w:fldChar w:fldCharType="separate"/>
          </w:r>
          <w:r>
            <w:t>14</w:t>
          </w:r>
          <w:r>
            <w:fldChar w:fldCharType="end"/>
          </w:r>
          <w:r>
            <w:fldChar w:fldCharType="end"/>
          </w:r>
        </w:p>
        <w:p w14:paraId="634FBFDA">
          <w:pPr>
            <w:pStyle w:val="8"/>
            <w:tabs>
              <w:tab w:val="right" w:leader="dot" w:pos="8306"/>
            </w:tabs>
          </w:pPr>
          <w:r>
            <w:fldChar w:fldCharType="begin"/>
          </w:r>
          <w:r>
            <w:instrText xml:space="preserve"> HYPERLINK \l _Toc15221 </w:instrText>
          </w:r>
          <w:r>
            <w:fldChar w:fldCharType="separate"/>
          </w:r>
          <w:r>
            <w:rPr>
              <w:rFonts w:hint="eastAsia"/>
            </w:rPr>
            <w:t xml:space="preserve">§5 </w:t>
          </w:r>
          <w:r>
            <w:t>托管人报告</w:t>
          </w:r>
          <w:r>
            <w:tab/>
          </w:r>
          <w:r>
            <w:fldChar w:fldCharType="begin"/>
          </w:r>
          <w:r>
            <w:instrText xml:space="preserve"> PAGEREF _Toc15221 \h </w:instrText>
          </w:r>
          <w:r>
            <w:fldChar w:fldCharType="separate"/>
          </w:r>
          <w:r>
            <w:t>14</w:t>
          </w:r>
          <w:r>
            <w:fldChar w:fldCharType="end"/>
          </w:r>
          <w:r>
            <w:fldChar w:fldCharType="end"/>
          </w:r>
        </w:p>
        <w:p w14:paraId="7640473E">
          <w:pPr>
            <w:pStyle w:val="10"/>
            <w:tabs>
              <w:tab w:val="right" w:leader="dot" w:pos="8306"/>
            </w:tabs>
          </w:pPr>
          <w:r>
            <w:fldChar w:fldCharType="begin"/>
          </w:r>
          <w:r>
            <w:instrText xml:space="preserve"> HYPERLINK \l _Toc2421 </w:instrText>
          </w:r>
          <w:r>
            <w:fldChar w:fldCharType="separate"/>
          </w:r>
          <w:r>
            <w:rPr>
              <w:rFonts w:hint="eastAsia"/>
            </w:rPr>
            <w:t xml:space="preserve">5.1 </w:t>
          </w:r>
          <w:r>
            <w:t>报告期内本基金托管人遵规守信情况声明</w:t>
          </w:r>
          <w:r>
            <w:tab/>
          </w:r>
          <w:r>
            <w:fldChar w:fldCharType="begin"/>
          </w:r>
          <w:r>
            <w:instrText xml:space="preserve"> PAGEREF _Toc2421 \h </w:instrText>
          </w:r>
          <w:r>
            <w:fldChar w:fldCharType="separate"/>
          </w:r>
          <w:r>
            <w:t>15</w:t>
          </w:r>
          <w:r>
            <w:fldChar w:fldCharType="end"/>
          </w:r>
          <w:r>
            <w:fldChar w:fldCharType="end"/>
          </w:r>
        </w:p>
        <w:p w14:paraId="476B9328">
          <w:pPr>
            <w:pStyle w:val="10"/>
            <w:tabs>
              <w:tab w:val="right" w:leader="dot" w:pos="8306"/>
            </w:tabs>
          </w:pPr>
          <w:r>
            <w:fldChar w:fldCharType="begin"/>
          </w:r>
          <w:r>
            <w:instrText xml:space="preserve"> HYPERLINK \l _Toc15915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_Toc15915 \h </w:instrText>
          </w:r>
          <w:r>
            <w:fldChar w:fldCharType="separate"/>
          </w:r>
          <w:r>
            <w:t>15</w:t>
          </w:r>
          <w:r>
            <w:fldChar w:fldCharType="end"/>
          </w:r>
          <w:r>
            <w:fldChar w:fldCharType="end"/>
          </w:r>
        </w:p>
        <w:p w14:paraId="55EC07D7">
          <w:pPr>
            <w:pStyle w:val="10"/>
            <w:tabs>
              <w:tab w:val="right" w:leader="dot" w:pos="8306"/>
            </w:tabs>
          </w:pPr>
          <w:r>
            <w:fldChar w:fldCharType="begin"/>
          </w:r>
          <w:r>
            <w:instrText xml:space="preserve"> HYPERLINK \l _Toc29206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_Toc29206 \h </w:instrText>
          </w:r>
          <w:r>
            <w:fldChar w:fldCharType="separate"/>
          </w:r>
          <w:r>
            <w:t>15</w:t>
          </w:r>
          <w:r>
            <w:fldChar w:fldCharType="end"/>
          </w:r>
          <w:r>
            <w:fldChar w:fldCharType="end"/>
          </w:r>
        </w:p>
        <w:p w14:paraId="54CAFCF5">
          <w:pPr>
            <w:pStyle w:val="8"/>
            <w:tabs>
              <w:tab w:val="right" w:leader="dot" w:pos="8306"/>
            </w:tabs>
          </w:pPr>
          <w:r>
            <w:fldChar w:fldCharType="begin"/>
          </w:r>
          <w:r>
            <w:instrText xml:space="preserve"> HYPERLINK \l _Toc5530 </w:instrText>
          </w:r>
          <w:r>
            <w:fldChar w:fldCharType="separate"/>
          </w:r>
          <w:r>
            <w:rPr>
              <w:rFonts w:hint="eastAsia"/>
            </w:rPr>
            <w:t xml:space="preserve">§6 </w:t>
          </w:r>
          <w:r>
            <w:t>审计报告</w:t>
          </w:r>
          <w:r>
            <w:tab/>
          </w:r>
          <w:r>
            <w:fldChar w:fldCharType="begin"/>
          </w:r>
          <w:r>
            <w:instrText xml:space="preserve"> PAGEREF _Toc5530 \h </w:instrText>
          </w:r>
          <w:r>
            <w:fldChar w:fldCharType="separate"/>
          </w:r>
          <w:r>
            <w:t>15</w:t>
          </w:r>
          <w:r>
            <w:fldChar w:fldCharType="end"/>
          </w:r>
          <w:r>
            <w:fldChar w:fldCharType="end"/>
          </w:r>
        </w:p>
        <w:p w14:paraId="3056DBD8">
          <w:pPr>
            <w:pStyle w:val="10"/>
            <w:tabs>
              <w:tab w:val="right" w:leader="dot" w:pos="8306"/>
            </w:tabs>
          </w:pPr>
          <w:r>
            <w:fldChar w:fldCharType="begin"/>
          </w:r>
          <w:r>
            <w:instrText xml:space="preserve"> HYPERLINK \l _Toc3314 </w:instrText>
          </w:r>
          <w:r>
            <w:fldChar w:fldCharType="separate"/>
          </w:r>
          <w:r>
            <w:rPr>
              <w:rFonts w:hint="eastAsia"/>
            </w:rPr>
            <w:t xml:space="preserve">6.1 </w:t>
          </w:r>
          <w:r>
            <w:t>审计报告基本信息</w:t>
          </w:r>
          <w:r>
            <w:tab/>
          </w:r>
          <w:r>
            <w:fldChar w:fldCharType="begin"/>
          </w:r>
          <w:r>
            <w:instrText xml:space="preserve"> PAGEREF _Toc3314 \h </w:instrText>
          </w:r>
          <w:r>
            <w:fldChar w:fldCharType="separate"/>
          </w:r>
          <w:r>
            <w:t>15</w:t>
          </w:r>
          <w:r>
            <w:fldChar w:fldCharType="end"/>
          </w:r>
          <w:r>
            <w:fldChar w:fldCharType="end"/>
          </w:r>
        </w:p>
        <w:p w14:paraId="2B575CB8">
          <w:pPr>
            <w:pStyle w:val="10"/>
            <w:tabs>
              <w:tab w:val="right" w:leader="dot" w:pos="8306"/>
            </w:tabs>
          </w:pPr>
          <w:r>
            <w:fldChar w:fldCharType="begin"/>
          </w:r>
          <w:r>
            <w:instrText xml:space="preserve"> HYPERLINK \l _Toc25135 </w:instrText>
          </w:r>
          <w:r>
            <w:fldChar w:fldCharType="separate"/>
          </w:r>
          <w:r>
            <w:rPr>
              <w:rFonts w:hint="eastAsia"/>
            </w:rPr>
            <w:t xml:space="preserve">6.2 </w:t>
          </w:r>
          <w:r>
            <w:t>审计报告的基本内容</w:t>
          </w:r>
          <w:r>
            <w:tab/>
          </w:r>
          <w:r>
            <w:fldChar w:fldCharType="begin"/>
          </w:r>
          <w:r>
            <w:instrText xml:space="preserve"> PAGEREF _Toc25135 \h </w:instrText>
          </w:r>
          <w:r>
            <w:fldChar w:fldCharType="separate"/>
          </w:r>
          <w:r>
            <w:t>15</w:t>
          </w:r>
          <w:r>
            <w:fldChar w:fldCharType="end"/>
          </w:r>
          <w:r>
            <w:fldChar w:fldCharType="end"/>
          </w:r>
        </w:p>
        <w:p w14:paraId="7E83DE1A">
          <w:pPr>
            <w:pStyle w:val="8"/>
            <w:tabs>
              <w:tab w:val="right" w:leader="dot" w:pos="8306"/>
            </w:tabs>
          </w:pPr>
          <w:r>
            <w:fldChar w:fldCharType="begin"/>
          </w:r>
          <w:r>
            <w:instrText xml:space="preserve"> HYPERLINK \l _Toc19927 </w:instrText>
          </w:r>
          <w:r>
            <w:fldChar w:fldCharType="separate"/>
          </w:r>
          <w:r>
            <w:rPr>
              <w:rFonts w:hint="eastAsia"/>
            </w:rPr>
            <w:t xml:space="preserve">§7 </w:t>
          </w:r>
          <w:r>
            <w:t>年度财务报表</w:t>
          </w:r>
          <w:r>
            <w:tab/>
          </w:r>
          <w:r>
            <w:fldChar w:fldCharType="begin"/>
          </w:r>
          <w:r>
            <w:instrText xml:space="preserve"> PAGEREF _Toc19927 \h </w:instrText>
          </w:r>
          <w:r>
            <w:fldChar w:fldCharType="separate"/>
          </w:r>
          <w:r>
            <w:t>17</w:t>
          </w:r>
          <w:r>
            <w:fldChar w:fldCharType="end"/>
          </w:r>
          <w:r>
            <w:fldChar w:fldCharType="end"/>
          </w:r>
        </w:p>
        <w:p w14:paraId="67DCB982">
          <w:pPr>
            <w:pStyle w:val="10"/>
            <w:tabs>
              <w:tab w:val="right" w:leader="dot" w:pos="8306"/>
            </w:tabs>
          </w:pPr>
          <w:r>
            <w:fldChar w:fldCharType="begin"/>
          </w:r>
          <w:r>
            <w:instrText xml:space="preserve"> HYPERLINK \l _Toc12594 </w:instrText>
          </w:r>
          <w:r>
            <w:fldChar w:fldCharType="separate"/>
          </w:r>
          <w:r>
            <w:rPr>
              <w:rFonts w:hint="eastAsia"/>
            </w:rPr>
            <w:t xml:space="preserve">7.1 </w:t>
          </w:r>
          <w:r>
            <w:t>资产负债表</w:t>
          </w:r>
          <w:r>
            <w:tab/>
          </w:r>
          <w:r>
            <w:fldChar w:fldCharType="begin"/>
          </w:r>
          <w:r>
            <w:instrText xml:space="preserve"> PAGEREF _Toc12594 \h </w:instrText>
          </w:r>
          <w:r>
            <w:fldChar w:fldCharType="separate"/>
          </w:r>
          <w:r>
            <w:t>18</w:t>
          </w:r>
          <w:r>
            <w:fldChar w:fldCharType="end"/>
          </w:r>
          <w:r>
            <w:fldChar w:fldCharType="end"/>
          </w:r>
        </w:p>
        <w:p w14:paraId="53230AC3">
          <w:pPr>
            <w:pStyle w:val="10"/>
            <w:tabs>
              <w:tab w:val="right" w:leader="dot" w:pos="8306"/>
            </w:tabs>
          </w:pPr>
          <w:r>
            <w:fldChar w:fldCharType="begin"/>
          </w:r>
          <w:r>
            <w:instrText xml:space="preserve"> HYPERLINK \l _Toc6876 </w:instrText>
          </w:r>
          <w:r>
            <w:fldChar w:fldCharType="separate"/>
          </w:r>
          <w:r>
            <w:rPr>
              <w:rFonts w:hint="eastAsia"/>
            </w:rPr>
            <w:t xml:space="preserve">7.2 </w:t>
          </w:r>
          <w:r>
            <w:t>利润表</w:t>
          </w:r>
          <w:r>
            <w:tab/>
          </w:r>
          <w:r>
            <w:fldChar w:fldCharType="begin"/>
          </w:r>
          <w:r>
            <w:instrText xml:space="preserve"> PAGEREF _Toc6876 \h </w:instrText>
          </w:r>
          <w:r>
            <w:fldChar w:fldCharType="separate"/>
          </w:r>
          <w:r>
            <w:t>19</w:t>
          </w:r>
          <w:r>
            <w:fldChar w:fldCharType="end"/>
          </w:r>
          <w:r>
            <w:fldChar w:fldCharType="end"/>
          </w:r>
        </w:p>
        <w:p w14:paraId="7AD2946B">
          <w:pPr>
            <w:pStyle w:val="10"/>
            <w:tabs>
              <w:tab w:val="right" w:leader="dot" w:pos="8306"/>
            </w:tabs>
          </w:pPr>
          <w:r>
            <w:fldChar w:fldCharType="begin"/>
          </w:r>
          <w:r>
            <w:instrText xml:space="preserve"> HYPERLINK \l _Toc20128 </w:instrText>
          </w:r>
          <w:r>
            <w:fldChar w:fldCharType="separate"/>
          </w:r>
          <w:r>
            <w:rPr>
              <w:rFonts w:hint="eastAsia"/>
            </w:rPr>
            <w:t xml:space="preserve">7.3 </w:t>
          </w:r>
          <w:r>
            <w:t>净资产变动表</w:t>
          </w:r>
          <w:r>
            <w:tab/>
          </w:r>
          <w:r>
            <w:fldChar w:fldCharType="begin"/>
          </w:r>
          <w:r>
            <w:instrText xml:space="preserve"> PAGEREF _Toc20128 \h </w:instrText>
          </w:r>
          <w:r>
            <w:fldChar w:fldCharType="separate"/>
          </w:r>
          <w:r>
            <w:t>20</w:t>
          </w:r>
          <w:r>
            <w:fldChar w:fldCharType="end"/>
          </w:r>
          <w:r>
            <w:fldChar w:fldCharType="end"/>
          </w:r>
        </w:p>
        <w:p w14:paraId="77CDDB40">
          <w:pPr>
            <w:pStyle w:val="10"/>
            <w:tabs>
              <w:tab w:val="right" w:leader="dot" w:pos="8306"/>
            </w:tabs>
          </w:pPr>
          <w:r>
            <w:fldChar w:fldCharType="begin"/>
          </w:r>
          <w:r>
            <w:instrText xml:space="preserve"> HYPERLINK \l _Toc7488 </w:instrText>
          </w:r>
          <w:r>
            <w:fldChar w:fldCharType="separate"/>
          </w:r>
          <w:r>
            <w:rPr>
              <w:rFonts w:hint="eastAsia"/>
            </w:rPr>
            <w:t xml:space="preserve">7.4 </w:t>
          </w:r>
          <w:r>
            <w:t>报表附注</w:t>
          </w:r>
          <w:r>
            <w:tab/>
          </w:r>
          <w:r>
            <w:fldChar w:fldCharType="begin"/>
          </w:r>
          <w:r>
            <w:instrText xml:space="preserve"> PAGEREF _Toc7488 \h </w:instrText>
          </w:r>
          <w:r>
            <w:fldChar w:fldCharType="separate"/>
          </w:r>
          <w:r>
            <w:t>21</w:t>
          </w:r>
          <w:r>
            <w:fldChar w:fldCharType="end"/>
          </w:r>
          <w:r>
            <w:fldChar w:fldCharType="end"/>
          </w:r>
        </w:p>
        <w:p w14:paraId="0F8F81D0">
          <w:pPr>
            <w:pStyle w:val="8"/>
            <w:tabs>
              <w:tab w:val="right" w:leader="dot" w:pos="8306"/>
            </w:tabs>
          </w:pPr>
          <w:r>
            <w:fldChar w:fldCharType="begin"/>
          </w:r>
          <w:r>
            <w:instrText xml:space="preserve"> HYPERLINK \l _Toc32523 </w:instrText>
          </w:r>
          <w:r>
            <w:fldChar w:fldCharType="separate"/>
          </w:r>
          <w:r>
            <w:rPr>
              <w:rFonts w:hint="eastAsia"/>
            </w:rPr>
            <w:t xml:space="preserve">§8 </w:t>
          </w:r>
          <w:r>
            <w:t>投资组合报告</w:t>
          </w:r>
          <w:r>
            <w:tab/>
          </w:r>
          <w:r>
            <w:fldChar w:fldCharType="begin"/>
          </w:r>
          <w:r>
            <w:instrText xml:space="preserve"> PAGEREF _Toc32523 \h </w:instrText>
          </w:r>
          <w:r>
            <w:fldChar w:fldCharType="separate"/>
          </w:r>
          <w:r>
            <w:t>44</w:t>
          </w:r>
          <w:r>
            <w:fldChar w:fldCharType="end"/>
          </w:r>
          <w:r>
            <w:fldChar w:fldCharType="end"/>
          </w:r>
        </w:p>
        <w:p w14:paraId="7CC103D5">
          <w:pPr>
            <w:pStyle w:val="10"/>
            <w:tabs>
              <w:tab w:val="right" w:leader="dot" w:pos="8306"/>
            </w:tabs>
          </w:pPr>
          <w:r>
            <w:fldChar w:fldCharType="begin"/>
          </w:r>
          <w:r>
            <w:instrText xml:space="preserve"> HYPERLINK \l _Toc3671 </w:instrText>
          </w:r>
          <w:r>
            <w:fldChar w:fldCharType="separate"/>
          </w:r>
          <w:r>
            <w:rPr>
              <w:rFonts w:hint="eastAsia"/>
            </w:rPr>
            <w:t xml:space="preserve">8.1 </w:t>
          </w:r>
          <w:r>
            <w:t>期末基金资产组合情况</w:t>
          </w:r>
          <w:r>
            <w:tab/>
          </w:r>
          <w:r>
            <w:fldChar w:fldCharType="begin"/>
          </w:r>
          <w:r>
            <w:instrText xml:space="preserve"> PAGEREF _Toc3671 \h </w:instrText>
          </w:r>
          <w:r>
            <w:fldChar w:fldCharType="separate"/>
          </w:r>
          <w:r>
            <w:t>44</w:t>
          </w:r>
          <w:r>
            <w:fldChar w:fldCharType="end"/>
          </w:r>
          <w:r>
            <w:fldChar w:fldCharType="end"/>
          </w:r>
        </w:p>
        <w:p w14:paraId="30DC9BBC">
          <w:pPr>
            <w:pStyle w:val="10"/>
            <w:tabs>
              <w:tab w:val="right" w:leader="dot" w:pos="8306"/>
            </w:tabs>
          </w:pPr>
          <w:r>
            <w:fldChar w:fldCharType="begin"/>
          </w:r>
          <w:r>
            <w:instrText xml:space="preserve"> HYPERLINK \l _Toc10588 </w:instrText>
          </w:r>
          <w:r>
            <w:fldChar w:fldCharType="separate"/>
          </w:r>
          <w:r>
            <w:rPr>
              <w:rFonts w:hint="eastAsia"/>
            </w:rPr>
            <w:t xml:space="preserve">8.2 </w:t>
          </w:r>
          <w:r>
            <w:t>报告期末按行业分类的股票投资组合</w:t>
          </w:r>
          <w:r>
            <w:tab/>
          </w:r>
          <w:r>
            <w:fldChar w:fldCharType="begin"/>
          </w:r>
          <w:r>
            <w:instrText xml:space="preserve"> PAGEREF _Toc10588 \h </w:instrText>
          </w:r>
          <w:r>
            <w:fldChar w:fldCharType="separate"/>
          </w:r>
          <w:r>
            <w:t>45</w:t>
          </w:r>
          <w:r>
            <w:fldChar w:fldCharType="end"/>
          </w:r>
          <w:r>
            <w:fldChar w:fldCharType="end"/>
          </w:r>
        </w:p>
        <w:p w14:paraId="51EF0645">
          <w:pPr>
            <w:pStyle w:val="10"/>
            <w:tabs>
              <w:tab w:val="right" w:leader="dot" w:pos="8306"/>
            </w:tabs>
          </w:pPr>
          <w:r>
            <w:fldChar w:fldCharType="begin"/>
          </w:r>
          <w:r>
            <w:instrText xml:space="preserve"> HYPERLINK \l _Toc2243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_Toc2243 \h </w:instrText>
          </w:r>
          <w:r>
            <w:fldChar w:fldCharType="separate"/>
          </w:r>
          <w:r>
            <w:t>45</w:t>
          </w:r>
          <w:r>
            <w:fldChar w:fldCharType="end"/>
          </w:r>
          <w:r>
            <w:fldChar w:fldCharType="end"/>
          </w:r>
        </w:p>
        <w:p w14:paraId="2C0AC5AD">
          <w:pPr>
            <w:pStyle w:val="10"/>
            <w:tabs>
              <w:tab w:val="right" w:leader="dot" w:pos="8306"/>
            </w:tabs>
          </w:pPr>
          <w:r>
            <w:fldChar w:fldCharType="begin"/>
          </w:r>
          <w:r>
            <w:instrText xml:space="preserve"> HYPERLINK \l _Toc30622 </w:instrText>
          </w:r>
          <w:r>
            <w:fldChar w:fldCharType="separate"/>
          </w:r>
          <w:r>
            <w:rPr>
              <w:rFonts w:hint="eastAsia"/>
            </w:rPr>
            <w:t xml:space="preserve">8.4 </w:t>
          </w:r>
          <w:r>
            <w:t>报告期内股票投资组合的重大变动</w:t>
          </w:r>
          <w:r>
            <w:tab/>
          </w:r>
          <w:r>
            <w:fldChar w:fldCharType="begin"/>
          </w:r>
          <w:r>
            <w:instrText xml:space="preserve"> PAGEREF _Toc30622 \h </w:instrText>
          </w:r>
          <w:r>
            <w:fldChar w:fldCharType="separate"/>
          </w:r>
          <w:r>
            <w:t>45</w:t>
          </w:r>
          <w:r>
            <w:fldChar w:fldCharType="end"/>
          </w:r>
          <w:r>
            <w:fldChar w:fldCharType="end"/>
          </w:r>
        </w:p>
        <w:p w14:paraId="072031CD">
          <w:pPr>
            <w:pStyle w:val="10"/>
            <w:tabs>
              <w:tab w:val="right" w:leader="dot" w:pos="8306"/>
            </w:tabs>
          </w:pPr>
          <w:r>
            <w:fldChar w:fldCharType="begin"/>
          </w:r>
          <w:r>
            <w:instrText xml:space="preserve"> HYPERLINK \l _Toc26760 </w:instrText>
          </w:r>
          <w:r>
            <w:fldChar w:fldCharType="separate"/>
          </w:r>
          <w:r>
            <w:rPr>
              <w:rFonts w:hint="eastAsia"/>
            </w:rPr>
            <w:t xml:space="preserve">8.5 </w:t>
          </w:r>
          <w:r>
            <w:t>期末按债券品种分类的债券投资组合</w:t>
          </w:r>
          <w:r>
            <w:tab/>
          </w:r>
          <w:r>
            <w:fldChar w:fldCharType="begin"/>
          </w:r>
          <w:r>
            <w:instrText xml:space="preserve"> PAGEREF _Toc26760 \h </w:instrText>
          </w:r>
          <w:r>
            <w:fldChar w:fldCharType="separate"/>
          </w:r>
          <w:r>
            <w:t>45</w:t>
          </w:r>
          <w:r>
            <w:fldChar w:fldCharType="end"/>
          </w:r>
          <w:r>
            <w:fldChar w:fldCharType="end"/>
          </w:r>
        </w:p>
        <w:p w14:paraId="74EDBF9A">
          <w:pPr>
            <w:pStyle w:val="10"/>
            <w:tabs>
              <w:tab w:val="right" w:leader="dot" w:pos="8306"/>
            </w:tabs>
          </w:pPr>
          <w:r>
            <w:fldChar w:fldCharType="begin"/>
          </w:r>
          <w:r>
            <w:instrText xml:space="preserve"> HYPERLINK \l _Toc28488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_Toc28488 \h </w:instrText>
          </w:r>
          <w:r>
            <w:fldChar w:fldCharType="separate"/>
          </w:r>
          <w:r>
            <w:t>46</w:t>
          </w:r>
          <w:r>
            <w:fldChar w:fldCharType="end"/>
          </w:r>
          <w:r>
            <w:fldChar w:fldCharType="end"/>
          </w:r>
        </w:p>
        <w:p w14:paraId="7474A709">
          <w:pPr>
            <w:pStyle w:val="10"/>
            <w:tabs>
              <w:tab w:val="right" w:leader="dot" w:pos="8306"/>
            </w:tabs>
          </w:pPr>
          <w:r>
            <w:fldChar w:fldCharType="begin"/>
          </w:r>
          <w:r>
            <w:instrText xml:space="preserve"> HYPERLINK \l _Toc22723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_Toc22723 \h </w:instrText>
          </w:r>
          <w:r>
            <w:fldChar w:fldCharType="separate"/>
          </w:r>
          <w:r>
            <w:t>46</w:t>
          </w:r>
          <w:r>
            <w:fldChar w:fldCharType="end"/>
          </w:r>
          <w:r>
            <w:fldChar w:fldCharType="end"/>
          </w:r>
        </w:p>
        <w:p w14:paraId="17B48BB8">
          <w:pPr>
            <w:pStyle w:val="10"/>
            <w:tabs>
              <w:tab w:val="right" w:leader="dot" w:pos="8306"/>
            </w:tabs>
          </w:pPr>
          <w:r>
            <w:fldChar w:fldCharType="begin"/>
          </w:r>
          <w:r>
            <w:instrText xml:space="preserve"> HYPERLINK \l _Toc17557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_Toc17557 \h </w:instrText>
          </w:r>
          <w:r>
            <w:fldChar w:fldCharType="separate"/>
          </w:r>
          <w:r>
            <w:t>46</w:t>
          </w:r>
          <w:r>
            <w:fldChar w:fldCharType="end"/>
          </w:r>
          <w:r>
            <w:fldChar w:fldCharType="end"/>
          </w:r>
        </w:p>
        <w:p w14:paraId="72DBDD97">
          <w:pPr>
            <w:pStyle w:val="10"/>
            <w:tabs>
              <w:tab w:val="right" w:leader="dot" w:pos="8306"/>
            </w:tabs>
          </w:pPr>
          <w:r>
            <w:fldChar w:fldCharType="begin"/>
          </w:r>
          <w:r>
            <w:instrText xml:space="preserve"> HYPERLINK \l _Toc25605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_Toc25605 \h </w:instrText>
          </w:r>
          <w:r>
            <w:fldChar w:fldCharType="separate"/>
          </w:r>
          <w:r>
            <w:t>46</w:t>
          </w:r>
          <w:r>
            <w:fldChar w:fldCharType="end"/>
          </w:r>
          <w:r>
            <w:fldChar w:fldCharType="end"/>
          </w:r>
        </w:p>
        <w:p w14:paraId="426867FF">
          <w:pPr>
            <w:pStyle w:val="10"/>
            <w:tabs>
              <w:tab w:val="right" w:leader="dot" w:pos="8306"/>
            </w:tabs>
          </w:pPr>
          <w:r>
            <w:fldChar w:fldCharType="begin"/>
          </w:r>
          <w:r>
            <w:instrText xml:space="preserve"> HYPERLINK \l _Toc2545 </w:instrText>
          </w:r>
          <w:r>
            <w:fldChar w:fldCharType="separate"/>
          </w:r>
          <w:r>
            <w:rPr>
              <w:rFonts w:hint="eastAsia"/>
            </w:rPr>
            <w:t xml:space="preserve">8.10 </w:t>
          </w:r>
          <w:r>
            <w:t>本基金投资股指期货的投资政策</w:t>
          </w:r>
          <w:r>
            <w:tab/>
          </w:r>
          <w:r>
            <w:fldChar w:fldCharType="begin"/>
          </w:r>
          <w:r>
            <w:instrText xml:space="preserve"> PAGEREF _Toc2545 \h </w:instrText>
          </w:r>
          <w:r>
            <w:fldChar w:fldCharType="separate"/>
          </w:r>
          <w:r>
            <w:t>46</w:t>
          </w:r>
          <w:r>
            <w:fldChar w:fldCharType="end"/>
          </w:r>
          <w:r>
            <w:fldChar w:fldCharType="end"/>
          </w:r>
        </w:p>
        <w:p w14:paraId="7293A2C5">
          <w:pPr>
            <w:pStyle w:val="10"/>
            <w:tabs>
              <w:tab w:val="right" w:leader="dot" w:pos="8306"/>
            </w:tabs>
          </w:pPr>
          <w:r>
            <w:fldChar w:fldCharType="begin"/>
          </w:r>
          <w:r>
            <w:instrText xml:space="preserve"> HYPERLINK \l _Toc17573 </w:instrText>
          </w:r>
          <w:r>
            <w:fldChar w:fldCharType="separate"/>
          </w:r>
          <w:r>
            <w:rPr>
              <w:rFonts w:hint="eastAsia"/>
            </w:rPr>
            <w:t xml:space="preserve">8.11 </w:t>
          </w:r>
          <w:r>
            <w:t>报告期末本基金投资的国债期货交易情况说明</w:t>
          </w:r>
          <w:r>
            <w:tab/>
          </w:r>
          <w:r>
            <w:fldChar w:fldCharType="begin"/>
          </w:r>
          <w:r>
            <w:instrText xml:space="preserve"> PAGEREF _Toc17573 \h </w:instrText>
          </w:r>
          <w:r>
            <w:fldChar w:fldCharType="separate"/>
          </w:r>
          <w:r>
            <w:t>46</w:t>
          </w:r>
          <w:r>
            <w:fldChar w:fldCharType="end"/>
          </w:r>
          <w:r>
            <w:fldChar w:fldCharType="end"/>
          </w:r>
        </w:p>
        <w:p w14:paraId="7ADD9D07">
          <w:pPr>
            <w:pStyle w:val="10"/>
            <w:tabs>
              <w:tab w:val="right" w:leader="dot" w:pos="8306"/>
            </w:tabs>
          </w:pPr>
          <w:r>
            <w:fldChar w:fldCharType="begin"/>
          </w:r>
          <w:r>
            <w:instrText xml:space="preserve"> HYPERLINK \l _Toc9098 </w:instrText>
          </w:r>
          <w:r>
            <w:fldChar w:fldCharType="separate"/>
          </w:r>
          <w:r>
            <w:rPr>
              <w:rFonts w:hint="eastAsia"/>
            </w:rPr>
            <w:t xml:space="preserve">8.12 </w:t>
          </w:r>
          <w:r>
            <w:t>投资组合报告附注</w:t>
          </w:r>
          <w:r>
            <w:tab/>
          </w:r>
          <w:r>
            <w:fldChar w:fldCharType="begin"/>
          </w:r>
          <w:r>
            <w:instrText xml:space="preserve"> PAGEREF _Toc9098 \h </w:instrText>
          </w:r>
          <w:r>
            <w:fldChar w:fldCharType="separate"/>
          </w:r>
          <w:r>
            <w:t>47</w:t>
          </w:r>
          <w:r>
            <w:fldChar w:fldCharType="end"/>
          </w:r>
          <w:r>
            <w:fldChar w:fldCharType="end"/>
          </w:r>
        </w:p>
        <w:p w14:paraId="284F1144">
          <w:pPr>
            <w:pStyle w:val="8"/>
            <w:tabs>
              <w:tab w:val="right" w:leader="dot" w:pos="8306"/>
            </w:tabs>
          </w:pPr>
          <w:r>
            <w:fldChar w:fldCharType="begin"/>
          </w:r>
          <w:r>
            <w:instrText xml:space="preserve"> HYPERLINK \l _Toc23689 </w:instrText>
          </w:r>
          <w:r>
            <w:fldChar w:fldCharType="separate"/>
          </w:r>
          <w:r>
            <w:rPr>
              <w:rFonts w:hint="eastAsia"/>
            </w:rPr>
            <w:t xml:space="preserve">§9 </w:t>
          </w:r>
          <w:r>
            <w:t>基金份额持有人信息</w:t>
          </w:r>
          <w:r>
            <w:tab/>
          </w:r>
          <w:r>
            <w:fldChar w:fldCharType="begin"/>
          </w:r>
          <w:r>
            <w:instrText xml:space="preserve"> PAGEREF _Toc23689 \h </w:instrText>
          </w:r>
          <w:r>
            <w:fldChar w:fldCharType="separate"/>
          </w:r>
          <w:r>
            <w:t>48</w:t>
          </w:r>
          <w:r>
            <w:fldChar w:fldCharType="end"/>
          </w:r>
          <w:r>
            <w:fldChar w:fldCharType="end"/>
          </w:r>
        </w:p>
        <w:p w14:paraId="2C175A81">
          <w:pPr>
            <w:pStyle w:val="10"/>
            <w:tabs>
              <w:tab w:val="right" w:leader="dot" w:pos="8306"/>
            </w:tabs>
          </w:pPr>
          <w:r>
            <w:fldChar w:fldCharType="begin"/>
          </w:r>
          <w:r>
            <w:instrText xml:space="preserve"> HYPERLINK \l _Toc26740 </w:instrText>
          </w:r>
          <w:r>
            <w:fldChar w:fldCharType="separate"/>
          </w:r>
          <w:r>
            <w:rPr>
              <w:rFonts w:hint="eastAsia"/>
            </w:rPr>
            <w:t xml:space="preserve">9.1 </w:t>
          </w:r>
          <w:r>
            <w:t>期末基金份额持有人户数及持有人结构</w:t>
          </w:r>
          <w:r>
            <w:tab/>
          </w:r>
          <w:r>
            <w:fldChar w:fldCharType="begin"/>
          </w:r>
          <w:r>
            <w:instrText xml:space="preserve"> PAGEREF _Toc26740 \h </w:instrText>
          </w:r>
          <w:r>
            <w:fldChar w:fldCharType="separate"/>
          </w:r>
          <w:r>
            <w:t>48</w:t>
          </w:r>
          <w:r>
            <w:fldChar w:fldCharType="end"/>
          </w:r>
          <w:r>
            <w:fldChar w:fldCharType="end"/>
          </w:r>
        </w:p>
        <w:p w14:paraId="2FF4DCF6">
          <w:pPr>
            <w:pStyle w:val="10"/>
            <w:tabs>
              <w:tab w:val="right" w:leader="dot" w:pos="8306"/>
            </w:tabs>
          </w:pPr>
          <w:r>
            <w:fldChar w:fldCharType="begin"/>
          </w:r>
          <w:r>
            <w:instrText xml:space="preserve"> HYPERLINK \l _Toc14379 </w:instrText>
          </w:r>
          <w:r>
            <w:fldChar w:fldCharType="separate"/>
          </w:r>
          <w:r>
            <w:rPr>
              <w:rFonts w:hint="eastAsia"/>
            </w:rPr>
            <w:t xml:space="preserve">9.2 </w:t>
          </w:r>
          <w:r>
            <w:t>期末基金管理人的从业人员持有本基金的情况</w:t>
          </w:r>
          <w:r>
            <w:tab/>
          </w:r>
          <w:r>
            <w:fldChar w:fldCharType="begin"/>
          </w:r>
          <w:r>
            <w:instrText xml:space="preserve"> PAGEREF _Toc14379 \h </w:instrText>
          </w:r>
          <w:r>
            <w:fldChar w:fldCharType="separate"/>
          </w:r>
          <w:r>
            <w:t>48</w:t>
          </w:r>
          <w:r>
            <w:fldChar w:fldCharType="end"/>
          </w:r>
          <w:r>
            <w:fldChar w:fldCharType="end"/>
          </w:r>
        </w:p>
        <w:p w14:paraId="3E8299B3">
          <w:pPr>
            <w:pStyle w:val="10"/>
            <w:tabs>
              <w:tab w:val="right" w:leader="dot" w:pos="8306"/>
            </w:tabs>
          </w:pPr>
          <w:r>
            <w:fldChar w:fldCharType="begin"/>
          </w:r>
          <w:r>
            <w:instrText xml:space="preserve"> HYPERLINK \l _Toc26130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_Toc26130 \h </w:instrText>
          </w:r>
          <w:r>
            <w:fldChar w:fldCharType="separate"/>
          </w:r>
          <w:r>
            <w:t>48</w:t>
          </w:r>
          <w:r>
            <w:fldChar w:fldCharType="end"/>
          </w:r>
          <w:r>
            <w:fldChar w:fldCharType="end"/>
          </w:r>
        </w:p>
        <w:p w14:paraId="4A627740">
          <w:pPr>
            <w:pStyle w:val="8"/>
            <w:tabs>
              <w:tab w:val="right" w:leader="dot" w:pos="8306"/>
            </w:tabs>
          </w:pPr>
          <w:r>
            <w:fldChar w:fldCharType="begin"/>
          </w:r>
          <w:r>
            <w:instrText xml:space="preserve"> HYPERLINK \l _Toc24301 </w:instrText>
          </w:r>
          <w:r>
            <w:fldChar w:fldCharType="separate"/>
          </w:r>
          <w:r>
            <w:rPr>
              <w:rFonts w:hint="eastAsia"/>
            </w:rPr>
            <w:t xml:space="preserve">§10 </w:t>
          </w:r>
          <w:r>
            <w:t>开放式基金份额变动</w:t>
          </w:r>
          <w:r>
            <w:tab/>
          </w:r>
          <w:r>
            <w:fldChar w:fldCharType="begin"/>
          </w:r>
          <w:r>
            <w:instrText xml:space="preserve"> PAGEREF _Toc24301 \h </w:instrText>
          </w:r>
          <w:r>
            <w:fldChar w:fldCharType="separate"/>
          </w:r>
          <w:r>
            <w:t>48</w:t>
          </w:r>
          <w:r>
            <w:fldChar w:fldCharType="end"/>
          </w:r>
          <w:r>
            <w:fldChar w:fldCharType="end"/>
          </w:r>
        </w:p>
        <w:p w14:paraId="38F17A31">
          <w:pPr>
            <w:pStyle w:val="8"/>
            <w:tabs>
              <w:tab w:val="right" w:leader="dot" w:pos="8306"/>
            </w:tabs>
          </w:pPr>
          <w:r>
            <w:fldChar w:fldCharType="begin"/>
          </w:r>
          <w:r>
            <w:instrText xml:space="preserve"> HYPERLINK \l _Toc8092 </w:instrText>
          </w:r>
          <w:r>
            <w:fldChar w:fldCharType="separate"/>
          </w:r>
          <w:r>
            <w:rPr>
              <w:rFonts w:hint="eastAsia"/>
            </w:rPr>
            <w:t xml:space="preserve">§11 </w:t>
          </w:r>
          <w:r>
            <w:t>重大事件揭示</w:t>
          </w:r>
          <w:r>
            <w:tab/>
          </w:r>
          <w:r>
            <w:fldChar w:fldCharType="begin"/>
          </w:r>
          <w:r>
            <w:instrText xml:space="preserve"> PAGEREF _Toc8092 \h </w:instrText>
          </w:r>
          <w:r>
            <w:fldChar w:fldCharType="separate"/>
          </w:r>
          <w:r>
            <w:t>49</w:t>
          </w:r>
          <w:r>
            <w:fldChar w:fldCharType="end"/>
          </w:r>
          <w:r>
            <w:fldChar w:fldCharType="end"/>
          </w:r>
        </w:p>
        <w:p w14:paraId="23CE1542">
          <w:pPr>
            <w:pStyle w:val="10"/>
            <w:tabs>
              <w:tab w:val="right" w:leader="dot" w:pos="8306"/>
            </w:tabs>
          </w:pPr>
          <w:r>
            <w:fldChar w:fldCharType="begin"/>
          </w:r>
          <w:r>
            <w:instrText xml:space="preserve"> HYPERLINK \l _Toc765 </w:instrText>
          </w:r>
          <w:r>
            <w:fldChar w:fldCharType="separate"/>
          </w:r>
          <w:r>
            <w:rPr>
              <w:rFonts w:hint="eastAsia"/>
            </w:rPr>
            <w:t xml:space="preserve">11.1 </w:t>
          </w:r>
          <w:r>
            <w:t>基金份额持有人大会决议</w:t>
          </w:r>
          <w:r>
            <w:tab/>
          </w:r>
          <w:r>
            <w:fldChar w:fldCharType="begin"/>
          </w:r>
          <w:r>
            <w:instrText xml:space="preserve"> PAGEREF _Toc765 \h </w:instrText>
          </w:r>
          <w:r>
            <w:fldChar w:fldCharType="separate"/>
          </w:r>
          <w:r>
            <w:t>49</w:t>
          </w:r>
          <w:r>
            <w:fldChar w:fldCharType="end"/>
          </w:r>
          <w:r>
            <w:fldChar w:fldCharType="end"/>
          </w:r>
        </w:p>
        <w:p w14:paraId="59A6DA51">
          <w:pPr>
            <w:pStyle w:val="10"/>
            <w:tabs>
              <w:tab w:val="right" w:leader="dot" w:pos="8306"/>
            </w:tabs>
          </w:pPr>
          <w:r>
            <w:fldChar w:fldCharType="begin"/>
          </w:r>
          <w:r>
            <w:instrText xml:space="preserve"> HYPERLINK \l _Toc13050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_Toc13050 \h </w:instrText>
          </w:r>
          <w:r>
            <w:fldChar w:fldCharType="separate"/>
          </w:r>
          <w:r>
            <w:t>49</w:t>
          </w:r>
          <w:r>
            <w:fldChar w:fldCharType="end"/>
          </w:r>
          <w:r>
            <w:fldChar w:fldCharType="end"/>
          </w:r>
        </w:p>
        <w:p w14:paraId="5BF57180">
          <w:pPr>
            <w:pStyle w:val="10"/>
            <w:tabs>
              <w:tab w:val="right" w:leader="dot" w:pos="8306"/>
            </w:tabs>
          </w:pPr>
          <w:r>
            <w:fldChar w:fldCharType="begin"/>
          </w:r>
          <w:r>
            <w:instrText xml:space="preserve"> HYPERLINK \l _Toc30035 </w:instrText>
          </w:r>
          <w:r>
            <w:fldChar w:fldCharType="separate"/>
          </w:r>
          <w:r>
            <w:rPr>
              <w:rFonts w:hint="eastAsia"/>
            </w:rPr>
            <w:t xml:space="preserve">11.3 </w:t>
          </w:r>
          <w:r>
            <w:t>涉及基金管理人、基金财产、基金托管业务的诉讼</w:t>
          </w:r>
          <w:r>
            <w:tab/>
          </w:r>
          <w:r>
            <w:fldChar w:fldCharType="begin"/>
          </w:r>
          <w:r>
            <w:instrText xml:space="preserve"> PAGEREF _Toc30035 \h </w:instrText>
          </w:r>
          <w:r>
            <w:fldChar w:fldCharType="separate"/>
          </w:r>
          <w:r>
            <w:t>49</w:t>
          </w:r>
          <w:r>
            <w:fldChar w:fldCharType="end"/>
          </w:r>
          <w:r>
            <w:fldChar w:fldCharType="end"/>
          </w:r>
        </w:p>
        <w:p w14:paraId="268F4241">
          <w:pPr>
            <w:pStyle w:val="10"/>
            <w:tabs>
              <w:tab w:val="right" w:leader="dot" w:pos="8306"/>
            </w:tabs>
          </w:pPr>
          <w:r>
            <w:fldChar w:fldCharType="begin"/>
          </w:r>
          <w:r>
            <w:instrText xml:space="preserve"> HYPERLINK \l _Toc21835 </w:instrText>
          </w:r>
          <w:r>
            <w:fldChar w:fldCharType="separate"/>
          </w:r>
          <w:r>
            <w:rPr>
              <w:rFonts w:hint="eastAsia"/>
            </w:rPr>
            <w:t xml:space="preserve">11.4 </w:t>
          </w:r>
          <w:r>
            <w:t>基金投资策略的改变</w:t>
          </w:r>
          <w:r>
            <w:tab/>
          </w:r>
          <w:r>
            <w:fldChar w:fldCharType="begin"/>
          </w:r>
          <w:r>
            <w:instrText xml:space="preserve"> PAGEREF _Toc21835 \h </w:instrText>
          </w:r>
          <w:r>
            <w:fldChar w:fldCharType="separate"/>
          </w:r>
          <w:r>
            <w:t>49</w:t>
          </w:r>
          <w:r>
            <w:fldChar w:fldCharType="end"/>
          </w:r>
          <w:r>
            <w:fldChar w:fldCharType="end"/>
          </w:r>
        </w:p>
        <w:p w14:paraId="789B1838">
          <w:pPr>
            <w:pStyle w:val="10"/>
            <w:tabs>
              <w:tab w:val="right" w:leader="dot" w:pos="8306"/>
            </w:tabs>
          </w:pPr>
          <w:r>
            <w:fldChar w:fldCharType="begin"/>
          </w:r>
          <w:r>
            <w:instrText xml:space="preserve"> HYPERLINK \l _Toc9865 </w:instrText>
          </w:r>
          <w:r>
            <w:fldChar w:fldCharType="separate"/>
          </w:r>
          <w:r>
            <w:rPr>
              <w:rFonts w:hint="eastAsia"/>
            </w:rPr>
            <w:t xml:space="preserve">11.5 </w:t>
          </w:r>
          <w:r>
            <w:t>为基金进行审计的会计师事务所情况</w:t>
          </w:r>
          <w:r>
            <w:tab/>
          </w:r>
          <w:r>
            <w:fldChar w:fldCharType="begin"/>
          </w:r>
          <w:r>
            <w:instrText xml:space="preserve"> PAGEREF _Toc9865 \h </w:instrText>
          </w:r>
          <w:r>
            <w:fldChar w:fldCharType="separate"/>
          </w:r>
          <w:r>
            <w:t>49</w:t>
          </w:r>
          <w:r>
            <w:fldChar w:fldCharType="end"/>
          </w:r>
          <w:r>
            <w:fldChar w:fldCharType="end"/>
          </w:r>
        </w:p>
        <w:p w14:paraId="79844827">
          <w:pPr>
            <w:pStyle w:val="10"/>
            <w:tabs>
              <w:tab w:val="right" w:leader="dot" w:pos="8306"/>
            </w:tabs>
          </w:pPr>
          <w:r>
            <w:fldChar w:fldCharType="begin"/>
          </w:r>
          <w:r>
            <w:instrText xml:space="preserve"> HYPERLINK \l _Toc27856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_Toc27856 \h </w:instrText>
          </w:r>
          <w:r>
            <w:fldChar w:fldCharType="separate"/>
          </w:r>
          <w:r>
            <w:t>49</w:t>
          </w:r>
          <w:r>
            <w:fldChar w:fldCharType="end"/>
          </w:r>
          <w:r>
            <w:fldChar w:fldCharType="end"/>
          </w:r>
        </w:p>
        <w:p w14:paraId="74ED8EE3">
          <w:pPr>
            <w:pStyle w:val="10"/>
            <w:tabs>
              <w:tab w:val="right" w:leader="dot" w:pos="8306"/>
            </w:tabs>
          </w:pPr>
          <w:r>
            <w:fldChar w:fldCharType="begin"/>
          </w:r>
          <w:r>
            <w:instrText xml:space="preserve"> HYPERLINK \l _Toc933 </w:instrText>
          </w:r>
          <w:r>
            <w:fldChar w:fldCharType="separate"/>
          </w:r>
          <w:r>
            <w:rPr>
              <w:rFonts w:hint="eastAsia"/>
            </w:rPr>
            <w:t xml:space="preserve">11.7 </w:t>
          </w:r>
          <w:r>
            <w:t>基金租用证券公司交易单元的有关情况</w:t>
          </w:r>
          <w:r>
            <w:tab/>
          </w:r>
          <w:r>
            <w:fldChar w:fldCharType="begin"/>
          </w:r>
          <w:r>
            <w:instrText xml:space="preserve"> PAGEREF _Toc933 \h </w:instrText>
          </w:r>
          <w:r>
            <w:fldChar w:fldCharType="separate"/>
          </w:r>
          <w:r>
            <w:t>51</w:t>
          </w:r>
          <w:r>
            <w:fldChar w:fldCharType="end"/>
          </w:r>
          <w:r>
            <w:fldChar w:fldCharType="end"/>
          </w:r>
        </w:p>
        <w:p w14:paraId="71A536B1">
          <w:pPr>
            <w:pStyle w:val="10"/>
            <w:tabs>
              <w:tab w:val="right" w:leader="dot" w:pos="8306"/>
            </w:tabs>
          </w:pPr>
          <w:r>
            <w:fldChar w:fldCharType="begin"/>
          </w:r>
          <w:r>
            <w:instrText xml:space="preserve"> HYPERLINK \l _Toc31515 </w:instrText>
          </w:r>
          <w:r>
            <w:fldChar w:fldCharType="separate"/>
          </w:r>
          <w:r>
            <w:rPr>
              <w:rFonts w:hint="eastAsia"/>
            </w:rPr>
            <w:t xml:space="preserve">11.8 </w:t>
          </w:r>
          <w:r>
            <w:t>其他重大事件</w:t>
          </w:r>
          <w:r>
            <w:tab/>
          </w:r>
          <w:r>
            <w:fldChar w:fldCharType="begin"/>
          </w:r>
          <w:r>
            <w:instrText xml:space="preserve"> PAGEREF _Toc31515 \h </w:instrText>
          </w:r>
          <w:r>
            <w:fldChar w:fldCharType="separate"/>
          </w:r>
          <w:r>
            <w:t>52</w:t>
          </w:r>
          <w:r>
            <w:fldChar w:fldCharType="end"/>
          </w:r>
          <w:r>
            <w:fldChar w:fldCharType="end"/>
          </w:r>
        </w:p>
        <w:p w14:paraId="2FEB2152">
          <w:pPr>
            <w:pStyle w:val="8"/>
            <w:tabs>
              <w:tab w:val="right" w:leader="dot" w:pos="8306"/>
            </w:tabs>
          </w:pPr>
          <w:r>
            <w:fldChar w:fldCharType="begin"/>
          </w:r>
          <w:r>
            <w:instrText xml:space="preserve"> HYPERLINK \l _Toc13837 </w:instrText>
          </w:r>
          <w:r>
            <w:fldChar w:fldCharType="separate"/>
          </w:r>
          <w:r>
            <w:rPr>
              <w:rFonts w:hint="eastAsia"/>
            </w:rPr>
            <w:t xml:space="preserve">§12 </w:t>
          </w:r>
          <w:r>
            <w:t>影响投资者决策的其他重要信息</w:t>
          </w:r>
          <w:r>
            <w:tab/>
          </w:r>
          <w:r>
            <w:fldChar w:fldCharType="begin"/>
          </w:r>
          <w:r>
            <w:instrText xml:space="preserve"> PAGEREF _Toc13837 \h </w:instrText>
          </w:r>
          <w:r>
            <w:fldChar w:fldCharType="separate"/>
          </w:r>
          <w:r>
            <w:t>52</w:t>
          </w:r>
          <w:r>
            <w:fldChar w:fldCharType="end"/>
          </w:r>
          <w:r>
            <w:fldChar w:fldCharType="end"/>
          </w:r>
        </w:p>
        <w:p w14:paraId="0D3FE135">
          <w:pPr>
            <w:pStyle w:val="10"/>
            <w:tabs>
              <w:tab w:val="right" w:leader="dot" w:pos="8306"/>
            </w:tabs>
          </w:pPr>
          <w:r>
            <w:fldChar w:fldCharType="begin"/>
          </w:r>
          <w:r>
            <w:instrText xml:space="preserve"> HYPERLINK \l _Toc24997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_Toc24997 \h </w:instrText>
          </w:r>
          <w:r>
            <w:fldChar w:fldCharType="separate"/>
          </w:r>
          <w:r>
            <w:t>52</w:t>
          </w:r>
          <w:r>
            <w:fldChar w:fldCharType="end"/>
          </w:r>
          <w:r>
            <w:fldChar w:fldCharType="end"/>
          </w:r>
        </w:p>
        <w:p w14:paraId="4EB192EC">
          <w:pPr>
            <w:pStyle w:val="10"/>
            <w:tabs>
              <w:tab w:val="right" w:leader="dot" w:pos="8306"/>
            </w:tabs>
          </w:pPr>
          <w:r>
            <w:fldChar w:fldCharType="begin"/>
          </w:r>
          <w:r>
            <w:instrText xml:space="preserve"> HYPERLINK \l _Toc18494 </w:instrText>
          </w:r>
          <w:r>
            <w:fldChar w:fldCharType="separate"/>
          </w:r>
          <w:r>
            <w:rPr>
              <w:rFonts w:hint="eastAsia"/>
            </w:rPr>
            <w:t xml:space="preserve">12.2 </w:t>
          </w:r>
          <w:r>
            <w:t>影响投资者决策的其他重要信息</w:t>
          </w:r>
          <w:r>
            <w:tab/>
          </w:r>
          <w:r>
            <w:fldChar w:fldCharType="begin"/>
          </w:r>
          <w:r>
            <w:instrText xml:space="preserve"> PAGEREF _Toc18494 \h </w:instrText>
          </w:r>
          <w:r>
            <w:fldChar w:fldCharType="separate"/>
          </w:r>
          <w:r>
            <w:t>52</w:t>
          </w:r>
          <w:r>
            <w:fldChar w:fldCharType="end"/>
          </w:r>
          <w:r>
            <w:fldChar w:fldCharType="end"/>
          </w:r>
        </w:p>
        <w:p w14:paraId="3F49C370">
          <w:pPr>
            <w:pStyle w:val="8"/>
            <w:tabs>
              <w:tab w:val="right" w:leader="dot" w:pos="8306"/>
            </w:tabs>
          </w:pPr>
          <w:r>
            <w:fldChar w:fldCharType="begin"/>
          </w:r>
          <w:r>
            <w:instrText xml:space="preserve"> HYPERLINK \l _Toc7236 </w:instrText>
          </w:r>
          <w:r>
            <w:fldChar w:fldCharType="separate"/>
          </w:r>
          <w:r>
            <w:rPr>
              <w:rFonts w:hint="eastAsia"/>
            </w:rPr>
            <w:t xml:space="preserve">§13 </w:t>
          </w:r>
          <w:r>
            <w:t>备查文件目录</w:t>
          </w:r>
          <w:r>
            <w:tab/>
          </w:r>
          <w:r>
            <w:fldChar w:fldCharType="begin"/>
          </w:r>
          <w:r>
            <w:instrText xml:space="preserve"> PAGEREF _Toc7236 \h </w:instrText>
          </w:r>
          <w:r>
            <w:fldChar w:fldCharType="separate"/>
          </w:r>
          <w:r>
            <w:t>52</w:t>
          </w:r>
          <w:r>
            <w:fldChar w:fldCharType="end"/>
          </w:r>
          <w:r>
            <w:fldChar w:fldCharType="end"/>
          </w:r>
        </w:p>
        <w:p w14:paraId="3AD4F9A0">
          <w:pPr>
            <w:pStyle w:val="10"/>
            <w:tabs>
              <w:tab w:val="right" w:leader="dot" w:pos="8306"/>
            </w:tabs>
          </w:pPr>
          <w:r>
            <w:fldChar w:fldCharType="begin"/>
          </w:r>
          <w:r>
            <w:instrText xml:space="preserve"> HYPERLINK \l _Toc31986 </w:instrText>
          </w:r>
          <w:r>
            <w:fldChar w:fldCharType="separate"/>
          </w:r>
          <w:r>
            <w:rPr>
              <w:rFonts w:hint="eastAsia"/>
            </w:rPr>
            <w:t xml:space="preserve">13.1 </w:t>
          </w:r>
          <w:r>
            <w:t>备查文件目录</w:t>
          </w:r>
          <w:r>
            <w:tab/>
          </w:r>
          <w:r>
            <w:fldChar w:fldCharType="begin"/>
          </w:r>
          <w:r>
            <w:instrText xml:space="preserve"> PAGEREF _Toc31986 \h </w:instrText>
          </w:r>
          <w:r>
            <w:fldChar w:fldCharType="separate"/>
          </w:r>
          <w:r>
            <w:t>53</w:t>
          </w:r>
          <w:r>
            <w:fldChar w:fldCharType="end"/>
          </w:r>
          <w:r>
            <w:fldChar w:fldCharType="end"/>
          </w:r>
        </w:p>
        <w:p w14:paraId="5D7E6200">
          <w:pPr>
            <w:pStyle w:val="10"/>
            <w:tabs>
              <w:tab w:val="right" w:leader="dot" w:pos="8306"/>
            </w:tabs>
          </w:pPr>
          <w:r>
            <w:fldChar w:fldCharType="begin"/>
          </w:r>
          <w:r>
            <w:instrText xml:space="preserve"> HYPERLINK \l _Toc10258 </w:instrText>
          </w:r>
          <w:r>
            <w:fldChar w:fldCharType="separate"/>
          </w:r>
          <w:r>
            <w:rPr>
              <w:rFonts w:hint="eastAsia"/>
            </w:rPr>
            <w:t xml:space="preserve">13.2 </w:t>
          </w:r>
          <w:r>
            <w:t>存放地点</w:t>
          </w:r>
          <w:r>
            <w:tab/>
          </w:r>
          <w:r>
            <w:fldChar w:fldCharType="begin"/>
          </w:r>
          <w:r>
            <w:instrText xml:space="preserve"> PAGEREF _Toc10258 \h </w:instrText>
          </w:r>
          <w:r>
            <w:fldChar w:fldCharType="separate"/>
          </w:r>
          <w:r>
            <w:t>53</w:t>
          </w:r>
          <w:r>
            <w:fldChar w:fldCharType="end"/>
          </w:r>
          <w:r>
            <w:fldChar w:fldCharType="end"/>
          </w:r>
        </w:p>
        <w:p w14:paraId="3E03DBA7">
          <w:pPr>
            <w:pStyle w:val="10"/>
            <w:tabs>
              <w:tab w:val="right" w:leader="dot" w:pos="8306"/>
            </w:tabs>
          </w:pPr>
          <w:r>
            <w:fldChar w:fldCharType="begin"/>
          </w:r>
          <w:r>
            <w:instrText xml:space="preserve"> HYPERLINK \l _Toc21734 </w:instrText>
          </w:r>
          <w:r>
            <w:fldChar w:fldCharType="separate"/>
          </w:r>
          <w:r>
            <w:rPr>
              <w:rFonts w:hint="eastAsia"/>
            </w:rPr>
            <w:t xml:space="preserve">13.3 </w:t>
          </w:r>
          <w:r>
            <w:t>查阅方式</w:t>
          </w:r>
          <w:r>
            <w:tab/>
          </w:r>
          <w:r>
            <w:fldChar w:fldCharType="begin"/>
          </w:r>
          <w:r>
            <w:instrText xml:space="preserve"> PAGEREF _Toc21734 \h </w:instrText>
          </w:r>
          <w:r>
            <w:fldChar w:fldCharType="separate"/>
          </w:r>
          <w:r>
            <w:t>53</w:t>
          </w:r>
          <w:r>
            <w:fldChar w:fldCharType="end"/>
          </w:r>
          <w:r>
            <w:fldChar w:fldCharType="end"/>
          </w:r>
        </w:p>
        <w:p w14:paraId="1EA3542D">
          <w:r>
            <w:fldChar w:fldCharType="end"/>
          </w:r>
        </w:p>
      </w:sdtContent>
    </w:sdt>
    <w:p w14:paraId="0F22656C">
      <w:pPr>
        <w:pStyle w:val="26"/>
        <w:pageBreakBefore/>
      </w:pPr>
      <w:bookmarkStart w:id="5" w:name="_Toc23205"/>
      <w:r>
        <w:t>基金简介</w:t>
      </w:r>
      <w:bookmarkEnd w:id="5"/>
    </w:p>
    <w:p w14:paraId="6BB5778F">
      <w:pPr>
        <w:pStyle w:val="23"/>
      </w:pPr>
      <w:bookmarkStart w:id="6" w:name="_Toc80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BF9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DD4392">
            <w:r>
              <w:rPr>
                <w:rFonts w:hint="eastAsia"/>
              </w:rPr>
              <w:t>基金名称</w:t>
            </w:r>
          </w:p>
        </w:tc>
        <w:tc>
          <w:tcPr>
            <w:tcW w:w="2768" w:type="dxa"/>
            <w:gridSpan w:val="2"/>
            <w:vAlign w:val="center"/>
          </w:tcPr>
          <w:p w14:paraId="2D67D32F">
            <w:r>
              <w:rPr>
                <w:rFonts w:hint="eastAsia"/>
              </w:rPr>
              <w:t>南方稳航120天滚动持有债券型证券投资基金</w:t>
            </w:r>
          </w:p>
        </w:tc>
      </w:tr>
      <w:tr w14:paraId="62AC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6F4537">
            <w:r>
              <w:rPr>
                <w:rFonts w:hint="eastAsia"/>
              </w:rPr>
              <w:t>基金简称</w:t>
            </w:r>
          </w:p>
        </w:tc>
        <w:tc>
          <w:tcPr>
            <w:tcW w:w="2768" w:type="dxa"/>
            <w:gridSpan w:val="2"/>
            <w:vAlign w:val="center"/>
          </w:tcPr>
          <w:p w14:paraId="5F3A805B">
            <w:r>
              <w:rPr>
                <w:rFonts w:hint="eastAsia"/>
              </w:rPr>
              <w:t>南方稳航120天滚动持有债券</w:t>
            </w:r>
          </w:p>
        </w:tc>
      </w:tr>
      <w:tr w14:paraId="719C8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C61E8A">
            <w:r>
              <w:rPr>
                <w:rFonts w:hint="eastAsia"/>
              </w:rPr>
              <w:t>基金主代码</w:t>
            </w:r>
          </w:p>
        </w:tc>
        <w:tc>
          <w:tcPr>
            <w:tcW w:w="2768" w:type="dxa"/>
            <w:gridSpan w:val="2"/>
            <w:vAlign w:val="center"/>
          </w:tcPr>
          <w:p w14:paraId="64A35490">
            <w:r>
              <w:rPr>
                <w:rFonts w:hint="eastAsia"/>
              </w:rPr>
              <w:t>024425</w:t>
            </w:r>
          </w:p>
        </w:tc>
      </w:tr>
      <w:tr w14:paraId="45BA9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1668E4">
            <w:r>
              <w:rPr>
                <w:rFonts w:hint="eastAsia"/>
              </w:rPr>
              <w:t>交易代码</w:t>
            </w:r>
          </w:p>
        </w:tc>
        <w:tc>
          <w:tcPr>
            <w:tcW w:w="2768" w:type="dxa"/>
            <w:gridSpan w:val="2"/>
            <w:vAlign w:val="center"/>
          </w:tcPr>
          <w:p w14:paraId="21D99E28">
            <w:r>
              <w:rPr>
                <w:rFonts w:hint="eastAsia"/>
              </w:rPr>
              <w:t>024425</w:t>
            </w:r>
          </w:p>
        </w:tc>
      </w:tr>
      <w:tr w14:paraId="17A85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5456F1">
            <w:r>
              <w:rPr>
                <w:rFonts w:hint="eastAsia"/>
              </w:rPr>
              <w:t>基金运作方式</w:t>
            </w:r>
          </w:p>
        </w:tc>
        <w:tc>
          <w:tcPr>
            <w:tcW w:w="2768" w:type="dxa"/>
            <w:gridSpan w:val="2"/>
            <w:vAlign w:val="center"/>
          </w:tcPr>
          <w:p w14:paraId="3D3F3CA3">
            <w:r>
              <w:rPr>
                <w:rFonts w:hint="eastAsia"/>
              </w:rPr>
              <w:t>契约型开放式</w:t>
            </w:r>
          </w:p>
        </w:tc>
      </w:tr>
      <w:tr w14:paraId="3C49D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858C6B">
            <w:r>
              <w:rPr>
                <w:rFonts w:hint="eastAsia"/>
              </w:rPr>
              <w:t>基金合同生效日</w:t>
            </w:r>
          </w:p>
        </w:tc>
        <w:tc>
          <w:tcPr>
            <w:tcW w:w="2768" w:type="dxa"/>
            <w:gridSpan w:val="2"/>
            <w:vAlign w:val="center"/>
          </w:tcPr>
          <w:p w14:paraId="42E23B6A">
            <w:r>
              <w:rPr>
                <w:rFonts w:hint="eastAsia"/>
              </w:rPr>
              <w:t>2025年9月16日</w:t>
            </w:r>
          </w:p>
        </w:tc>
      </w:tr>
      <w:tr w14:paraId="619A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B37302">
            <w:r>
              <w:rPr>
                <w:rFonts w:hint="eastAsia"/>
              </w:rPr>
              <w:t>基金管理人</w:t>
            </w:r>
          </w:p>
        </w:tc>
        <w:tc>
          <w:tcPr>
            <w:tcW w:w="2768" w:type="dxa"/>
            <w:gridSpan w:val="2"/>
            <w:vAlign w:val="center"/>
          </w:tcPr>
          <w:p w14:paraId="6796C264">
            <w:r>
              <w:rPr>
                <w:rFonts w:hint="eastAsia"/>
              </w:rPr>
              <w:t>南方基金管理股份有限公司</w:t>
            </w:r>
          </w:p>
        </w:tc>
      </w:tr>
      <w:tr w14:paraId="5836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E8F298">
            <w:r>
              <w:rPr>
                <w:rFonts w:hint="eastAsia"/>
              </w:rPr>
              <w:t>基金托管人</w:t>
            </w:r>
          </w:p>
        </w:tc>
        <w:tc>
          <w:tcPr>
            <w:tcW w:w="2768" w:type="dxa"/>
            <w:gridSpan w:val="2"/>
            <w:vAlign w:val="center"/>
          </w:tcPr>
          <w:p w14:paraId="6501835A">
            <w:r>
              <w:rPr>
                <w:rFonts w:hint="eastAsia"/>
              </w:rPr>
              <w:t>中国农业银行股份有限公司</w:t>
            </w:r>
          </w:p>
        </w:tc>
      </w:tr>
      <w:tr w14:paraId="6337A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4845E1">
            <w:r>
              <w:rPr>
                <w:rFonts w:hint="eastAsia"/>
              </w:rPr>
              <w:t>报告期末基金份额总额</w:t>
            </w:r>
          </w:p>
        </w:tc>
        <w:tc>
          <w:tcPr>
            <w:tcW w:w="2768" w:type="dxa"/>
            <w:gridSpan w:val="2"/>
            <w:vAlign w:val="center"/>
          </w:tcPr>
          <w:p w14:paraId="1B70D9D1">
            <w:r>
              <w:rPr>
                <w:rFonts w:hint="eastAsia"/>
              </w:rPr>
              <w:t>2,055,520,849.67份</w:t>
            </w:r>
          </w:p>
        </w:tc>
      </w:tr>
      <w:tr w14:paraId="02165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1F01C0">
            <w:r>
              <w:rPr>
                <w:rFonts w:hint="eastAsia"/>
              </w:rPr>
              <w:t>基金合同存续期</w:t>
            </w:r>
          </w:p>
        </w:tc>
        <w:tc>
          <w:tcPr>
            <w:tcW w:w="2768" w:type="dxa"/>
            <w:gridSpan w:val="2"/>
            <w:vAlign w:val="center"/>
          </w:tcPr>
          <w:p w14:paraId="4E57B6B7">
            <w:r>
              <w:rPr>
                <w:rFonts w:hint="eastAsia"/>
              </w:rPr>
              <w:t>不定期</w:t>
            </w:r>
          </w:p>
        </w:tc>
      </w:tr>
      <w:tr w14:paraId="130D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E7B846">
            <w:r>
              <w:rPr>
                <w:rFonts w:hint="eastAsia"/>
              </w:rPr>
              <w:t>下属分级基金的基金简称</w:t>
            </w:r>
          </w:p>
        </w:tc>
        <w:tc>
          <w:tcPr>
            <w:tcW w:w="2768" w:type="dxa"/>
            <w:vAlign w:val="center"/>
          </w:tcPr>
          <w:p w14:paraId="2D54040E">
            <w:r>
              <w:rPr>
                <w:rFonts w:hint="eastAsia"/>
              </w:rPr>
              <w:t>南方稳航120天滚动持有债券A</w:t>
            </w:r>
          </w:p>
        </w:tc>
        <w:tc>
          <w:tcPr>
            <w:tcW w:w="2768" w:type="dxa"/>
            <w:vAlign w:val="center"/>
          </w:tcPr>
          <w:p w14:paraId="1A859499">
            <w:r>
              <w:rPr>
                <w:rFonts w:hint="eastAsia"/>
              </w:rPr>
              <w:t>南方稳航120天滚动持有债券C</w:t>
            </w:r>
          </w:p>
        </w:tc>
      </w:tr>
      <w:tr w14:paraId="337A9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429C5F">
            <w:r>
              <w:rPr>
                <w:rFonts w:hint="eastAsia"/>
              </w:rPr>
              <w:t>下属分级基金的交易代码</w:t>
            </w:r>
          </w:p>
        </w:tc>
        <w:tc>
          <w:tcPr>
            <w:tcW w:w="2768" w:type="dxa"/>
            <w:vAlign w:val="center"/>
          </w:tcPr>
          <w:p w14:paraId="18103293">
            <w:r>
              <w:rPr>
                <w:rFonts w:hint="eastAsia"/>
              </w:rPr>
              <w:t>024425</w:t>
            </w:r>
          </w:p>
        </w:tc>
        <w:tc>
          <w:tcPr>
            <w:tcW w:w="2768" w:type="dxa"/>
            <w:vAlign w:val="center"/>
          </w:tcPr>
          <w:p w14:paraId="79B66E84">
            <w:r>
              <w:rPr>
                <w:rFonts w:hint="eastAsia"/>
              </w:rPr>
              <w:t>024426</w:t>
            </w:r>
          </w:p>
        </w:tc>
      </w:tr>
      <w:tr w14:paraId="59D9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E72E9C">
            <w:r>
              <w:rPr>
                <w:rFonts w:hint="eastAsia"/>
              </w:rPr>
              <w:t>报告期末下属分级基金的份额总额</w:t>
            </w:r>
          </w:p>
        </w:tc>
        <w:tc>
          <w:tcPr>
            <w:tcW w:w="2768" w:type="dxa"/>
            <w:vAlign w:val="center"/>
          </w:tcPr>
          <w:p w14:paraId="5841874D">
            <w:r>
              <w:rPr>
                <w:rFonts w:hint="eastAsia"/>
              </w:rPr>
              <w:t>1,644,782,675.47份</w:t>
            </w:r>
          </w:p>
        </w:tc>
        <w:tc>
          <w:tcPr>
            <w:tcW w:w="2768" w:type="dxa"/>
            <w:vAlign w:val="center"/>
          </w:tcPr>
          <w:p w14:paraId="4EE9832C">
            <w:r>
              <w:rPr>
                <w:rFonts w:hint="eastAsia"/>
              </w:rPr>
              <w:t>410,738,174.20份</w:t>
            </w:r>
          </w:p>
        </w:tc>
      </w:tr>
    </w:tbl>
    <w:p w14:paraId="214749AD">
      <w:pPr>
        <w:pStyle w:val="23"/>
      </w:pPr>
      <w:bookmarkStart w:id="7" w:name="_Toc54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2E27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8D3515">
            <w:r>
              <w:rPr>
                <w:rFonts w:hint="eastAsia"/>
              </w:rPr>
              <w:t>投资目标</w:t>
            </w:r>
          </w:p>
        </w:tc>
        <w:tc>
          <w:tcPr>
            <w:tcW w:w="6644" w:type="dxa"/>
            <w:vAlign w:val="center"/>
          </w:tcPr>
          <w:p w14:paraId="3132F763">
            <w:r>
              <w:rPr>
                <w:rFonts w:hint="eastAsia"/>
              </w:rPr>
              <w:t>本基金在严格控制风险的前提下，力争获得长期稳定的投资收益。</w:t>
            </w:r>
          </w:p>
        </w:tc>
      </w:tr>
      <w:tr w14:paraId="6C85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83BD89">
            <w:r>
              <w:rPr>
                <w:rFonts w:hint="eastAsia"/>
              </w:rPr>
              <w:t>投资策略</w:t>
            </w:r>
          </w:p>
        </w:tc>
        <w:tc>
          <w:tcPr>
            <w:tcW w:w="6644" w:type="dxa"/>
            <w:vAlign w:val="center"/>
          </w:tcPr>
          <w:p w14:paraId="4E463064">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本基金具体投资策略包括信用债投资策略、收益率曲线策略、放大策略、国债期货投资策略、可转换债券和可交换债券投资策略、信用衍生品投资策略。</w:t>
            </w:r>
          </w:p>
        </w:tc>
      </w:tr>
      <w:tr w14:paraId="477F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4C2623">
            <w:r>
              <w:rPr>
                <w:rFonts w:hint="eastAsia"/>
              </w:rPr>
              <w:t>业绩比较基准</w:t>
            </w:r>
          </w:p>
        </w:tc>
        <w:tc>
          <w:tcPr>
            <w:tcW w:w="6644" w:type="dxa"/>
            <w:vAlign w:val="center"/>
          </w:tcPr>
          <w:p w14:paraId="1409B6D1">
            <w:r>
              <w:rPr>
                <w:rFonts w:hint="eastAsia"/>
              </w:rPr>
              <w:t>中债综合指数收益率×90%+银行活期存款利率（税后）×10%</w:t>
            </w:r>
          </w:p>
        </w:tc>
      </w:tr>
      <w:tr w14:paraId="40E9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BAF0EF">
            <w:r>
              <w:rPr>
                <w:rFonts w:hint="eastAsia"/>
              </w:rPr>
              <w:t>风险收益特征</w:t>
            </w:r>
          </w:p>
        </w:tc>
        <w:tc>
          <w:tcPr>
            <w:tcW w:w="6644" w:type="dxa"/>
            <w:vAlign w:val="center"/>
          </w:tcPr>
          <w:p w14:paraId="253B2469">
            <w:r>
              <w:rPr>
                <w:rFonts w:hint="eastAsia"/>
              </w:rPr>
              <w:t>本基金为债券型基金，一般而言，其长期平均风险和预期收益率理论上低于股票型基金、混合型基金，高于货币市场基金。</w:t>
            </w:r>
          </w:p>
        </w:tc>
      </w:tr>
    </w:tbl>
    <w:p w14:paraId="25BC0FF5">
      <w:pPr>
        <w:pStyle w:val="23"/>
      </w:pPr>
      <w:bookmarkStart w:id="8" w:name="_Toc2839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829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D1E8FB">
            <w:r>
              <w:rPr>
                <w:rFonts w:hint="eastAsia"/>
              </w:rPr>
              <w:t>项目</w:t>
            </w:r>
          </w:p>
        </w:tc>
        <w:tc>
          <w:tcPr>
            <w:tcW w:w="2270" w:type="dxa"/>
            <w:vAlign w:val="center"/>
          </w:tcPr>
          <w:p w14:paraId="4A85F6CD">
            <w:r>
              <w:rPr>
                <w:rFonts w:hint="eastAsia"/>
              </w:rPr>
              <w:t>基金管理人</w:t>
            </w:r>
          </w:p>
        </w:tc>
        <w:tc>
          <w:tcPr>
            <w:tcW w:w="2990" w:type="dxa"/>
            <w:vAlign w:val="center"/>
          </w:tcPr>
          <w:p w14:paraId="5C3B4F7E">
            <w:r>
              <w:rPr>
                <w:rFonts w:hint="eastAsia"/>
              </w:rPr>
              <w:t>基金托管人</w:t>
            </w:r>
          </w:p>
        </w:tc>
      </w:tr>
      <w:tr w14:paraId="059C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743386C">
            <w:r>
              <w:rPr>
                <w:rFonts w:hint="eastAsia"/>
              </w:rPr>
              <w:t>名称</w:t>
            </w:r>
          </w:p>
        </w:tc>
        <w:tc>
          <w:tcPr>
            <w:tcW w:w="2270" w:type="dxa"/>
            <w:vAlign w:val="center"/>
          </w:tcPr>
          <w:p w14:paraId="3F75433F">
            <w:r>
              <w:rPr>
                <w:rFonts w:hint="eastAsia"/>
              </w:rPr>
              <w:t>南方基金管理股份有限公司</w:t>
            </w:r>
          </w:p>
        </w:tc>
        <w:tc>
          <w:tcPr>
            <w:tcW w:w="2990" w:type="dxa"/>
            <w:vAlign w:val="center"/>
          </w:tcPr>
          <w:p w14:paraId="046B0F32">
            <w:r>
              <w:rPr>
                <w:rFonts w:hint="eastAsia"/>
              </w:rPr>
              <w:t>中国农业银行股份有限公司</w:t>
            </w:r>
          </w:p>
        </w:tc>
      </w:tr>
      <w:tr w14:paraId="2520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37E56D1">
            <w:r>
              <w:rPr>
                <w:rFonts w:hint="eastAsia"/>
              </w:rPr>
              <w:t>信息披露负责人</w:t>
            </w:r>
          </w:p>
        </w:tc>
        <w:tc>
          <w:tcPr>
            <w:tcW w:w="1384" w:type="dxa"/>
            <w:vAlign w:val="center"/>
          </w:tcPr>
          <w:p w14:paraId="045A5F3E">
            <w:r>
              <w:rPr>
                <w:rFonts w:hint="eastAsia"/>
              </w:rPr>
              <w:t>姓名</w:t>
            </w:r>
          </w:p>
        </w:tc>
        <w:tc>
          <w:tcPr>
            <w:tcW w:w="2270" w:type="dxa"/>
            <w:vAlign w:val="center"/>
          </w:tcPr>
          <w:p w14:paraId="79C00DED">
            <w:r>
              <w:rPr>
                <w:rFonts w:hint="eastAsia"/>
              </w:rPr>
              <w:t>鲍文革</w:t>
            </w:r>
          </w:p>
        </w:tc>
        <w:tc>
          <w:tcPr>
            <w:tcW w:w="2990" w:type="dxa"/>
            <w:vAlign w:val="center"/>
          </w:tcPr>
          <w:p w14:paraId="60CA2B7B">
            <w:r>
              <w:rPr>
                <w:rFonts w:hint="eastAsia"/>
              </w:rPr>
              <w:t>任航</w:t>
            </w:r>
          </w:p>
        </w:tc>
      </w:tr>
      <w:tr w14:paraId="15626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BB603C"/>
        </w:tc>
        <w:tc>
          <w:tcPr>
            <w:tcW w:w="1384" w:type="dxa"/>
            <w:vAlign w:val="center"/>
          </w:tcPr>
          <w:p w14:paraId="78D157B0">
            <w:r>
              <w:rPr>
                <w:rFonts w:hint="eastAsia"/>
              </w:rPr>
              <w:t>联系电话</w:t>
            </w:r>
          </w:p>
        </w:tc>
        <w:tc>
          <w:tcPr>
            <w:tcW w:w="2270" w:type="dxa"/>
            <w:vAlign w:val="center"/>
          </w:tcPr>
          <w:p w14:paraId="33CC9A7E">
            <w:r>
              <w:rPr>
                <w:rFonts w:hint="eastAsia"/>
              </w:rPr>
              <w:t>0755-82763888</w:t>
            </w:r>
          </w:p>
        </w:tc>
        <w:tc>
          <w:tcPr>
            <w:tcW w:w="2990" w:type="dxa"/>
            <w:vAlign w:val="center"/>
          </w:tcPr>
          <w:p w14:paraId="21B89B40">
            <w:r>
              <w:rPr>
                <w:rFonts w:hint="eastAsia"/>
              </w:rPr>
              <w:t>010-66060069</w:t>
            </w:r>
          </w:p>
        </w:tc>
      </w:tr>
      <w:tr w14:paraId="29B8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F42BBA"/>
        </w:tc>
        <w:tc>
          <w:tcPr>
            <w:tcW w:w="1384" w:type="dxa"/>
            <w:vAlign w:val="center"/>
          </w:tcPr>
          <w:p w14:paraId="25EB6FED">
            <w:r>
              <w:rPr>
                <w:rFonts w:hint="eastAsia"/>
              </w:rPr>
              <w:t>电子邮箱</w:t>
            </w:r>
          </w:p>
        </w:tc>
        <w:tc>
          <w:tcPr>
            <w:tcW w:w="2270" w:type="dxa"/>
            <w:vAlign w:val="center"/>
          </w:tcPr>
          <w:p w14:paraId="7E0790C7">
            <w:r>
              <w:rPr>
                <w:rFonts w:hint="eastAsia"/>
              </w:rPr>
              <w:t>manager@southernfund.com</w:t>
            </w:r>
          </w:p>
        </w:tc>
        <w:tc>
          <w:tcPr>
            <w:tcW w:w="2990" w:type="dxa"/>
            <w:vAlign w:val="center"/>
          </w:tcPr>
          <w:p w14:paraId="0A240326">
            <w:r>
              <w:rPr>
                <w:rFonts w:hint="eastAsia"/>
              </w:rPr>
              <w:t>tgxxpl@abchina.com</w:t>
            </w:r>
          </w:p>
        </w:tc>
      </w:tr>
      <w:tr w14:paraId="0491E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2C91C3E">
            <w:r>
              <w:rPr>
                <w:rFonts w:hint="eastAsia"/>
              </w:rPr>
              <w:t>客户服务电话</w:t>
            </w:r>
          </w:p>
        </w:tc>
        <w:tc>
          <w:tcPr>
            <w:tcW w:w="2270" w:type="dxa"/>
            <w:vAlign w:val="center"/>
          </w:tcPr>
          <w:p w14:paraId="287F8EF6">
            <w:r>
              <w:rPr>
                <w:rFonts w:hint="eastAsia"/>
              </w:rPr>
              <w:t>400-889-8899</w:t>
            </w:r>
          </w:p>
        </w:tc>
        <w:tc>
          <w:tcPr>
            <w:tcW w:w="2990" w:type="dxa"/>
            <w:vAlign w:val="center"/>
          </w:tcPr>
          <w:p w14:paraId="52814A8D">
            <w:r>
              <w:rPr>
                <w:rFonts w:hint="eastAsia"/>
              </w:rPr>
              <w:t>95599</w:t>
            </w:r>
          </w:p>
        </w:tc>
      </w:tr>
      <w:tr w14:paraId="1587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EBD1A8">
            <w:r>
              <w:rPr>
                <w:rFonts w:hint="eastAsia"/>
              </w:rPr>
              <w:t>传真</w:t>
            </w:r>
          </w:p>
        </w:tc>
        <w:tc>
          <w:tcPr>
            <w:tcW w:w="2270" w:type="dxa"/>
            <w:vAlign w:val="center"/>
          </w:tcPr>
          <w:p w14:paraId="1B0BB5E6">
            <w:r>
              <w:rPr>
                <w:rFonts w:hint="eastAsia"/>
              </w:rPr>
              <w:t>0755-82763889</w:t>
            </w:r>
          </w:p>
        </w:tc>
        <w:tc>
          <w:tcPr>
            <w:tcW w:w="2990" w:type="dxa"/>
            <w:vAlign w:val="center"/>
          </w:tcPr>
          <w:p w14:paraId="471C7A9B">
            <w:r>
              <w:rPr>
                <w:rFonts w:hint="eastAsia"/>
              </w:rPr>
              <w:t>010-68121816</w:t>
            </w:r>
          </w:p>
        </w:tc>
      </w:tr>
      <w:tr w14:paraId="79518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711B7A7">
            <w:r>
              <w:rPr>
                <w:rFonts w:hint="eastAsia"/>
              </w:rPr>
              <w:t>注册地址</w:t>
            </w:r>
          </w:p>
        </w:tc>
        <w:tc>
          <w:tcPr>
            <w:tcW w:w="2270" w:type="dxa"/>
            <w:vAlign w:val="center"/>
          </w:tcPr>
          <w:p w14:paraId="44A43430">
            <w:r>
              <w:rPr>
                <w:rFonts w:hint="eastAsia"/>
              </w:rPr>
              <w:t>深圳市福田区莲花街道益田路5999号基金大厦32-42楼</w:t>
            </w:r>
          </w:p>
        </w:tc>
        <w:tc>
          <w:tcPr>
            <w:tcW w:w="2990" w:type="dxa"/>
            <w:vAlign w:val="center"/>
          </w:tcPr>
          <w:p w14:paraId="7491C223">
            <w:r>
              <w:rPr>
                <w:rFonts w:hint="eastAsia"/>
              </w:rPr>
              <w:t>北京市东城区建国门内大街69号</w:t>
            </w:r>
          </w:p>
        </w:tc>
      </w:tr>
      <w:tr w14:paraId="2922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1BF2221">
            <w:r>
              <w:rPr>
                <w:rFonts w:hint="eastAsia"/>
              </w:rPr>
              <w:t>办公地址</w:t>
            </w:r>
          </w:p>
        </w:tc>
        <w:tc>
          <w:tcPr>
            <w:tcW w:w="2270" w:type="dxa"/>
            <w:vAlign w:val="center"/>
          </w:tcPr>
          <w:p w14:paraId="56368949">
            <w:r>
              <w:rPr>
                <w:rFonts w:hint="eastAsia"/>
              </w:rPr>
              <w:t>深圳市福田区莲花街道益田路5999号基金大厦32-42楼</w:t>
            </w:r>
          </w:p>
        </w:tc>
        <w:tc>
          <w:tcPr>
            <w:tcW w:w="2990" w:type="dxa"/>
            <w:vAlign w:val="center"/>
          </w:tcPr>
          <w:p w14:paraId="382AE7D8">
            <w:r>
              <w:rPr>
                <w:rFonts w:hint="eastAsia"/>
              </w:rPr>
              <w:t>北京市西城区复兴门内大街28号凯晨世贸中心东座F9</w:t>
            </w:r>
          </w:p>
        </w:tc>
      </w:tr>
      <w:tr w14:paraId="6F9F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5FF57BC">
            <w:r>
              <w:rPr>
                <w:rFonts w:hint="eastAsia"/>
              </w:rPr>
              <w:t>邮政编码</w:t>
            </w:r>
          </w:p>
        </w:tc>
        <w:tc>
          <w:tcPr>
            <w:tcW w:w="2270" w:type="dxa"/>
            <w:vAlign w:val="center"/>
          </w:tcPr>
          <w:p w14:paraId="29D154F6">
            <w:r>
              <w:rPr>
                <w:rFonts w:hint="eastAsia"/>
              </w:rPr>
              <w:t>518017</w:t>
            </w:r>
          </w:p>
        </w:tc>
        <w:tc>
          <w:tcPr>
            <w:tcW w:w="2990" w:type="dxa"/>
            <w:vAlign w:val="center"/>
          </w:tcPr>
          <w:p w14:paraId="02E79511">
            <w:r>
              <w:rPr>
                <w:rFonts w:hint="eastAsia"/>
              </w:rPr>
              <w:t>100031</w:t>
            </w:r>
          </w:p>
        </w:tc>
      </w:tr>
      <w:tr w14:paraId="2533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BF2D8B2">
            <w:r>
              <w:rPr>
                <w:rFonts w:hint="eastAsia"/>
              </w:rPr>
              <w:t>法定代表人</w:t>
            </w:r>
          </w:p>
        </w:tc>
        <w:tc>
          <w:tcPr>
            <w:tcW w:w="2270" w:type="dxa"/>
            <w:vAlign w:val="center"/>
          </w:tcPr>
          <w:p w14:paraId="04231FB6">
            <w:r>
              <w:rPr>
                <w:rFonts w:hint="eastAsia"/>
              </w:rPr>
              <w:t>周易</w:t>
            </w:r>
          </w:p>
        </w:tc>
        <w:tc>
          <w:tcPr>
            <w:tcW w:w="2990" w:type="dxa"/>
            <w:vAlign w:val="center"/>
          </w:tcPr>
          <w:p w14:paraId="52FA4037">
            <w:r>
              <w:rPr>
                <w:rFonts w:hint="eastAsia"/>
              </w:rPr>
              <w:t>谷澍</w:t>
            </w:r>
          </w:p>
        </w:tc>
      </w:tr>
    </w:tbl>
    <w:p w14:paraId="3E99CFC8">
      <w:pPr>
        <w:pStyle w:val="23"/>
      </w:pPr>
      <w:bookmarkStart w:id="9" w:name="_Toc1275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D7F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7A4830">
            <w:r>
              <w:rPr>
                <w:rFonts w:hint="eastAsia"/>
              </w:rPr>
              <w:t>本基金选定的信息披露报纸名称</w:t>
            </w:r>
          </w:p>
        </w:tc>
        <w:tc>
          <w:tcPr>
            <w:tcW w:w="3322" w:type="dxa"/>
            <w:vAlign w:val="center"/>
          </w:tcPr>
          <w:p w14:paraId="11B4FAA1">
            <w:r>
              <w:rPr>
                <w:rFonts w:hint="eastAsia"/>
              </w:rPr>
              <w:t>证券时报</w:t>
            </w:r>
          </w:p>
        </w:tc>
      </w:tr>
      <w:tr w14:paraId="17AA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1753F9">
            <w:r>
              <w:rPr>
                <w:rFonts w:hint="eastAsia"/>
              </w:rPr>
              <w:t>登载基金年度报告正文的管理人互联网网址</w:t>
            </w:r>
          </w:p>
        </w:tc>
        <w:tc>
          <w:tcPr>
            <w:tcW w:w="3322" w:type="dxa"/>
            <w:vAlign w:val="center"/>
          </w:tcPr>
          <w:p w14:paraId="6696DCD6">
            <w:r>
              <w:rPr>
                <w:rFonts w:hint="eastAsia"/>
              </w:rPr>
              <w:t>http://www.nffund.com</w:t>
            </w:r>
          </w:p>
        </w:tc>
      </w:tr>
      <w:tr w14:paraId="6B08A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70D6A9">
            <w:r>
              <w:rPr>
                <w:rFonts w:hint="eastAsia"/>
              </w:rPr>
              <w:t>基金年度报告备置地点</w:t>
            </w:r>
          </w:p>
        </w:tc>
        <w:tc>
          <w:tcPr>
            <w:tcW w:w="3322" w:type="dxa"/>
            <w:vAlign w:val="center"/>
          </w:tcPr>
          <w:p w14:paraId="63A841D7">
            <w:r>
              <w:rPr>
                <w:rFonts w:hint="eastAsia"/>
              </w:rPr>
              <w:t>基金管理人、基金托管人的办公地址、基金上市交易的证券交易所（如有）</w:t>
            </w:r>
          </w:p>
        </w:tc>
      </w:tr>
    </w:tbl>
    <w:p w14:paraId="239C38AB">
      <w:pPr>
        <w:pStyle w:val="23"/>
      </w:pPr>
      <w:bookmarkStart w:id="10" w:name="_Toc1489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EA7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EFE8681">
            <w:pPr>
              <w:jc w:val="center"/>
            </w:pPr>
            <w:r>
              <w:rPr>
                <w:rFonts w:hint="eastAsia"/>
                <w:b/>
              </w:rPr>
              <w:t>项目</w:t>
            </w:r>
          </w:p>
        </w:tc>
        <w:tc>
          <w:tcPr>
            <w:tcW w:w="2907" w:type="dxa"/>
            <w:shd w:val="clear" w:color="auto" w:fill="BFBFBF"/>
            <w:vAlign w:val="center"/>
          </w:tcPr>
          <w:p w14:paraId="5B989EBC">
            <w:pPr>
              <w:jc w:val="center"/>
            </w:pPr>
            <w:r>
              <w:rPr>
                <w:rFonts w:hint="eastAsia"/>
                <w:b/>
              </w:rPr>
              <w:t>名称</w:t>
            </w:r>
          </w:p>
        </w:tc>
        <w:tc>
          <w:tcPr>
            <w:tcW w:w="3876" w:type="dxa"/>
            <w:shd w:val="clear" w:color="auto" w:fill="BFBFBF"/>
            <w:vAlign w:val="center"/>
          </w:tcPr>
          <w:p w14:paraId="06449E3D">
            <w:pPr>
              <w:jc w:val="center"/>
            </w:pPr>
            <w:r>
              <w:rPr>
                <w:rFonts w:hint="eastAsia"/>
                <w:b/>
              </w:rPr>
              <w:t>办公地址</w:t>
            </w:r>
          </w:p>
        </w:tc>
      </w:tr>
      <w:tr w14:paraId="0665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71BD4AF">
            <w:r>
              <w:rPr>
                <w:rFonts w:hint="eastAsia"/>
              </w:rPr>
              <w:t>会计师事务所</w:t>
            </w:r>
          </w:p>
        </w:tc>
        <w:tc>
          <w:tcPr>
            <w:tcW w:w="2907" w:type="dxa"/>
            <w:vAlign w:val="center"/>
          </w:tcPr>
          <w:p w14:paraId="3C8D09EF">
            <w:r>
              <w:rPr>
                <w:rFonts w:hint="eastAsia"/>
              </w:rPr>
              <w:t>容诚会计师事务所（特殊普通合伙）</w:t>
            </w:r>
          </w:p>
        </w:tc>
        <w:tc>
          <w:tcPr>
            <w:tcW w:w="3876" w:type="dxa"/>
            <w:vAlign w:val="center"/>
          </w:tcPr>
          <w:p w14:paraId="78432D00">
            <w:r>
              <w:rPr>
                <w:rFonts w:hint="eastAsia"/>
              </w:rPr>
              <w:t>北京市西城区阜成门外大街22号1幢10层1001-1至1001-26</w:t>
            </w:r>
          </w:p>
        </w:tc>
      </w:tr>
      <w:tr w14:paraId="3EF1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F9A833B">
            <w:r>
              <w:rPr>
                <w:rFonts w:hint="eastAsia"/>
              </w:rPr>
              <w:t>注册登记机构</w:t>
            </w:r>
          </w:p>
        </w:tc>
        <w:tc>
          <w:tcPr>
            <w:tcW w:w="2907" w:type="dxa"/>
            <w:vAlign w:val="center"/>
          </w:tcPr>
          <w:p w14:paraId="57BA160E">
            <w:r>
              <w:rPr>
                <w:rFonts w:hint="eastAsia"/>
              </w:rPr>
              <w:t>南方基金管理股份有限公司</w:t>
            </w:r>
          </w:p>
        </w:tc>
        <w:tc>
          <w:tcPr>
            <w:tcW w:w="3876" w:type="dxa"/>
            <w:vAlign w:val="center"/>
          </w:tcPr>
          <w:p w14:paraId="77006E09">
            <w:r>
              <w:rPr>
                <w:rFonts w:hint="eastAsia"/>
              </w:rPr>
              <w:t>深圳市福田区莲花街道益田路5999号基金大厦32-42楼</w:t>
            </w:r>
          </w:p>
        </w:tc>
      </w:tr>
    </w:tbl>
    <w:p w14:paraId="75355F9B">
      <w:pPr>
        <w:pStyle w:val="26"/>
        <w:pageBreakBefore/>
      </w:pPr>
      <w:bookmarkStart w:id="11" w:name="_Toc10174"/>
      <w:r>
        <w:t>主要财务指标、基金净值表现及利润分配情况</w:t>
      </w:r>
      <w:bookmarkEnd w:id="11"/>
    </w:p>
    <w:p w14:paraId="1974C302">
      <w:pPr>
        <w:pStyle w:val="23"/>
      </w:pPr>
      <w:bookmarkStart w:id="12" w:name="_Toc7471"/>
      <w:r>
        <w:t>主要会计数据和财务指标</w:t>
      </w:r>
      <w:bookmarkEnd w:id="12"/>
    </w:p>
    <w:p w14:paraId="0BEEDD22">
      <w:pPr>
        <w:jc w:val="right"/>
        <w:rPr>
          <w:rFonts w:hint="eastAsia"/>
        </w:rPr>
      </w:pPr>
      <w:r>
        <w:rPr>
          <w:rFonts w:hint="eastAsia"/>
        </w:rPr>
        <w:t>单位：人民币元</w:t>
      </w:r>
    </w:p>
    <w:p w14:paraId="64C89679">
      <w:pPr>
        <w:pStyle w:val="18"/>
        <w:rPr>
          <w:rFonts w:hint="eastAsia"/>
        </w:rPr>
      </w:pPr>
      <w:r>
        <w:rPr>
          <w:rFonts w:hint="eastAsia"/>
        </w:rPr>
        <w:t>1、南方稳航120天滚动持有债券A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C893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56D6F0">
            <w:r>
              <w:rPr>
                <w:rFonts w:hint="eastAsia"/>
              </w:rPr>
              <w:t>3.1.1 期间数据和指标</w:t>
            </w:r>
          </w:p>
        </w:tc>
        <w:tc>
          <w:tcPr>
            <w:tcW w:w="4153" w:type="dxa"/>
            <w:vAlign w:val="center"/>
          </w:tcPr>
          <w:p w14:paraId="4339B778">
            <w:r>
              <w:rPr>
                <w:rFonts w:hint="eastAsia"/>
              </w:rPr>
              <w:t>2025年9月16日-2025年12月31日</w:t>
            </w:r>
          </w:p>
        </w:tc>
      </w:tr>
      <w:tr w14:paraId="69C9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AD1E54">
            <w:r>
              <w:rPr>
                <w:rFonts w:hint="eastAsia"/>
              </w:rPr>
              <w:t>本期已实现收益</w:t>
            </w:r>
          </w:p>
        </w:tc>
        <w:tc>
          <w:tcPr>
            <w:tcW w:w="4153" w:type="dxa"/>
            <w:vAlign w:val="center"/>
          </w:tcPr>
          <w:p w14:paraId="731D0DDC">
            <w:pPr>
              <w:jc w:val="right"/>
            </w:pPr>
            <w:r>
              <w:rPr>
                <w:rFonts w:hint="eastAsia"/>
              </w:rPr>
              <w:t>9,959,575.38</w:t>
            </w:r>
          </w:p>
        </w:tc>
      </w:tr>
      <w:tr w14:paraId="256C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40C3C4">
            <w:r>
              <w:rPr>
                <w:rFonts w:hint="eastAsia"/>
              </w:rPr>
              <w:t>本期利润</w:t>
            </w:r>
          </w:p>
        </w:tc>
        <w:tc>
          <w:tcPr>
            <w:tcW w:w="4153" w:type="dxa"/>
            <w:vAlign w:val="center"/>
          </w:tcPr>
          <w:p w14:paraId="247A9D90">
            <w:pPr>
              <w:jc w:val="right"/>
            </w:pPr>
            <w:r>
              <w:rPr>
                <w:rFonts w:hint="eastAsia"/>
              </w:rPr>
              <w:t>4,013,133.97</w:t>
            </w:r>
          </w:p>
        </w:tc>
      </w:tr>
      <w:tr w14:paraId="49B11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552FA0">
            <w:r>
              <w:rPr>
                <w:rFonts w:hint="eastAsia"/>
              </w:rPr>
              <w:t>加权平均基金份额本期利润</w:t>
            </w:r>
          </w:p>
        </w:tc>
        <w:tc>
          <w:tcPr>
            <w:tcW w:w="4153" w:type="dxa"/>
            <w:vAlign w:val="center"/>
          </w:tcPr>
          <w:p w14:paraId="31A16359">
            <w:pPr>
              <w:jc w:val="right"/>
            </w:pPr>
            <w:r>
              <w:rPr>
                <w:rFonts w:hint="eastAsia"/>
              </w:rPr>
              <w:t>0.0024</w:t>
            </w:r>
          </w:p>
        </w:tc>
      </w:tr>
      <w:tr w14:paraId="1124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42484F">
            <w:r>
              <w:rPr>
                <w:rFonts w:hint="eastAsia"/>
              </w:rPr>
              <w:t>本期加权平均净值利润率</w:t>
            </w:r>
          </w:p>
        </w:tc>
        <w:tc>
          <w:tcPr>
            <w:tcW w:w="4153" w:type="dxa"/>
            <w:vAlign w:val="center"/>
          </w:tcPr>
          <w:p w14:paraId="0C0BBA65">
            <w:pPr>
              <w:jc w:val="right"/>
            </w:pPr>
            <w:r>
              <w:rPr>
                <w:rFonts w:hint="eastAsia"/>
              </w:rPr>
              <w:t>0.24%</w:t>
            </w:r>
          </w:p>
        </w:tc>
      </w:tr>
      <w:tr w14:paraId="56973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9E0EF8">
            <w:r>
              <w:rPr>
                <w:rFonts w:hint="eastAsia"/>
              </w:rPr>
              <w:t>本期基金份额净值增长率</w:t>
            </w:r>
          </w:p>
        </w:tc>
        <w:tc>
          <w:tcPr>
            <w:tcW w:w="4153" w:type="dxa"/>
            <w:vAlign w:val="center"/>
          </w:tcPr>
          <w:p w14:paraId="7DA289B5">
            <w:pPr>
              <w:jc w:val="right"/>
            </w:pPr>
            <w:r>
              <w:rPr>
                <w:rFonts w:hint="eastAsia"/>
              </w:rPr>
              <w:t>0.24%</w:t>
            </w:r>
          </w:p>
        </w:tc>
      </w:tr>
      <w:tr w14:paraId="12C7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90260B">
            <w:r>
              <w:rPr>
                <w:rFonts w:hint="eastAsia"/>
              </w:rPr>
              <w:t>3.1.2 期末数据和指标</w:t>
            </w:r>
          </w:p>
        </w:tc>
        <w:tc>
          <w:tcPr>
            <w:tcW w:w="4153" w:type="dxa"/>
            <w:vAlign w:val="center"/>
          </w:tcPr>
          <w:p w14:paraId="197DFD24">
            <w:r>
              <w:rPr>
                <w:rFonts w:hint="eastAsia"/>
              </w:rPr>
              <w:t>2025年末</w:t>
            </w:r>
          </w:p>
        </w:tc>
      </w:tr>
      <w:tr w14:paraId="4C356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29E3F6">
            <w:r>
              <w:rPr>
                <w:rFonts w:hint="eastAsia"/>
              </w:rPr>
              <w:t>期末可供分配利润</w:t>
            </w:r>
          </w:p>
        </w:tc>
        <w:tc>
          <w:tcPr>
            <w:tcW w:w="4153" w:type="dxa"/>
            <w:vAlign w:val="center"/>
          </w:tcPr>
          <w:p w14:paraId="277BE061">
            <w:pPr>
              <w:jc w:val="right"/>
            </w:pPr>
            <w:r>
              <w:rPr>
                <w:rFonts w:hint="eastAsia"/>
              </w:rPr>
              <w:t>4,013,133.97</w:t>
            </w:r>
          </w:p>
        </w:tc>
      </w:tr>
      <w:tr w14:paraId="1C177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2BFB37">
            <w:r>
              <w:rPr>
                <w:rFonts w:hint="eastAsia"/>
              </w:rPr>
              <w:t>期末可供分配基金份额利润</w:t>
            </w:r>
          </w:p>
        </w:tc>
        <w:tc>
          <w:tcPr>
            <w:tcW w:w="4153" w:type="dxa"/>
            <w:vAlign w:val="center"/>
          </w:tcPr>
          <w:p w14:paraId="4FACF104">
            <w:pPr>
              <w:jc w:val="right"/>
            </w:pPr>
            <w:r>
              <w:rPr>
                <w:rFonts w:hint="eastAsia"/>
              </w:rPr>
              <w:t>0.0024</w:t>
            </w:r>
          </w:p>
        </w:tc>
      </w:tr>
      <w:tr w14:paraId="7D54E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DD5E14">
            <w:r>
              <w:rPr>
                <w:rFonts w:hint="eastAsia"/>
              </w:rPr>
              <w:t>期末基金资产净值</w:t>
            </w:r>
          </w:p>
        </w:tc>
        <w:tc>
          <w:tcPr>
            <w:tcW w:w="4153" w:type="dxa"/>
            <w:vAlign w:val="center"/>
          </w:tcPr>
          <w:p w14:paraId="6F63B8CB">
            <w:pPr>
              <w:jc w:val="right"/>
            </w:pPr>
            <w:r>
              <w:rPr>
                <w:rFonts w:hint="eastAsia"/>
              </w:rPr>
              <w:t>1,648,795,809.44</w:t>
            </w:r>
          </w:p>
        </w:tc>
      </w:tr>
      <w:tr w14:paraId="0A03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99FA39">
            <w:r>
              <w:rPr>
                <w:rFonts w:hint="eastAsia"/>
              </w:rPr>
              <w:t>期末基金份额净值</w:t>
            </w:r>
          </w:p>
        </w:tc>
        <w:tc>
          <w:tcPr>
            <w:tcW w:w="4153" w:type="dxa"/>
            <w:vAlign w:val="center"/>
          </w:tcPr>
          <w:p w14:paraId="024CDED5">
            <w:pPr>
              <w:jc w:val="right"/>
            </w:pPr>
            <w:r>
              <w:rPr>
                <w:rFonts w:hint="eastAsia"/>
              </w:rPr>
              <w:t>1.0024</w:t>
            </w:r>
          </w:p>
        </w:tc>
      </w:tr>
      <w:tr w14:paraId="314E9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8BBB68">
            <w:r>
              <w:rPr>
                <w:rFonts w:hint="eastAsia"/>
              </w:rPr>
              <w:t>3.1.3 累计期末指标</w:t>
            </w:r>
          </w:p>
        </w:tc>
        <w:tc>
          <w:tcPr>
            <w:tcW w:w="4153" w:type="dxa"/>
            <w:vAlign w:val="center"/>
          </w:tcPr>
          <w:p w14:paraId="520A89D3">
            <w:r>
              <w:rPr>
                <w:rFonts w:hint="eastAsia"/>
              </w:rPr>
              <w:t>2025年末</w:t>
            </w:r>
          </w:p>
        </w:tc>
      </w:tr>
      <w:tr w14:paraId="1E6BA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DC70B7">
            <w:r>
              <w:rPr>
                <w:rFonts w:hint="eastAsia"/>
              </w:rPr>
              <w:t>基金份额累计净值增长率</w:t>
            </w:r>
          </w:p>
        </w:tc>
        <w:tc>
          <w:tcPr>
            <w:tcW w:w="4153" w:type="dxa"/>
            <w:vAlign w:val="center"/>
          </w:tcPr>
          <w:p w14:paraId="3A7FFB55">
            <w:pPr>
              <w:jc w:val="right"/>
            </w:pPr>
            <w:r>
              <w:rPr>
                <w:rFonts w:hint="eastAsia"/>
              </w:rPr>
              <w:t>0.24%</w:t>
            </w:r>
          </w:p>
        </w:tc>
      </w:tr>
    </w:tbl>
    <w:p w14:paraId="108B5BC3">
      <w:pPr>
        <w:pStyle w:val="18"/>
        <w:rPr>
          <w:rFonts w:hint="eastAsia"/>
        </w:rPr>
      </w:pPr>
      <w:r>
        <w:rPr>
          <w:rFonts w:hint="eastAsia"/>
        </w:rPr>
        <w:t>2、南方稳航120天滚动持有债券C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B88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9C17D3">
            <w:r>
              <w:rPr>
                <w:rFonts w:hint="eastAsia"/>
              </w:rPr>
              <w:t>3.1.1 期间数据和指标</w:t>
            </w:r>
          </w:p>
        </w:tc>
        <w:tc>
          <w:tcPr>
            <w:tcW w:w="4153" w:type="dxa"/>
            <w:vAlign w:val="center"/>
          </w:tcPr>
          <w:p w14:paraId="737321EB">
            <w:r>
              <w:rPr>
                <w:rFonts w:hint="eastAsia"/>
              </w:rPr>
              <w:t>2025年9月16日-2025年12月31日</w:t>
            </w:r>
          </w:p>
        </w:tc>
      </w:tr>
      <w:tr w14:paraId="582C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1DCBC6">
            <w:r>
              <w:rPr>
                <w:rFonts w:hint="eastAsia"/>
              </w:rPr>
              <w:t>本期已实现收益</w:t>
            </w:r>
          </w:p>
        </w:tc>
        <w:tc>
          <w:tcPr>
            <w:tcW w:w="4153" w:type="dxa"/>
            <w:vAlign w:val="center"/>
          </w:tcPr>
          <w:p w14:paraId="7A6F93F1">
            <w:pPr>
              <w:jc w:val="right"/>
            </w:pPr>
            <w:r>
              <w:rPr>
                <w:rFonts w:hint="eastAsia"/>
              </w:rPr>
              <w:t>2,247,533.59</w:t>
            </w:r>
          </w:p>
        </w:tc>
      </w:tr>
      <w:tr w14:paraId="5F53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C982DF">
            <w:r>
              <w:rPr>
                <w:rFonts w:hint="eastAsia"/>
              </w:rPr>
              <w:t>本期利润</w:t>
            </w:r>
          </w:p>
        </w:tc>
        <w:tc>
          <w:tcPr>
            <w:tcW w:w="4153" w:type="dxa"/>
            <w:vAlign w:val="center"/>
          </w:tcPr>
          <w:p w14:paraId="6603E6CC">
            <w:pPr>
              <w:jc w:val="right"/>
            </w:pPr>
            <w:r>
              <w:rPr>
                <w:rFonts w:hint="eastAsia"/>
              </w:rPr>
              <w:t>763,093.69</w:t>
            </w:r>
          </w:p>
        </w:tc>
      </w:tr>
      <w:tr w14:paraId="65A9D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07C170">
            <w:r>
              <w:rPr>
                <w:rFonts w:hint="eastAsia"/>
              </w:rPr>
              <w:t>加权平均基金份额本期利润</w:t>
            </w:r>
          </w:p>
        </w:tc>
        <w:tc>
          <w:tcPr>
            <w:tcW w:w="4153" w:type="dxa"/>
            <w:vAlign w:val="center"/>
          </w:tcPr>
          <w:p w14:paraId="5F76437B">
            <w:pPr>
              <w:jc w:val="right"/>
            </w:pPr>
            <w:r>
              <w:rPr>
                <w:rFonts w:hint="eastAsia"/>
              </w:rPr>
              <w:t>0.0019</w:t>
            </w:r>
          </w:p>
        </w:tc>
      </w:tr>
      <w:tr w14:paraId="78F8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5CC0AD">
            <w:r>
              <w:rPr>
                <w:rFonts w:hint="eastAsia"/>
              </w:rPr>
              <w:t>本期加权平均净值利润率</w:t>
            </w:r>
          </w:p>
        </w:tc>
        <w:tc>
          <w:tcPr>
            <w:tcW w:w="4153" w:type="dxa"/>
            <w:vAlign w:val="center"/>
          </w:tcPr>
          <w:p w14:paraId="46FB014A">
            <w:pPr>
              <w:jc w:val="right"/>
            </w:pPr>
            <w:r>
              <w:rPr>
                <w:rFonts w:hint="eastAsia"/>
              </w:rPr>
              <w:t>0.19%</w:t>
            </w:r>
          </w:p>
        </w:tc>
      </w:tr>
      <w:tr w14:paraId="0607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B70A39">
            <w:r>
              <w:rPr>
                <w:rFonts w:hint="eastAsia"/>
              </w:rPr>
              <w:t>本期基金份额净值增长率</w:t>
            </w:r>
          </w:p>
        </w:tc>
        <w:tc>
          <w:tcPr>
            <w:tcW w:w="4153" w:type="dxa"/>
            <w:vAlign w:val="center"/>
          </w:tcPr>
          <w:p w14:paraId="40F0FF49">
            <w:pPr>
              <w:jc w:val="right"/>
            </w:pPr>
            <w:r>
              <w:rPr>
                <w:rFonts w:hint="eastAsia"/>
              </w:rPr>
              <w:t>0.19%</w:t>
            </w:r>
          </w:p>
        </w:tc>
      </w:tr>
      <w:tr w14:paraId="55B16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562B1A">
            <w:r>
              <w:rPr>
                <w:rFonts w:hint="eastAsia"/>
              </w:rPr>
              <w:t>3.1.2 期末数据和指标</w:t>
            </w:r>
          </w:p>
        </w:tc>
        <w:tc>
          <w:tcPr>
            <w:tcW w:w="4153" w:type="dxa"/>
            <w:vAlign w:val="center"/>
          </w:tcPr>
          <w:p w14:paraId="6E5E4F9C">
            <w:r>
              <w:rPr>
                <w:rFonts w:hint="eastAsia"/>
              </w:rPr>
              <w:t>2025年末</w:t>
            </w:r>
          </w:p>
        </w:tc>
      </w:tr>
      <w:tr w14:paraId="32A5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EDEBE6">
            <w:r>
              <w:rPr>
                <w:rFonts w:hint="eastAsia"/>
              </w:rPr>
              <w:t>期末可供分配利润</w:t>
            </w:r>
          </w:p>
        </w:tc>
        <w:tc>
          <w:tcPr>
            <w:tcW w:w="4153" w:type="dxa"/>
            <w:vAlign w:val="center"/>
          </w:tcPr>
          <w:p w14:paraId="6233EE83">
            <w:pPr>
              <w:jc w:val="right"/>
            </w:pPr>
            <w:r>
              <w:rPr>
                <w:rFonts w:hint="eastAsia"/>
              </w:rPr>
              <w:t>763,093.69</w:t>
            </w:r>
          </w:p>
        </w:tc>
      </w:tr>
      <w:tr w14:paraId="36F63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054405">
            <w:r>
              <w:rPr>
                <w:rFonts w:hint="eastAsia"/>
              </w:rPr>
              <w:t>期末可供分配基金份额利润</w:t>
            </w:r>
          </w:p>
        </w:tc>
        <w:tc>
          <w:tcPr>
            <w:tcW w:w="4153" w:type="dxa"/>
            <w:vAlign w:val="center"/>
          </w:tcPr>
          <w:p w14:paraId="301792DF">
            <w:pPr>
              <w:jc w:val="right"/>
            </w:pPr>
            <w:r>
              <w:rPr>
                <w:rFonts w:hint="eastAsia"/>
              </w:rPr>
              <w:t>0.0018</w:t>
            </w:r>
          </w:p>
        </w:tc>
      </w:tr>
      <w:tr w14:paraId="6273D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4679E7">
            <w:r>
              <w:rPr>
                <w:rFonts w:hint="eastAsia"/>
              </w:rPr>
              <w:t>期末基金资产净值</w:t>
            </w:r>
          </w:p>
        </w:tc>
        <w:tc>
          <w:tcPr>
            <w:tcW w:w="4153" w:type="dxa"/>
            <w:vAlign w:val="center"/>
          </w:tcPr>
          <w:p w14:paraId="0D769969">
            <w:pPr>
              <w:jc w:val="right"/>
            </w:pPr>
            <w:r>
              <w:rPr>
                <w:rFonts w:hint="eastAsia"/>
              </w:rPr>
              <w:t>411,501,267.89</w:t>
            </w:r>
          </w:p>
        </w:tc>
      </w:tr>
      <w:tr w14:paraId="6455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573C0F">
            <w:r>
              <w:rPr>
                <w:rFonts w:hint="eastAsia"/>
              </w:rPr>
              <w:t>期末基金份额净值</w:t>
            </w:r>
          </w:p>
        </w:tc>
        <w:tc>
          <w:tcPr>
            <w:tcW w:w="4153" w:type="dxa"/>
            <w:vAlign w:val="center"/>
          </w:tcPr>
          <w:p w14:paraId="2F332EDA">
            <w:pPr>
              <w:jc w:val="right"/>
            </w:pPr>
            <w:r>
              <w:rPr>
                <w:rFonts w:hint="eastAsia"/>
              </w:rPr>
              <w:t>1.0019</w:t>
            </w:r>
          </w:p>
        </w:tc>
      </w:tr>
      <w:tr w14:paraId="1FEEF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CEBB3A">
            <w:r>
              <w:rPr>
                <w:rFonts w:hint="eastAsia"/>
              </w:rPr>
              <w:t>3.1.3 累计期末指标</w:t>
            </w:r>
          </w:p>
        </w:tc>
        <w:tc>
          <w:tcPr>
            <w:tcW w:w="4153" w:type="dxa"/>
            <w:vAlign w:val="center"/>
          </w:tcPr>
          <w:p w14:paraId="7199B302">
            <w:r>
              <w:rPr>
                <w:rFonts w:hint="eastAsia"/>
              </w:rPr>
              <w:t>2025年末</w:t>
            </w:r>
          </w:p>
        </w:tc>
      </w:tr>
      <w:tr w14:paraId="16EA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312B61">
            <w:r>
              <w:rPr>
                <w:rFonts w:hint="eastAsia"/>
              </w:rPr>
              <w:t>基金份额累计净值增长率</w:t>
            </w:r>
          </w:p>
        </w:tc>
        <w:tc>
          <w:tcPr>
            <w:tcW w:w="4153" w:type="dxa"/>
            <w:vAlign w:val="center"/>
          </w:tcPr>
          <w:p w14:paraId="10D685E3">
            <w:pPr>
              <w:jc w:val="right"/>
            </w:pPr>
            <w:r>
              <w:rPr>
                <w:rFonts w:hint="eastAsia"/>
              </w:rPr>
              <w:t>0.19%</w:t>
            </w:r>
          </w:p>
        </w:tc>
      </w:tr>
    </w:tbl>
    <w:p w14:paraId="117A860D">
      <w:pPr>
        <w:pStyle w:val="47"/>
        <w:rPr>
          <w:rFonts w:hint="eastAsia"/>
        </w:rPr>
      </w:pPr>
      <w:r>
        <w:rPr>
          <w:rFonts w:hint="eastAsia"/>
        </w:rPr>
        <w:t>注：基金业绩指标不包括持有人认（申）购或交易基金的各项费用，计入费用后实际收益水平要低于所列数字；</w:t>
      </w:r>
    </w:p>
    <w:p w14:paraId="58A0EBC9">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E5D91C4">
      <w:pPr>
        <w:pStyle w:val="47"/>
        <w:rPr>
          <w:rFonts w:hint="eastAsia"/>
        </w:rPr>
      </w:pPr>
      <w:r>
        <w:tab/>
      </w:r>
      <w:r>
        <w:rPr>
          <w:rFonts w:hint="eastAsia"/>
        </w:rPr>
        <w:t>对期末可供分配利润，采用期末资产负债表中未分配利润与未分配利润中已实现部分的孰低数；</w:t>
      </w:r>
    </w:p>
    <w:p w14:paraId="6C181757">
      <w:pPr>
        <w:pStyle w:val="47"/>
        <w:rPr>
          <w:rFonts w:hint="eastAsia"/>
        </w:rPr>
      </w:pPr>
      <w:r>
        <w:tab/>
      </w:r>
      <w:r>
        <w:rPr>
          <w:rFonts w:hint="eastAsia"/>
        </w:rPr>
        <w:t>本基金合同生效日为2025年9月16日，基金合同生效日至本报告期末，本基金运作时间未满一年。</w:t>
      </w:r>
    </w:p>
    <w:p w14:paraId="75E4F649">
      <w:pPr>
        <w:pStyle w:val="23"/>
      </w:pPr>
      <w:bookmarkStart w:id="13" w:name="_Toc19423"/>
      <w:r>
        <w:t>基金净值表现</w:t>
      </w:r>
      <w:bookmarkEnd w:id="13"/>
      <w:r>
        <w:t xml:space="preserve"> </w:t>
      </w:r>
    </w:p>
    <w:p w14:paraId="219A6BD6">
      <w:pPr>
        <w:pStyle w:val="28"/>
      </w:pPr>
      <w:bookmarkStart w:id="14" w:name="_Toc14"/>
      <w:r>
        <w:t xml:space="preserve">基金份额净值增长率及其与同期业绩比较基准收益率的比较 </w:t>
      </w:r>
      <w:bookmarkEnd w:id="14"/>
    </w:p>
    <w:p w14:paraId="771B100B">
      <w:pPr>
        <w:pStyle w:val="18"/>
        <w:rPr>
          <w:rFonts w:hint="eastAsia"/>
        </w:rPr>
      </w:pPr>
      <w:r>
        <w:rPr>
          <w:rFonts w:hint="eastAsia"/>
        </w:rPr>
        <w:t>南方稳航120天滚动持有债券A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FED2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ACAAE2C">
            <w:pPr>
              <w:jc w:val="center"/>
            </w:pPr>
            <w:r>
              <w:rPr>
                <w:rFonts w:hint="eastAsia"/>
                <w:b/>
              </w:rPr>
              <w:t>阶段</w:t>
            </w:r>
          </w:p>
        </w:tc>
        <w:tc>
          <w:tcPr>
            <w:tcW w:w="1101" w:type="dxa"/>
            <w:shd w:val="clear" w:color="auto" w:fill="BFBFBF"/>
            <w:vAlign w:val="center"/>
          </w:tcPr>
          <w:p w14:paraId="1799F708">
            <w:pPr>
              <w:jc w:val="center"/>
            </w:pPr>
            <w:r>
              <w:rPr>
                <w:rFonts w:hint="eastAsia"/>
                <w:b/>
              </w:rPr>
              <w:t>份额净值增长率①</w:t>
            </w:r>
          </w:p>
        </w:tc>
        <w:tc>
          <w:tcPr>
            <w:tcW w:w="1101" w:type="dxa"/>
            <w:shd w:val="clear" w:color="auto" w:fill="BFBFBF"/>
            <w:vAlign w:val="center"/>
          </w:tcPr>
          <w:p w14:paraId="5DE3FA9C">
            <w:pPr>
              <w:jc w:val="center"/>
            </w:pPr>
            <w:r>
              <w:rPr>
                <w:rFonts w:hint="eastAsia"/>
                <w:b/>
              </w:rPr>
              <w:t>份额净值增长率标准差②</w:t>
            </w:r>
          </w:p>
        </w:tc>
        <w:tc>
          <w:tcPr>
            <w:tcW w:w="1101" w:type="dxa"/>
            <w:shd w:val="clear" w:color="auto" w:fill="BFBFBF"/>
            <w:vAlign w:val="center"/>
          </w:tcPr>
          <w:p w14:paraId="3CE0D3AE">
            <w:pPr>
              <w:jc w:val="center"/>
            </w:pPr>
            <w:r>
              <w:rPr>
                <w:rFonts w:hint="eastAsia"/>
                <w:b/>
              </w:rPr>
              <w:t>业绩比较基准收益率③</w:t>
            </w:r>
          </w:p>
        </w:tc>
        <w:tc>
          <w:tcPr>
            <w:tcW w:w="1207" w:type="dxa"/>
            <w:shd w:val="clear" w:color="auto" w:fill="BFBFBF"/>
            <w:vAlign w:val="center"/>
          </w:tcPr>
          <w:p w14:paraId="58AC929C">
            <w:pPr>
              <w:jc w:val="center"/>
            </w:pPr>
            <w:r>
              <w:rPr>
                <w:rFonts w:hint="eastAsia"/>
                <w:b/>
              </w:rPr>
              <w:t>业绩比较基准收益率标准差④</w:t>
            </w:r>
          </w:p>
        </w:tc>
        <w:tc>
          <w:tcPr>
            <w:tcW w:w="1251" w:type="dxa"/>
            <w:shd w:val="clear" w:color="auto" w:fill="BFBFBF"/>
            <w:vAlign w:val="center"/>
          </w:tcPr>
          <w:p w14:paraId="2FCA16A3">
            <w:pPr>
              <w:jc w:val="center"/>
            </w:pPr>
            <w:r>
              <w:rPr>
                <w:rFonts w:hint="eastAsia"/>
                <w:b/>
              </w:rPr>
              <w:t>①-③</w:t>
            </w:r>
          </w:p>
        </w:tc>
        <w:tc>
          <w:tcPr>
            <w:tcW w:w="1218" w:type="dxa"/>
            <w:shd w:val="clear" w:color="auto" w:fill="BFBFBF"/>
            <w:vAlign w:val="center"/>
          </w:tcPr>
          <w:p w14:paraId="58010365">
            <w:pPr>
              <w:jc w:val="center"/>
            </w:pPr>
            <w:r>
              <w:rPr>
                <w:rFonts w:hint="eastAsia"/>
                <w:b/>
              </w:rPr>
              <w:t>②-④</w:t>
            </w:r>
          </w:p>
        </w:tc>
      </w:tr>
      <w:tr w14:paraId="58503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6D3B551">
            <w:r>
              <w:rPr>
                <w:rFonts w:hint="eastAsia"/>
              </w:rPr>
              <w:t>过去三个月</w:t>
            </w:r>
          </w:p>
        </w:tc>
        <w:tc>
          <w:tcPr>
            <w:tcW w:w="1101" w:type="dxa"/>
            <w:vAlign w:val="center"/>
          </w:tcPr>
          <w:p w14:paraId="54E6006B">
            <w:pPr>
              <w:jc w:val="right"/>
            </w:pPr>
            <w:r>
              <w:rPr>
                <w:rFonts w:hint="eastAsia"/>
              </w:rPr>
              <w:t>0.20%</w:t>
            </w:r>
          </w:p>
        </w:tc>
        <w:tc>
          <w:tcPr>
            <w:tcW w:w="1101" w:type="dxa"/>
            <w:vAlign w:val="center"/>
          </w:tcPr>
          <w:p w14:paraId="2804B582">
            <w:pPr>
              <w:jc w:val="right"/>
            </w:pPr>
            <w:r>
              <w:rPr>
                <w:rFonts w:hint="eastAsia"/>
              </w:rPr>
              <w:t>0.01%</w:t>
            </w:r>
          </w:p>
        </w:tc>
        <w:tc>
          <w:tcPr>
            <w:tcW w:w="1101" w:type="dxa"/>
            <w:vAlign w:val="center"/>
          </w:tcPr>
          <w:p w14:paraId="1B4801B2">
            <w:pPr>
              <w:jc w:val="right"/>
            </w:pPr>
            <w:r>
              <w:rPr>
                <w:rFonts w:hint="eastAsia"/>
              </w:rPr>
              <w:t>0.05%</w:t>
            </w:r>
          </w:p>
        </w:tc>
        <w:tc>
          <w:tcPr>
            <w:tcW w:w="1207" w:type="dxa"/>
            <w:vAlign w:val="center"/>
          </w:tcPr>
          <w:p w14:paraId="196277A0">
            <w:pPr>
              <w:jc w:val="right"/>
            </w:pPr>
            <w:r>
              <w:rPr>
                <w:rFonts w:hint="eastAsia"/>
              </w:rPr>
              <w:t>0.05%</w:t>
            </w:r>
          </w:p>
        </w:tc>
        <w:tc>
          <w:tcPr>
            <w:tcW w:w="1251" w:type="dxa"/>
            <w:vAlign w:val="center"/>
          </w:tcPr>
          <w:p w14:paraId="51011A18">
            <w:pPr>
              <w:jc w:val="right"/>
            </w:pPr>
            <w:r>
              <w:rPr>
                <w:rFonts w:hint="eastAsia"/>
              </w:rPr>
              <w:t>0.15%</w:t>
            </w:r>
          </w:p>
        </w:tc>
        <w:tc>
          <w:tcPr>
            <w:tcW w:w="1218" w:type="dxa"/>
            <w:vAlign w:val="center"/>
          </w:tcPr>
          <w:p w14:paraId="4F6CA54F">
            <w:pPr>
              <w:jc w:val="right"/>
            </w:pPr>
            <w:r>
              <w:rPr>
                <w:rFonts w:hint="eastAsia"/>
              </w:rPr>
              <w:t>-0.04%</w:t>
            </w:r>
          </w:p>
        </w:tc>
      </w:tr>
      <w:tr w14:paraId="58B0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2DF125C">
            <w:r>
              <w:rPr>
                <w:rFonts w:hint="eastAsia"/>
              </w:rPr>
              <w:t>自基金合同生效起至今</w:t>
            </w:r>
          </w:p>
        </w:tc>
        <w:tc>
          <w:tcPr>
            <w:tcW w:w="1101" w:type="dxa"/>
            <w:vAlign w:val="center"/>
          </w:tcPr>
          <w:p w14:paraId="659EECAE">
            <w:pPr>
              <w:jc w:val="right"/>
            </w:pPr>
            <w:r>
              <w:rPr>
                <w:rFonts w:hint="eastAsia"/>
              </w:rPr>
              <w:t>0.24%</w:t>
            </w:r>
          </w:p>
        </w:tc>
        <w:tc>
          <w:tcPr>
            <w:tcW w:w="1101" w:type="dxa"/>
            <w:vAlign w:val="center"/>
          </w:tcPr>
          <w:p w14:paraId="11E28C2A">
            <w:pPr>
              <w:jc w:val="right"/>
            </w:pPr>
            <w:r>
              <w:rPr>
                <w:rFonts w:hint="eastAsia"/>
              </w:rPr>
              <w:t>0.01%</w:t>
            </w:r>
          </w:p>
        </w:tc>
        <w:tc>
          <w:tcPr>
            <w:tcW w:w="1101" w:type="dxa"/>
            <w:vAlign w:val="center"/>
          </w:tcPr>
          <w:p w14:paraId="1945D503">
            <w:pPr>
              <w:jc w:val="right"/>
            </w:pPr>
            <w:r>
              <w:rPr>
                <w:rFonts w:hint="eastAsia"/>
              </w:rPr>
              <w:t>-0.27%</w:t>
            </w:r>
          </w:p>
        </w:tc>
        <w:tc>
          <w:tcPr>
            <w:tcW w:w="1207" w:type="dxa"/>
            <w:vAlign w:val="center"/>
          </w:tcPr>
          <w:p w14:paraId="52D2EEB9">
            <w:pPr>
              <w:jc w:val="right"/>
            </w:pPr>
            <w:r>
              <w:rPr>
                <w:rFonts w:hint="eastAsia"/>
              </w:rPr>
              <w:t>0.05%</w:t>
            </w:r>
          </w:p>
        </w:tc>
        <w:tc>
          <w:tcPr>
            <w:tcW w:w="1251" w:type="dxa"/>
            <w:vAlign w:val="center"/>
          </w:tcPr>
          <w:p w14:paraId="30C9680F">
            <w:pPr>
              <w:jc w:val="right"/>
            </w:pPr>
            <w:r>
              <w:rPr>
                <w:rFonts w:hint="eastAsia"/>
              </w:rPr>
              <w:t>0.51%</w:t>
            </w:r>
          </w:p>
        </w:tc>
        <w:tc>
          <w:tcPr>
            <w:tcW w:w="1218" w:type="dxa"/>
            <w:vAlign w:val="center"/>
          </w:tcPr>
          <w:p w14:paraId="7F1D20AF">
            <w:pPr>
              <w:jc w:val="right"/>
            </w:pPr>
            <w:r>
              <w:rPr>
                <w:rFonts w:hint="eastAsia"/>
              </w:rPr>
              <w:t>-0.04%</w:t>
            </w:r>
          </w:p>
        </w:tc>
      </w:tr>
    </w:tbl>
    <w:p w14:paraId="548CEBF6">
      <w:pPr>
        <w:pStyle w:val="18"/>
        <w:rPr>
          <w:rFonts w:hint="eastAsia"/>
        </w:rPr>
      </w:pPr>
      <w:r>
        <w:rPr>
          <w:rFonts w:hint="eastAsia"/>
        </w:rPr>
        <w:t>南方稳航120天滚动持有债券C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DCF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A935ECA">
            <w:pPr>
              <w:jc w:val="center"/>
            </w:pPr>
            <w:r>
              <w:rPr>
                <w:rFonts w:hint="eastAsia"/>
                <w:b/>
              </w:rPr>
              <w:t>阶段</w:t>
            </w:r>
          </w:p>
        </w:tc>
        <w:tc>
          <w:tcPr>
            <w:tcW w:w="1101" w:type="dxa"/>
            <w:shd w:val="clear" w:color="auto" w:fill="BFBFBF"/>
            <w:vAlign w:val="center"/>
          </w:tcPr>
          <w:p w14:paraId="75D94D4C">
            <w:pPr>
              <w:jc w:val="center"/>
            </w:pPr>
            <w:r>
              <w:rPr>
                <w:rFonts w:hint="eastAsia"/>
                <w:b/>
              </w:rPr>
              <w:t>份额净值增长率①</w:t>
            </w:r>
          </w:p>
        </w:tc>
        <w:tc>
          <w:tcPr>
            <w:tcW w:w="1101" w:type="dxa"/>
            <w:shd w:val="clear" w:color="auto" w:fill="BFBFBF"/>
            <w:vAlign w:val="center"/>
          </w:tcPr>
          <w:p w14:paraId="15A8FB61">
            <w:pPr>
              <w:jc w:val="center"/>
            </w:pPr>
            <w:r>
              <w:rPr>
                <w:rFonts w:hint="eastAsia"/>
                <w:b/>
              </w:rPr>
              <w:t>份额净值增长率标准差②</w:t>
            </w:r>
          </w:p>
        </w:tc>
        <w:tc>
          <w:tcPr>
            <w:tcW w:w="1101" w:type="dxa"/>
            <w:shd w:val="clear" w:color="auto" w:fill="BFBFBF"/>
            <w:vAlign w:val="center"/>
          </w:tcPr>
          <w:p w14:paraId="575991AD">
            <w:pPr>
              <w:jc w:val="center"/>
            </w:pPr>
            <w:r>
              <w:rPr>
                <w:rFonts w:hint="eastAsia"/>
                <w:b/>
              </w:rPr>
              <w:t>业绩比较基准收益率③</w:t>
            </w:r>
          </w:p>
        </w:tc>
        <w:tc>
          <w:tcPr>
            <w:tcW w:w="1207" w:type="dxa"/>
            <w:shd w:val="clear" w:color="auto" w:fill="BFBFBF"/>
            <w:vAlign w:val="center"/>
          </w:tcPr>
          <w:p w14:paraId="0900E1F6">
            <w:pPr>
              <w:jc w:val="center"/>
            </w:pPr>
            <w:r>
              <w:rPr>
                <w:rFonts w:hint="eastAsia"/>
                <w:b/>
              </w:rPr>
              <w:t>业绩比较基准收益率标准差④</w:t>
            </w:r>
          </w:p>
        </w:tc>
        <w:tc>
          <w:tcPr>
            <w:tcW w:w="1251" w:type="dxa"/>
            <w:shd w:val="clear" w:color="auto" w:fill="BFBFBF"/>
            <w:vAlign w:val="center"/>
          </w:tcPr>
          <w:p w14:paraId="02F3304E">
            <w:pPr>
              <w:jc w:val="center"/>
            </w:pPr>
            <w:r>
              <w:rPr>
                <w:rFonts w:hint="eastAsia"/>
                <w:b/>
              </w:rPr>
              <w:t>①-③</w:t>
            </w:r>
          </w:p>
        </w:tc>
        <w:tc>
          <w:tcPr>
            <w:tcW w:w="1218" w:type="dxa"/>
            <w:shd w:val="clear" w:color="auto" w:fill="BFBFBF"/>
            <w:vAlign w:val="center"/>
          </w:tcPr>
          <w:p w14:paraId="54770DB8">
            <w:pPr>
              <w:jc w:val="center"/>
            </w:pPr>
            <w:r>
              <w:rPr>
                <w:rFonts w:hint="eastAsia"/>
                <w:b/>
              </w:rPr>
              <w:t>②-④</w:t>
            </w:r>
          </w:p>
        </w:tc>
      </w:tr>
      <w:tr w14:paraId="53B0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14ACDE">
            <w:r>
              <w:rPr>
                <w:rFonts w:hint="eastAsia"/>
              </w:rPr>
              <w:t>过去三个月</w:t>
            </w:r>
          </w:p>
        </w:tc>
        <w:tc>
          <w:tcPr>
            <w:tcW w:w="1101" w:type="dxa"/>
            <w:vAlign w:val="center"/>
          </w:tcPr>
          <w:p w14:paraId="463D91F0">
            <w:pPr>
              <w:jc w:val="right"/>
            </w:pPr>
            <w:r>
              <w:rPr>
                <w:rFonts w:hint="eastAsia"/>
              </w:rPr>
              <w:t>0.16%</w:t>
            </w:r>
          </w:p>
        </w:tc>
        <w:tc>
          <w:tcPr>
            <w:tcW w:w="1101" w:type="dxa"/>
            <w:vAlign w:val="center"/>
          </w:tcPr>
          <w:p w14:paraId="78AD4A0A">
            <w:pPr>
              <w:jc w:val="right"/>
            </w:pPr>
            <w:r>
              <w:rPr>
                <w:rFonts w:hint="eastAsia"/>
              </w:rPr>
              <w:t>0.01%</w:t>
            </w:r>
          </w:p>
        </w:tc>
        <w:tc>
          <w:tcPr>
            <w:tcW w:w="1101" w:type="dxa"/>
            <w:vAlign w:val="center"/>
          </w:tcPr>
          <w:p w14:paraId="22AA6A4D">
            <w:pPr>
              <w:jc w:val="right"/>
            </w:pPr>
            <w:r>
              <w:rPr>
                <w:rFonts w:hint="eastAsia"/>
              </w:rPr>
              <w:t>0.05%</w:t>
            </w:r>
          </w:p>
        </w:tc>
        <w:tc>
          <w:tcPr>
            <w:tcW w:w="1207" w:type="dxa"/>
            <w:vAlign w:val="center"/>
          </w:tcPr>
          <w:p w14:paraId="7C2FE41B">
            <w:pPr>
              <w:jc w:val="right"/>
            </w:pPr>
            <w:r>
              <w:rPr>
                <w:rFonts w:hint="eastAsia"/>
              </w:rPr>
              <w:t>0.05%</w:t>
            </w:r>
          </w:p>
        </w:tc>
        <w:tc>
          <w:tcPr>
            <w:tcW w:w="1251" w:type="dxa"/>
            <w:vAlign w:val="center"/>
          </w:tcPr>
          <w:p w14:paraId="11E1242C">
            <w:pPr>
              <w:jc w:val="right"/>
            </w:pPr>
            <w:r>
              <w:rPr>
                <w:rFonts w:hint="eastAsia"/>
              </w:rPr>
              <w:t>0.11%</w:t>
            </w:r>
          </w:p>
        </w:tc>
        <w:tc>
          <w:tcPr>
            <w:tcW w:w="1218" w:type="dxa"/>
            <w:vAlign w:val="center"/>
          </w:tcPr>
          <w:p w14:paraId="2ADAE092">
            <w:pPr>
              <w:jc w:val="right"/>
            </w:pPr>
            <w:r>
              <w:rPr>
                <w:rFonts w:hint="eastAsia"/>
              </w:rPr>
              <w:t>-0.04%</w:t>
            </w:r>
          </w:p>
        </w:tc>
      </w:tr>
      <w:tr w14:paraId="0186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9585F1">
            <w:r>
              <w:rPr>
                <w:rFonts w:hint="eastAsia"/>
              </w:rPr>
              <w:t>自基金合同生效起至今</w:t>
            </w:r>
          </w:p>
        </w:tc>
        <w:tc>
          <w:tcPr>
            <w:tcW w:w="1101" w:type="dxa"/>
            <w:vAlign w:val="center"/>
          </w:tcPr>
          <w:p w14:paraId="08CD8CB1">
            <w:pPr>
              <w:jc w:val="right"/>
            </w:pPr>
            <w:r>
              <w:rPr>
                <w:rFonts w:hint="eastAsia"/>
              </w:rPr>
              <w:t>0.19%</w:t>
            </w:r>
          </w:p>
        </w:tc>
        <w:tc>
          <w:tcPr>
            <w:tcW w:w="1101" w:type="dxa"/>
            <w:vAlign w:val="center"/>
          </w:tcPr>
          <w:p w14:paraId="4A290BAE">
            <w:pPr>
              <w:jc w:val="right"/>
            </w:pPr>
            <w:r>
              <w:rPr>
                <w:rFonts w:hint="eastAsia"/>
              </w:rPr>
              <w:t>0.01%</w:t>
            </w:r>
          </w:p>
        </w:tc>
        <w:tc>
          <w:tcPr>
            <w:tcW w:w="1101" w:type="dxa"/>
            <w:vAlign w:val="center"/>
          </w:tcPr>
          <w:p w14:paraId="412CA88D">
            <w:pPr>
              <w:jc w:val="right"/>
            </w:pPr>
            <w:r>
              <w:rPr>
                <w:rFonts w:hint="eastAsia"/>
              </w:rPr>
              <w:t>-0.27%</w:t>
            </w:r>
          </w:p>
        </w:tc>
        <w:tc>
          <w:tcPr>
            <w:tcW w:w="1207" w:type="dxa"/>
            <w:vAlign w:val="center"/>
          </w:tcPr>
          <w:p w14:paraId="70149B8F">
            <w:pPr>
              <w:jc w:val="right"/>
            </w:pPr>
            <w:r>
              <w:rPr>
                <w:rFonts w:hint="eastAsia"/>
              </w:rPr>
              <w:t>0.05%</w:t>
            </w:r>
          </w:p>
        </w:tc>
        <w:tc>
          <w:tcPr>
            <w:tcW w:w="1251" w:type="dxa"/>
            <w:vAlign w:val="center"/>
          </w:tcPr>
          <w:p w14:paraId="05632F6D">
            <w:pPr>
              <w:jc w:val="right"/>
            </w:pPr>
            <w:r>
              <w:rPr>
                <w:rFonts w:hint="eastAsia"/>
              </w:rPr>
              <w:t>0.46%</w:t>
            </w:r>
          </w:p>
        </w:tc>
        <w:tc>
          <w:tcPr>
            <w:tcW w:w="1218" w:type="dxa"/>
            <w:vAlign w:val="center"/>
          </w:tcPr>
          <w:p w14:paraId="09282E7A">
            <w:pPr>
              <w:jc w:val="right"/>
            </w:pPr>
            <w:r>
              <w:rPr>
                <w:rFonts w:hint="eastAsia"/>
              </w:rPr>
              <w:t>-0.04%</w:t>
            </w:r>
          </w:p>
        </w:tc>
      </w:tr>
    </w:tbl>
    <w:p w14:paraId="67C632BA">
      <w:pPr>
        <w:pStyle w:val="28"/>
      </w:pPr>
      <w:bookmarkStart w:id="15" w:name="_Toc15"/>
      <w:r>
        <w:t>自基金合同生效以来基金份额累计净值增长率变动及其与同期业绩比较基准收益率变动的比较</w:t>
      </w:r>
      <w:bookmarkEnd w:id="15"/>
    </w:p>
    <w:p w14:paraId="60EBE6F9">
      <w:pPr>
        <w:jc w:val="center"/>
      </w:pPr>
      <w:r>
        <w:drawing>
          <wp:inline distT="0" distB="0" distL="114300" distR="114300">
            <wp:extent cx="5274310" cy="354076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40796"/>
                    </a:xfrm>
                    <a:prstGeom prst="rect">
                      <a:avLst/>
                    </a:prstGeom>
                  </pic:spPr>
                </pic:pic>
              </a:graphicData>
            </a:graphic>
          </wp:inline>
        </w:drawing>
      </w:r>
    </w:p>
    <w:p w14:paraId="7A032941">
      <w:pPr>
        <w:jc w:val="center"/>
      </w:pPr>
      <w:r>
        <w:drawing>
          <wp:inline distT="0" distB="0" distL="114300" distR="114300">
            <wp:extent cx="5274310" cy="3545205"/>
            <wp:effectExtent l="0" t="0" r="2540"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45755"/>
                    </a:xfrm>
                    <a:prstGeom prst="rect">
                      <a:avLst/>
                    </a:prstGeom>
                  </pic:spPr>
                </pic:pic>
              </a:graphicData>
            </a:graphic>
          </wp:inline>
        </w:drawing>
      </w:r>
    </w:p>
    <w:p w14:paraId="3E31CABD">
      <w:pPr>
        <w:pStyle w:val="47"/>
        <w:rPr>
          <w:rFonts w:hint="eastAsia"/>
        </w:rPr>
      </w:pPr>
      <w:r>
        <w:rPr>
          <w:rFonts w:hint="eastAsia"/>
        </w:rPr>
        <w:t>注：本基金合同于2025年9月16日生效，截至本报告期末基金成立未满一年；自基金成立日起6个月内为建仓期，截至报告期末建仓期尚未结束。</w:t>
      </w:r>
    </w:p>
    <w:p w14:paraId="2C0EAD6F">
      <w:pPr>
        <w:pStyle w:val="28"/>
      </w:pPr>
      <w:bookmarkStart w:id="16" w:name="_Toc16"/>
      <w:r>
        <w:t>自基金合同生效以来基金每年净值增长率及其与同期业绩比较基准收益率的比较</w:t>
      </w:r>
      <w:bookmarkEnd w:id="16"/>
    </w:p>
    <w:p w14:paraId="2CE9EF6B">
      <w:pPr>
        <w:jc w:val="center"/>
      </w:pPr>
      <w:r>
        <w:drawing>
          <wp:inline distT="0" distB="0" distL="114300" distR="114300">
            <wp:extent cx="5274310" cy="3622040"/>
            <wp:effectExtent l="0" t="0" r="2540"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22511"/>
                    </a:xfrm>
                    <a:prstGeom prst="rect">
                      <a:avLst/>
                    </a:prstGeom>
                  </pic:spPr>
                </pic:pic>
              </a:graphicData>
            </a:graphic>
          </wp:inline>
        </w:drawing>
      </w:r>
    </w:p>
    <w:p w14:paraId="6B7490BB">
      <w:pPr>
        <w:jc w:val="center"/>
      </w:pPr>
      <w:r>
        <w:drawing>
          <wp:inline distT="0" distB="0" distL="114300" distR="114300">
            <wp:extent cx="5274310" cy="36220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22511"/>
                    </a:xfrm>
                    <a:prstGeom prst="rect">
                      <a:avLst/>
                    </a:prstGeom>
                  </pic:spPr>
                </pic:pic>
              </a:graphicData>
            </a:graphic>
          </wp:inline>
        </w:drawing>
      </w:r>
    </w:p>
    <w:p w14:paraId="4B6DD0B2">
      <w:pPr>
        <w:pStyle w:val="47"/>
        <w:rPr>
          <w:rFonts w:hint="eastAsia"/>
        </w:rPr>
      </w:pPr>
      <w:r>
        <w:rPr>
          <w:rFonts w:hint="eastAsia"/>
        </w:rPr>
        <w:t>注：基金合同生效当年按实际存续期计算，不按整个自然年度进行折算。</w:t>
      </w:r>
    </w:p>
    <w:p w14:paraId="2CF2EDA1">
      <w:pPr>
        <w:pStyle w:val="23"/>
      </w:pPr>
      <w:bookmarkStart w:id="17" w:name="_Toc30320"/>
      <w:r>
        <w:t>过去三年基金的利润分配情况</w:t>
      </w:r>
      <w:bookmarkEnd w:id="17"/>
    </w:p>
    <w:p w14:paraId="25F53EED">
      <w:pPr>
        <w:pStyle w:val="18"/>
        <w:rPr>
          <w:rFonts w:hint="eastAsia"/>
        </w:rPr>
      </w:pPr>
      <w:r>
        <w:rPr>
          <w:rFonts w:hint="eastAsia"/>
        </w:rPr>
        <w:t>本基金于2025年9月16日成立，自基金合同生效日以来未进行利润分配。</w:t>
      </w:r>
    </w:p>
    <w:p w14:paraId="6F9EC960">
      <w:pPr>
        <w:pStyle w:val="26"/>
      </w:pPr>
      <w:bookmarkStart w:id="18" w:name="_Toc26572"/>
      <w:r>
        <w:t>管理人报告</w:t>
      </w:r>
      <w:bookmarkEnd w:id="18"/>
    </w:p>
    <w:p w14:paraId="1CA2BEA3">
      <w:pPr>
        <w:pStyle w:val="23"/>
      </w:pPr>
      <w:bookmarkStart w:id="19" w:name="_Toc16829"/>
      <w:r>
        <w:t>基金管理人及基金经理情况</w:t>
      </w:r>
      <w:bookmarkEnd w:id="19"/>
    </w:p>
    <w:p w14:paraId="4B9083CD">
      <w:pPr>
        <w:pStyle w:val="28"/>
      </w:pPr>
      <w:bookmarkStart w:id="20" w:name="_Toc20"/>
      <w:r>
        <w:t>基金管理人及其管理基金的经验</w:t>
      </w:r>
      <w:bookmarkEnd w:id="20"/>
    </w:p>
    <w:p w14:paraId="2D33D8FA">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CEDC98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FBB7F0C">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515FED0">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64D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A7984F1">
            <w:pPr>
              <w:jc w:val="center"/>
            </w:pPr>
            <w:r>
              <w:rPr>
                <w:rFonts w:hint="eastAsia"/>
                <w:b/>
              </w:rPr>
              <w:t>姓名</w:t>
            </w:r>
          </w:p>
        </w:tc>
        <w:tc>
          <w:tcPr>
            <w:tcW w:w="830" w:type="dxa"/>
            <w:vMerge w:val="restart"/>
            <w:shd w:val="clear" w:color="auto" w:fill="BFBFBF"/>
            <w:vAlign w:val="center"/>
          </w:tcPr>
          <w:p w14:paraId="417D5CFF">
            <w:pPr>
              <w:jc w:val="center"/>
            </w:pPr>
            <w:r>
              <w:rPr>
                <w:rFonts w:hint="eastAsia"/>
                <w:b/>
              </w:rPr>
              <w:t>职务</w:t>
            </w:r>
          </w:p>
        </w:tc>
        <w:tc>
          <w:tcPr>
            <w:tcW w:w="1090" w:type="dxa"/>
            <w:gridSpan w:val="2"/>
            <w:shd w:val="clear" w:color="auto" w:fill="BFBFBF"/>
            <w:vAlign w:val="center"/>
          </w:tcPr>
          <w:p w14:paraId="7BC89052">
            <w:pPr>
              <w:jc w:val="center"/>
            </w:pPr>
            <w:r>
              <w:rPr>
                <w:rFonts w:hint="eastAsia"/>
                <w:b/>
              </w:rPr>
              <w:t>任本基金的基金经理（助理）期限</w:t>
            </w:r>
          </w:p>
        </w:tc>
        <w:tc>
          <w:tcPr>
            <w:tcW w:w="686" w:type="dxa"/>
            <w:vMerge w:val="restart"/>
            <w:shd w:val="clear" w:color="auto" w:fill="BFBFBF"/>
            <w:vAlign w:val="center"/>
          </w:tcPr>
          <w:p w14:paraId="4373E87D">
            <w:pPr>
              <w:jc w:val="center"/>
            </w:pPr>
            <w:r>
              <w:rPr>
                <w:rFonts w:hint="eastAsia"/>
                <w:b/>
              </w:rPr>
              <w:t>证券从业年限</w:t>
            </w:r>
          </w:p>
        </w:tc>
        <w:tc>
          <w:tcPr>
            <w:tcW w:w="3765" w:type="dxa"/>
            <w:vMerge w:val="restart"/>
            <w:shd w:val="clear" w:color="auto" w:fill="BFBFBF"/>
            <w:vAlign w:val="center"/>
          </w:tcPr>
          <w:p w14:paraId="58DC2C45">
            <w:pPr>
              <w:jc w:val="center"/>
            </w:pPr>
            <w:r>
              <w:rPr>
                <w:rFonts w:hint="eastAsia"/>
                <w:b/>
              </w:rPr>
              <w:t>说明</w:t>
            </w:r>
          </w:p>
        </w:tc>
      </w:tr>
      <w:tr w14:paraId="76256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81B6EB7"/>
        </w:tc>
        <w:tc>
          <w:tcPr>
            <w:tcW w:w="830" w:type="dxa"/>
            <w:vMerge w:val="continue"/>
            <w:vAlign w:val="center"/>
          </w:tcPr>
          <w:p w14:paraId="213BAF5A"/>
        </w:tc>
        <w:tc>
          <w:tcPr>
            <w:tcW w:w="1090" w:type="dxa"/>
            <w:shd w:val="clear" w:color="auto" w:fill="BFBFBF"/>
            <w:vAlign w:val="center"/>
          </w:tcPr>
          <w:p w14:paraId="14AB2003">
            <w:pPr>
              <w:jc w:val="center"/>
            </w:pPr>
            <w:r>
              <w:rPr>
                <w:rFonts w:hint="eastAsia"/>
                <w:b/>
              </w:rPr>
              <w:t>任职日期</w:t>
            </w:r>
          </w:p>
        </w:tc>
        <w:tc>
          <w:tcPr>
            <w:tcW w:w="1090" w:type="dxa"/>
            <w:shd w:val="clear" w:color="auto" w:fill="BFBFBF"/>
            <w:vAlign w:val="center"/>
          </w:tcPr>
          <w:p w14:paraId="735CE36C">
            <w:pPr>
              <w:jc w:val="center"/>
            </w:pPr>
            <w:r>
              <w:rPr>
                <w:rFonts w:hint="eastAsia"/>
                <w:b/>
              </w:rPr>
              <w:t>离任日期</w:t>
            </w:r>
          </w:p>
        </w:tc>
        <w:tc>
          <w:tcPr>
            <w:tcW w:w="686" w:type="dxa"/>
            <w:vMerge w:val="continue"/>
            <w:vAlign w:val="center"/>
          </w:tcPr>
          <w:p w14:paraId="759DAEB9"/>
        </w:tc>
        <w:tc>
          <w:tcPr>
            <w:tcW w:w="3765" w:type="dxa"/>
            <w:vMerge w:val="continue"/>
            <w:vAlign w:val="center"/>
          </w:tcPr>
          <w:p w14:paraId="4FA25D40"/>
        </w:tc>
      </w:tr>
      <w:tr w14:paraId="6E31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BF6271F">
            <w:r>
              <w:rPr>
                <w:rFonts w:hint="eastAsia"/>
              </w:rPr>
              <w:t>王景明</w:t>
            </w:r>
          </w:p>
        </w:tc>
        <w:tc>
          <w:tcPr>
            <w:tcW w:w="830" w:type="dxa"/>
            <w:vAlign w:val="center"/>
          </w:tcPr>
          <w:p w14:paraId="779EBAAC">
            <w:r>
              <w:rPr>
                <w:rFonts w:hint="eastAsia"/>
              </w:rPr>
              <w:t>本基金基金经理</w:t>
            </w:r>
          </w:p>
        </w:tc>
        <w:tc>
          <w:tcPr>
            <w:tcW w:w="1090" w:type="dxa"/>
            <w:vAlign w:val="center"/>
          </w:tcPr>
          <w:p w14:paraId="40A8FB56">
            <w:r>
              <w:rPr>
                <w:rFonts w:hint="eastAsia"/>
              </w:rPr>
              <w:t>2025年9月16日</w:t>
            </w:r>
          </w:p>
        </w:tc>
        <w:tc>
          <w:tcPr>
            <w:tcW w:w="1090" w:type="dxa"/>
            <w:vAlign w:val="center"/>
          </w:tcPr>
          <w:p w14:paraId="12C6E6E4">
            <w:pPr>
              <w:jc w:val="right"/>
            </w:pPr>
            <w:r>
              <w:rPr>
                <w:rFonts w:hint="eastAsia"/>
              </w:rPr>
              <w:t>-</w:t>
            </w:r>
          </w:p>
        </w:tc>
        <w:tc>
          <w:tcPr>
            <w:tcW w:w="686" w:type="dxa"/>
            <w:vAlign w:val="center"/>
          </w:tcPr>
          <w:p w14:paraId="050D1AE1">
            <w:r>
              <w:rPr>
                <w:rFonts w:hint="eastAsia"/>
              </w:rPr>
              <w:t>11年</w:t>
            </w:r>
          </w:p>
        </w:tc>
        <w:tc>
          <w:tcPr>
            <w:tcW w:w="3765" w:type="dxa"/>
            <w:vAlign w:val="center"/>
          </w:tcPr>
          <w:p w14:paraId="2991587F">
            <w:pPr>
              <w:jc w:val="both"/>
            </w:pPr>
            <w:r>
              <w:rPr>
                <w:rFonts w:hint="eastAsia"/>
              </w:rPr>
              <w:t>中国国籍，中国人民大学金融学硕士，具有基金从业资格。2014年7月加入南方基金，任固定收益研究部宏观研究员、信用研究员。2018年5月17日至2021年8月27日，任南方润元基金经理助理。2021年8月27日至2023年1月13日，任南方初元中短债、南方定元中短债基金经理；2022年7月22日至2023年2月16日，任南方稳利1年定期开放债券基金经理；2021年10月22日至2023年6月15日，任南方荣年基金经理；2023年6月15日至2024年1月19日，任南方荣年一年持有混合基金经理；2021年8月27日至今，任南方梦元短债、南方国利、南方升元中短利率债基金经理；2022年7月22日至今，任南方纯元基金经理；2023年2月16日至今，任南方稳利1年持有债券基金经理；2023年8月9日至今，任南方稳瑞90天持有债券基金经理；2024年6月19日至今，任南方稳鑫6个月持有债券基金经理；2025年9月16日至今，任南方稳航120天滚动持有债券基金经理。</w:t>
            </w:r>
          </w:p>
        </w:tc>
      </w:tr>
    </w:tbl>
    <w:p w14:paraId="48B732D4">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DE1F42F">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FE10A46">
      <w:pPr>
        <w:pStyle w:val="28"/>
      </w:pPr>
      <w:bookmarkStart w:id="22" w:name="_Toc22"/>
      <w:r>
        <w:t>基金经理薪酬机制</w:t>
      </w:r>
      <w:bookmarkEnd w:id="22"/>
    </w:p>
    <w:p w14:paraId="415BD847">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D1232A5">
      <w:pPr>
        <w:pStyle w:val="23"/>
      </w:pPr>
      <w:bookmarkStart w:id="23" w:name="_Toc26188"/>
      <w:r>
        <w:t>管理人对报告期内本基金运作遵规守信情况的说明</w:t>
      </w:r>
      <w:bookmarkEnd w:id="23"/>
      <w:r>
        <w:t xml:space="preserve"> </w:t>
      </w:r>
    </w:p>
    <w:p w14:paraId="47E90ED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2F23291">
      <w:pPr>
        <w:pStyle w:val="23"/>
      </w:pPr>
      <w:bookmarkStart w:id="24" w:name="_Toc27688"/>
      <w:r>
        <w:t>管理人对报告期内公平交易情况的专项说明</w:t>
      </w:r>
      <w:bookmarkEnd w:id="24"/>
    </w:p>
    <w:p w14:paraId="5ED57262">
      <w:pPr>
        <w:pStyle w:val="28"/>
      </w:pPr>
      <w:bookmarkStart w:id="25" w:name="_Toc25"/>
      <w:r>
        <w:t>公平交易制度和控制方法</w:t>
      </w:r>
      <w:bookmarkEnd w:id="25"/>
    </w:p>
    <w:p w14:paraId="1171D3C5">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40B9C29">
      <w:pPr>
        <w:pStyle w:val="28"/>
      </w:pPr>
      <w:bookmarkStart w:id="26" w:name="_Toc26"/>
      <w:r>
        <w:t>公平交易制度的执行情况</w:t>
      </w:r>
      <w:bookmarkEnd w:id="26"/>
    </w:p>
    <w:p w14:paraId="7B375876">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DC37D8F">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5AE6EF9">
      <w:pPr>
        <w:pStyle w:val="35"/>
      </w:pPr>
      <w:bookmarkStart w:id="27" w:name="_Toc27"/>
      <w:r>
        <w:t>增加执行的基金经理公平交易制度执行情况及公平交易管理情况</w:t>
      </w:r>
      <w:bookmarkEnd w:id="27"/>
    </w:p>
    <w:p w14:paraId="1E59E50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540AFDF">
      <w:pPr>
        <w:pStyle w:val="28"/>
      </w:pPr>
      <w:bookmarkStart w:id="28" w:name="_Toc28"/>
      <w:r>
        <w:t>异常交易行为的专项说明</w:t>
      </w:r>
      <w:bookmarkEnd w:id="28"/>
    </w:p>
    <w:p w14:paraId="2B113AE2">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81D4DED">
      <w:pPr>
        <w:pStyle w:val="23"/>
      </w:pPr>
      <w:bookmarkStart w:id="29" w:name="_Toc8174"/>
      <w:r>
        <w:t>管理人对报告期内基金的投资策略和业绩表现的说明</w:t>
      </w:r>
      <w:bookmarkEnd w:id="29"/>
    </w:p>
    <w:p w14:paraId="33FA6D00">
      <w:pPr>
        <w:pStyle w:val="28"/>
      </w:pPr>
      <w:bookmarkStart w:id="30" w:name="_Toc30"/>
      <w:r>
        <w:t>报告期内基金投资策略和运作分析</w:t>
      </w:r>
      <w:bookmarkEnd w:id="30"/>
    </w:p>
    <w:p w14:paraId="6C45FEC7">
      <w:pPr>
        <w:pStyle w:val="18"/>
        <w:rPr>
          <w:rFonts w:hint="eastAsia"/>
        </w:rPr>
      </w:pPr>
      <w:r>
        <w:rPr>
          <w:rFonts w:hint="eastAsia"/>
        </w:rPr>
        <w:t>2025年全年经济运行总体平稳、稳中有进、韧性十足，新质生产力稳步发展。其中工业增加值同比增长5.9%，社会消费品零售总额同比增长3.7%，全年新增社融35.60万亿。海外美联储全年降息3次；国内货币政策保持了流动性合理充裕，财政政策持续发力，为经济增长创造了有利的政策环境。市场层面，2025年利率债收益率上行，其中1年国债收益率上行25BP，10年国债收益率上行17BP；信用债整体表现优于同期限利率债。组合主要投资于短久期高等级信用债，获取票息收益和杠杆收益。</w:t>
      </w:r>
    </w:p>
    <w:p w14:paraId="13F50C78">
      <w:pPr>
        <w:pStyle w:val="28"/>
      </w:pPr>
      <w:bookmarkStart w:id="31" w:name="_Toc31"/>
      <w:r>
        <w:t>报告期内基金的业绩表现</w:t>
      </w:r>
      <w:bookmarkEnd w:id="31"/>
    </w:p>
    <w:p w14:paraId="71F84EC9">
      <w:pPr>
        <w:pStyle w:val="18"/>
        <w:rPr>
          <w:rFonts w:hint="eastAsia"/>
        </w:rPr>
      </w:pPr>
      <w:r>
        <w:rPr>
          <w:rFonts w:hint="eastAsia"/>
        </w:rPr>
        <w:t>截至报告期末，本基金A份额净值为1.0024元，报告期内，份额净值增长率为0.24%，同期业绩基准增长率为-0.27%；本基金C份额净值为1.0019元，报告期内，份额净值增长率为0.19%，同期业绩基准增长率为-0.27%。</w:t>
      </w:r>
    </w:p>
    <w:p w14:paraId="425C6F8C">
      <w:pPr>
        <w:pStyle w:val="23"/>
      </w:pPr>
      <w:bookmarkStart w:id="32" w:name="_Toc5309"/>
      <w:r>
        <w:t>管理人对宏观经济、证券市场及行业走势的简要展望</w:t>
      </w:r>
      <w:bookmarkEnd w:id="32"/>
    </w:p>
    <w:p w14:paraId="6450B643">
      <w:pPr>
        <w:pStyle w:val="18"/>
        <w:rPr>
          <w:rFonts w:hint="eastAsia"/>
        </w:rPr>
      </w:pPr>
      <w:r>
        <w:rPr>
          <w:rFonts w:hint="eastAsia"/>
        </w:rPr>
        <w:t>展望明年，我国将不断巩固拓展经济稳中向好势头，实现“十五五”良好开局。宏观政策将继续实施更加积极的财政政策和适度宽松的货币政策。总体来看，债券市场的机会与挑战并存，其中中短端资产受益于资金流动性水平较为充裕，而长端资产的配置机会需要继续等待。组合将积极挖掘中短期限高等级信用债配置机会，择机参与利率债交易。</w:t>
      </w:r>
    </w:p>
    <w:p w14:paraId="13A22AC3">
      <w:pPr>
        <w:pStyle w:val="23"/>
      </w:pPr>
      <w:bookmarkStart w:id="33" w:name="_Toc9564"/>
      <w:r>
        <w:t>管理人内部有关本基金的监察稽核工作情况</w:t>
      </w:r>
      <w:bookmarkEnd w:id="33"/>
      <w:r>
        <w:t xml:space="preserve"> </w:t>
      </w:r>
    </w:p>
    <w:p w14:paraId="198744F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EAC94A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D911A2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5237EE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3A644F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202836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8DDE6C8">
      <w:pPr>
        <w:pStyle w:val="23"/>
      </w:pPr>
      <w:bookmarkStart w:id="34" w:name="_Toc2056"/>
      <w:r>
        <w:t>管理人对报告期内基金估值程序等事项的说明</w:t>
      </w:r>
      <w:bookmarkEnd w:id="34"/>
    </w:p>
    <w:p w14:paraId="6A8BD95D">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8A290D7">
      <w:pPr>
        <w:pStyle w:val="23"/>
      </w:pPr>
      <w:bookmarkStart w:id="35" w:name="_Toc15702"/>
      <w:r>
        <w:t>管理人对报告期内基金利润分配情况的说明</w:t>
      </w:r>
      <w:bookmarkEnd w:id="35"/>
      <w:r>
        <w:t xml:space="preserve"> </w:t>
      </w:r>
    </w:p>
    <w:p w14:paraId="33F25095">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BC72622">
      <w:pPr>
        <w:pStyle w:val="23"/>
      </w:pPr>
      <w:bookmarkStart w:id="36" w:name="_Toc29863"/>
      <w:r>
        <w:t>报告期内基金持有人数或基金资产净值预警说明</w:t>
      </w:r>
      <w:bookmarkEnd w:id="36"/>
    </w:p>
    <w:p w14:paraId="013C5DD9">
      <w:pPr>
        <w:pStyle w:val="18"/>
        <w:rPr>
          <w:rFonts w:hint="eastAsia"/>
        </w:rPr>
      </w:pPr>
      <w:r>
        <w:rPr>
          <w:rFonts w:hint="eastAsia"/>
        </w:rPr>
        <w:t>报告期内，本基金未出现连续二十个交易日基金份额持有人数量不满二百人或者基金资产净值低于五千万元的情形。</w:t>
      </w:r>
    </w:p>
    <w:p w14:paraId="22464779">
      <w:pPr>
        <w:pStyle w:val="26"/>
      </w:pPr>
      <w:bookmarkStart w:id="37" w:name="_Toc15221"/>
      <w:r>
        <w:t>托管人报告</w:t>
      </w:r>
      <w:bookmarkEnd w:id="37"/>
    </w:p>
    <w:p w14:paraId="0BBC84FF">
      <w:pPr>
        <w:pStyle w:val="23"/>
      </w:pPr>
      <w:bookmarkStart w:id="38" w:name="_Toc2421"/>
      <w:r>
        <w:t>报告期内本基金托管人遵规守信情况声明</w:t>
      </w:r>
      <w:bookmarkEnd w:id="38"/>
    </w:p>
    <w:p w14:paraId="02FB0BCF">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49D43E28">
      <w:pPr>
        <w:pStyle w:val="23"/>
      </w:pPr>
      <w:bookmarkStart w:id="39" w:name="_Toc15915"/>
      <w:r>
        <w:t>托管人对报告期内本基金投资运作遵规守信、净值计算、利润分配等情况的说明</w:t>
      </w:r>
      <w:bookmarkEnd w:id="39"/>
      <w:r>
        <w:t xml:space="preserve"> </w:t>
      </w:r>
    </w:p>
    <w:p w14:paraId="0D05CE37">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42918D43">
      <w:pPr>
        <w:pStyle w:val="23"/>
      </w:pPr>
      <w:bookmarkStart w:id="40" w:name="_Toc29206"/>
      <w:r>
        <w:t>托管人对本年度报告中财务信息等内容的真实、准确和完整发表意见</w:t>
      </w:r>
      <w:bookmarkEnd w:id="40"/>
    </w:p>
    <w:p w14:paraId="540A0BE4">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405FA237">
      <w:pPr>
        <w:pStyle w:val="26"/>
      </w:pPr>
      <w:bookmarkStart w:id="41" w:name="_Toc5530"/>
      <w:r>
        <w:t>审计报告</w:t>
      </w:r>
      <w:bookmarkEnd w:id="41"/>
    </w:p>
    <w:p w14:paraId="55AACED6">
      <w:pPr>
        <w:pStyle w:val="23"/>
      </w:pPr>
      <w:bookmarkStart w:id="42" w:name="_Toc3314"/>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C32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780857">
            <w:r>
              <w:rPr>
                <w:rFonts w:hint="eastAsia"/>
              </w:rPr>
              <w:t>财务报表是否经过审计</w:t>
            </w:r>
          </w:p>
        </w:tc>
        <w:tc>
          <w:tcPr>
            <w:tcW w:w="4153" w:type="dxa"/>
            <w:vAlign w:val="center"/>
          </w:tcPr>
          <w:p w14:paraId="20F17734">
            <w:r>
              <w:rPr>
                <w:rFonts w:hint="eastAsia"/>
              </w:rPr>
              <w:t>是</w:t>
            </w:r>
          </w:p>
        </w:tc>
      </w:tr>
      <w:tr w14:paraId="4479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4AD68D">
            <w:r>
              <w:rPr>
                <w:rFonts w:hint="eastAsia"/>
              </w:rPr>
              <w:t>审计意见类型</w:t>
            </w:r>
          </w:p>
        </w:tc>
        <w:tc>
          <w:tcPr>
            <w:tcW w:w="4153" w:type="dxa"/>
            <w:vAlign w:val="center"/>
          </w:tcPr>
          <w:p w14:paraId="0C180148">
            <w:r>
              <w:rPr>
                <w:rFonts w:hint="eastAsia"/>
              </w:rPr>
              <w:t>标准无保留意见</w:t>
            </w:r>
          </w:p>
        </w:tc>
      </w:tr>
      <w:tr w14:paraId="12ED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81D895">
            <w:r>
              <w:rPr>
                <w:rFonts w:hint="eastAsia"/>
              </w:rPr>
              <w:t>审计报告编号</w:t>
            </w:r>
          </w:p>
        </w:tc>
        <w:tc>
          <w:tcPr>
            <w:tcW w:w="4153" w:type="dxa"/>
            <w:vAlign w:val="center"/>
          </w:tcPr>
          <w:p w14:paraId="46DDA2E6">
            <w:r>
              <w:rPr>
                <w:rFonts w:hint="eastAsia"/>
              </w:rPr>
              <w:t>容诚审字[2026]200Z0836号</w:t>
            </w:r>
          </w:p>
        </w:tc>
      </w:tr>
    </w:tbl>
    <w:p w14:paraId="13A0EECE">
      <w:pPr>
        <w:pStyle w:val="23"/>
      </w:pPr>
      <w:bookmarkStart w:id="43" w:name="_Toc2513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E7B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45" w:type="dxa"/>
            <w:shd w:val="clear" w:color="auto" w:fill="BFBFBF"/>
            <w:vAlign w:val="center"/>
          </w:tcPr>
          <w:p w14:paraId="51E521D4">
            <w:pPr>
              <w:jc w:val="center"/>
            </w:pPr>
            <w:r>
              <w:rPr>
                <w:rFonts w:hint="eastAsia"/>
                <w:b/>
              </w:rPr>
              <w:t>审计报告标题</w:t>
            </w:r>
          </w:p>
        </w:tc>
        <w:tc>
          <w:tcPr>
            <w:tcW w:w="2491" w:type="dxa"/>
            <w:gridSpan w:val="2"/>
            <w:shd w:val="clear" w:color="auto" w:fill="BFBFBF"/>
            <w:vAlign w:val="center"/>
          </w:tcPr>
          <w:p w14:paraId="5D20E695">
            <w:pPr>
              <w:jc w:val="center"/>
            </w:pPr>
            <w:r>
              <w:rPr>
                <w:rFonts w:hint="eastAsia"/>
                <w:b/>
              </w:rPr>
              <w:t>审计报告</w:t>
            </w:r>
          </w:p>
        </w:tc>
      </w:tr>
      <w:tr w14:paraId="2557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3CEF8B">
            <w:r>
              <w:rPr>
                <w:rFonts w:hint="eastAsia"/>
              </w:rPr>
              <w:t>审计报告收件人</w:t>
            </w:r>
          </w:p>
        </w:tc>
        <w:tc>
          <w:tcPr>
            <w:tcW w:w="2491" w:type="dxa"/>
            <w:gridSpan w:val="2"/>
            <w:vAlign w:val="center"/>
          </w:tcPr>
          <w:p w14:paraId="5BCEB580">
            <w:r>
              <w:rPr>
                <w:rFonts w:hint="eastAsia"/>
              </w:rPr>
              <w:t>南方稳航120天滚动持有债券型证券投资基金全体基金份额持有人</w:t>
            </w:r>
          </w:p>
        </w:tc>
      </w:tr>
      <w:tr w14:paraId="3350A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985925">
            <w:r>
              <w:rPr>
                <w:rFonts w:hint="eastAsia"/>
              </w:rPr>
              <w:t>审计意见</w:t>
            </w:r>
          </w:p>
        </w:tc>
        <w:tc>
          <w:tcPr>
            <w:tcW w:w="2491" w:type="dxa"/>
            <w:gridSpan w:val="2"/>
            <w:vAlign w:val="center"/>
          </w:tcPr>
          <w:p w14:paraId="0B66B4CF">
            <w:pPr>
              <w:jc w:val="both"/>
              <w:rPr>
                <w:rFonts w:hint="eastAsia"/>
              </w:rPr>
            </w:pPr>
            <w:r>
              <w:rPr>
                <w:rFonts w:hint="eastAsia"/>
              </w:rPr>
              <w:t>我们审计了南方稳航120天滚动持有债券型证券投资基金（以下简称“南方稳航120天滚动持有债券基金”）财务报表，包括2025年12月31日的资产负债表，2025年9月16日（基金合同生效日）至2025年12月31日止期间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稳航120天滚动持有债券基金2025年12月31日的财务状况以及2025年9月16日（基金合同生效日）至2025年12月31日止期间的经营成果和净资产变动情况。</w:t>
            </w:r>
          </w:p>
        </w:tc>
      </w:tr>
      <w:tr w14:paraId="266B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A27992">
            <w:r>
              <w:rPr>
                <w:rFonts w:hint="eastAsia"/>
              </w:rPr>
              <w:t>形成审计意见的基础</w:t>
            </w:r>
          </w:p>
        </w:tc>
        <w:tc>
          <w:tcPr>
            <w:tcW w:w="2491" w:type="dxa"/>
            <w:gridSpan w:val="2"/>
            <w:vAlign w:val="center"/>
          </w:tcPr>
          <w:p w14:paraId="182BC5B1">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稳航120天滚动持有债券基金，并遵守了独立性准则中适用于公众利益实体财务报表审计的规定，同时履行了职业道德方面的其他责任。我们相信，我们获取的审计证据是充分、适当的，为发表审计意见提供了基础。</w:t>
            </w:r>
          </w:p>
        </w:tc>
      </w:tr>
      <w:tr w14:paraId="7CFE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6A9513">
            <w:r>
              <w:rPr>
                <w:rFonts w:hint="eastAsia"/>
              </w:rPr>
              <w:t>强调事项</w:t>
            </w:r>
          </w:p>
        </w:tc>
        <w:tc>
          <w:tcPr>
            <w:tcW w:w="2491" w:type="dxa"/>
            <w:gridSpan w:val="2"/>
            <w:vAlign w:val="center"/>
          </w:tcPr>
          <w:p w14:paraId="38326B7C">
            <w:pPr>
              <w:jc w:val="right"/>
            </w:pPr>
            <w:r>
              <w:rPr>
                <w:rFonts w:hint="eastAsia"/>
              </w:rPr>
              <w:t>-</w:t>
            </w:r>
          </w:p>
        </w:tc>
      </w:tr>
      <w:tr w14:paraId="6001B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39FA78">
            <w:r>
              <w:rPr>
                <w:rFonts w:hint="eastAsia"/>
              </w:rPr>
              <w:t>其他事项</w:t>
            </w:r>
          </w:p>
        </w:tc>
        <w:tc>
          <w:tcPr>
            <w:tcW w:w="2491" w:type="dxa"/>
            <w:gridSpan w:val="2"/>
            <w:vAlign w:val="center"/>
          </w:tcPr>
          <w:p w14:paraId="7FD32268">
            <w:pPr>
              <w:jc w:val="right"/>
            </w:pPr>
            <w:r>
              <w:rPr>
                <w:rFonts w:hint="eastAsia"/>
              </w:rPr>
              <w:t>-</w:t>
            </w:r>
          </w:p>
        </w:tc>
      </w:tr>
      <w:tr w14:paraId="57080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67D125">
            <w:r>
              <w:rPr>
                <w:rFonts w:hint="eastAsia"/>
              </w:rPr>
              <w:t>其他信息</w:t>
            </w:r>
          </w:p>
        </w:tc>
        <w:tc>
          <w:tcPr>
            <w:tcW w:w="2491" w:type="dxa"/>
            <w:gridSpan w:val="2"/>
            <w:vAlign w:val="center"/>
          </w:tcPr>
          <w:p w14:paraId="07CBCA58">
            <w:pPr>
              <w:jc w:val="both"/>
              <w:rPr>
                <w:rFonts w:hint="eastAsia"/>
              </w:rPr>
            </w:pPr>
            <w:r>
              <w:rPr>
                <w:rFonts w:hint="eastAsia"/>
              </w:rPr>
              <w:t>南方稳航120天滚动持有债券基金的基金管理人南方基金管理股份有限公司（以下简称“基金管理人”）管理层对其他信息负责。其他信息包括南方稳航120天滚动持有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058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7B0CDB">
            <w:r>
              <w:rPr>
                <w:rFonts w:hint="eastAsia"/>
              </w:rPr>
              <w:t>管理层和治理层对财务报表的责任</w:t>
            </w:r>
          </w:p>
        </w:tc>
        <w:tc>
          <w:tcPr>
            <w:tcW w:w="2491" w:type="dxa"/>
            <w:gridSpan w:val="2"/>
            <w:vAlign w:val="center"/>
          </w:tcPr>
          <w:p w14:paraId="54401D34">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稳航120天滚动持有债券基金的持续经营能力，披露与持续经营相关的事项（如适用），并运用持续经营假设，除非基金管理人管理层计划清算南方稳航120天滚动持有债券基金、终止运营或别无其他现实的选择。
</w:t>
            </w:r>
            <w:r>
              <w:rPr>
                <w:rFonts w:hint="eastAsia"/>
              </w:rPr>
              <w:br w:type="textWrapping"/>
            </w:r>
            <w:r>
              <w:rPr>
                <w:rFonts w:hint="eastAsia"/>
              </w:rPr>
              <w:t>基金管理人治理层负责监督南方稳航120天滚动持有债券基金的财务报告过程。</w:t>
            </w:r>
          </w:p>
        </w:tc>
      </w:tr>
      <w:tr w14:paraId="7A8F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87474A">
            <w:r>
              <w:rPr>
                <w:rFonts w:hint="eastAsia"/>
              </w:rPr>
              <w:t>注册会计师对财务报表审计的责任</w:t>
            </w:r>
          </w:p>
        </w:tc>
        <w:tc>
          <w:tcPr>
            <w:tcW w:w="2491" w:type="dxa"/>
            <w:gridSpan w:val="2"/>
            <w:vAlign w:val="center"/>
          </w:tcPr>
          <w:p w14:paraId="48D806E7">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稳航120天滚动持有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稳航120天滚动持有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304D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3B0111">
            <w:r>
              <w:rPr>
                <w:rFonts w:hint="eastAsia"/>
              </w:rPr>
              <w:t>会计师事务所的名称</w:t>
            </w:r>
          </w:p>
        </w:tc>
        <w:tc>
          <w:tcPr>
            <w:tcW w:w="2491" w:type="dxa"/>
            <w:gridSpan w:val="2"/>
            <w:vAlign w:val="center"/>
          </w:tcPr>
          <w:p w14:paraId="457C4502">
            <w:r>
              <w:rPr>
                <w:rFonts w:hint="eastAsia"/>
              </w:rPr>
              <w:t>容诚会计师事务所（特殊普通合伙）</w:t>
            </w:r>
          </w:p>
        </w:tc>
      </w:tr>
      <w:tr w14:paraId="23DEE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3A332B">
            <w:r>
              <w:rPr>
                <w:rFonts w:hint="eastAsia"/>
              </w:rPr>
              <w:t>注册会计师的姓名</w:t>
            </w:r>
          </w:p>
        </w:tc>
        <w:tc>
          <w:tcPr>
            <w:tcW w:w="2491" w:type="dxa"/>
            <w:vAlign w:val="center"/>
          </w:tcPr>
          <w:p w14:paraId="751674A4">
            <w:r>
              <w:rPr>
                <w:rFonts w:hint="eastAsia"/>
              </w:rPr>
              <w:t>陈熹</w:t>
            </w:r>
          </w:p>
        </w:tc>
        <w:tc>
          <w:tcPr>
            <w:tcW w:w="2768" w:type="dxa"/>
            <w:vAlign w:val="center"/>
          </w:tcPr>
          <w:p w14:paraId="3D7471A5">
            <w:r>
              <w:rPr>
                <w:rFonts w:hint="eastAsia"/>
              </w:rPr>
              <w:t>成磊</w:t>
            </w:r>
          </w:p>
        </w:tc>
      </w:tr>
      <w:tr w14:paraId="6B11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BC3340">
            <w:r>
              <w:rPr>
                <w:rFonts w:hint="eastAsia"/>
              </w:rPr>
              <w:t>会计师事务所的地址</w:t>
            </w:r>
          </w:p>
        </w:tc>
        <w:tc>
          <w:tcPr>
            <w:tcW w:w="2491" w:type="dxa"/>
            <w:gridSpan w:val="2"/>
            <w:vAlign w:val="center"/>
          </w:tcPr>
          <w:p w14:paraId="7CFB5541">
            <w:r>
              <w:rPr>
                <w:rFonts w:hint="eastAsia"/>
              </w:rPr>
              <w:t>北京市西城区阜成门外大街22号1幢10层1001-1至1001-26</w:t>
            </w:r>
          </w:p>
        </w:tc>
      </w:tr>
      <w:tr w14:paraId="22AC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D21445">
            <w:r>
              <w:rPr>
                <w:rFonts w:hint="eastAsia"/>
              </w:rPr>
              <w:t>审计报告日期</w:t>
            </w:r>
          </w:p>
        </w:tc>
        <w:tc>
          <w:tcPr>
            <w:tcW w:w="2491" w:type="dxa"/>
            <w:gridSpan w:val="2"/>
            <w:vAlign w:val="center"/>
          </w:tcPr>
          <w:p w14:paraId="68D5839C">
            <w:r>
              <w:rPr>
                <w:rFonts w:hint="eastAsia"/>
              </w:rPr>
              <w:t>2026年3月27日</w:t>
            </w:r>
          </w:p>
        </w:tc>
      </w:tr>
    </w:tbl>
    <w:p w14:paraId="0EA9B479">
      <w:pPr>
        <w:pStyle w:val="26"/>
      </w:pPr>
      <w:bookmarkStart w:id="44" w:name="_Toc19927"/>
      <w:r>
        <w:t>年度财务报表</w:t>
      </w:r>
      <w:bookmarkEnd w:id="44"/>
      <w:r>
        <w:t xml:space="preserve"> </w:t>
      </w:r>
    </w:p>
    <w:p w14:paraId="7FF02F9F">
      <w:pPr>
        <w:pStyle w:val="23"/>
      </w:pPr>
      <w:bookmarkStart w:id="45" w:name="_Toc12594"/>
      <w:r>
        <w:t>资产负债表</w:t>
      </w:r>
      <w:bookmarkEnd w:id="45"/>
    </w:p>
    <w:p w14:paraId="30555AD0">
      <w:pPr>
        <w:pStyle w:val="18"/>
        <w:rPr>
          <w:rFonts w:hint="eastAsia"/>
        </w:rPr>
      </w:pPr>
      <w:r>
        <w:rPr>
          <w:rFonts w:hint="eastAsia"/>
        </w:rPr>
        <w:t>会计主体：南方稳航120天滚动持有债券型证券投资基金</w:t>
      </w:r>
    </w:p>
    <w:p w14:paraId="2DFD53BD">
      <w:pPr>
        <w:pStyle w:val="18"/>
        <w:rPr>
          <w:rFonts w:hint="eastAsia"/>
        </w:rPr>
      </w:pPr>
      <w:r>
        <w:rPr>
          <w:rFonts w:hint="eastAsia"/>
        </w:rPr>
        <w:t>报告截止日：2025年12月31日</w:t>
      </w:r>
    </w:p>
    <w:p w14:paraId="7FE8377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6E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0391A55B">
            <w:r>
              <w:rPr>
                <w:rFonts w:hint="eastAsia"/>
              </w:rPr>
              <w:t>资产</w:t>
            </w:r>
          </w:p>
        </w:tc>
        <w:tc>
          <w:tcPr>
            <w:tcW w:w="2768" w:type="dxa"/>
            <w:vAlign w:val="center"/>
          </w:tcPr>
          <w:p w14:paraId="2F7D859F">
            <w:r>
              <w:rPr>
                <w:rFonts w:hint="eastAsia"/>
              </w:rPr>
              <w:t>附注号</w:t>
            </w:r>
          </w:p>
        </w:tc>
        <w:tc>
          <w:tcPr>
            <w:tcW w:w="2768" w:type="dxa"/>
            <w:vAlign w:val="center"/>
          </w:tcPr>
          <w:p w14:paraId="61A904C4">
            <w:r>
              <w:rPr>
                <w:rFonts w:hint="eastAsia"/>
              </w:rPr>
              <w:t>本期末2025年12月31日</w:t>
            </w:r>
          </w:p>
        </w:tc>
      </w:tr>
      <w:tr w14:paraId="15FF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794475">
            <w:r>
              <w:rPr>
                <w:rFonts w:hint="eastAsia"/>
              </w:rPr>
              <w:t>资产：</w:t>
            </w:r>
          </w:p>
        </w:tc>
        <w:tc>
          <w:tcPr>
            <w:tcW w:w="2768" w:type="dxa"/>
            <w:vAlign w:val="center"/>
          </w:tcPr>
          <w:p w14:paraId="5D38155D"/>
        </w:tc>
        <w:tc>
          <w:tcPr>
            <w:tcW w:w="2768" w:type="dxa"/>
            <w:vAlign w:val="center"/>
          </w:tcPr>
          <w:p w14:paraId="3ECEBA53"/>
        </w:tc>
      </w:tr>
      <w:tr w14:paraId="5007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3702CF">
            <w:r>
              <w:rPr>
                <w:rFonts w:hint="eastAsia"/>
              </w:rPr>
              <w:t>货币资金</w:t>
            </w:r>
          </w:p>
        </w:tc>
        <w:tc>
          <w:tcPr>
            <w:tcW w:w="2768" w:type="dxa"/>
            <w:vAlign w:val="center"/>
          </w:tcPr>
          <w:p w14:paraId="257529E7">
            <w:r>
              <w:rPr>
                <w:rFonts w:hint="eastAsia"/>
              </w:rPr>
              <w:t>7.4.7.1</w:t>
            </w:r>
          </w:p>
        </w:tc>
        <w:tc>
          <w:tcPr>
            <w:tcW w:w="2768" w:type="dxa"/>
            <w:vAlign w:val="center"/>
          </w:tcPr>
          <w:p w14:paraId="11346710">
            <w:pPr>
              <w:jc w:val="right"/>
            </w:pPr>
            <w:r>
              <w:rPr>
                <w:rFonts w:hint="eastAsia"/>
              </w:rPr>
              <w:t>11,206,252.35</w:t>
            </w:r>
          </w:p>
        </w:tc>
      </w:tr>
      <w:tr w14:paraId="31C6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FEA7C2">
            <w:r>
              <w:rPr>
                <w:rFonts w:hint="eastAsia"/>
              </w:rPr>
              <w:t>结算备付金</w:t>
            </w:r>
          </w:p>
        </w:tc>
        <w:tc>
          <w:tcPr>
            <w:tcW w:w="2768" w:type="dxa"/>
            <w:vAlign w:val="center"/>
          </w:tcPr>
          <w:p w14:paraId="69024925"/>
        </w:tc>
        <w:tc>
          <w:tcPr>
            <w:tcW w:w="2768" w:type="dxa"/>
            <w:vAlign w:val="center"/>
          </w:tcPr>
          <w:p w14:paraId="05378EC8">
            <w:pPr>
              <w:jc w:val="right"/>
            </w:pPr>
            <w:r>
              <w:rPr>
                <w:rFonts w:hint="eastAsia"/>
              </w:rPr>
              <w:t>18,788,189.14</w:t>
            </w:r>
          </w:p>
        </w:tc>
      </w:tr>
      <w:tr w14:paraId="6202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509BE3">
            <w:r>
              <w:rPr>
                <w:rFonts w:hint="eastAsia"/>
              </w:rPr>
              <w:t>存出保证金</w:t>
            </w:r>
          </w:p>
        </w:tc>
        <w:tc>
          <w:tcPr>
            <w:tcW w:w="2768" w:type="dxa"/>
            <w:vAlign w:val="center"/>
          </w:tcPr>
          <w:p w14:paraId="102D3633"/>
        </w:tc>
        <w:tc>
          <w:tcPr>
            <w:tcW w:w="2768" w:type="dxa"/>
            <w:vAlign w:val="center"/>
          </w:tcPr>
          <w:p w14:paraId="7BB7198B">
            <w:pPr>
              <w:jc w:val="right"/>
            </w:pPr>
            <w:r>
              <w:rPr>
                <w:rFonts w:hint="eastAsia"/>
              </w:rPr>
              <w:t>85,237.88</w:t>
            </w:r>
          </w:p>
        </w:tc>
      </w:tr>
      <w:tr w14:paraId="23E20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9EE4ED">
            <w:r>
              <w:rPr>
                <w:rFonts w:hint="eastAsia"/>
              </w:rPr>
              <w:t>交易性金融资产</w:t>
            </w:r>
          </w:p>
        </w:tc>
        <w:tc>
          <w:tcPr>
            <w:tcW w:w="2768" w:type="dxa"/>
            <w:vAlign w:val="center"/>
          </w:tcPr>
          <w:p w14:paraId="0DE7408B">
            <w:r>
              <w:rPr>
                <w:rFonts w:hint="eastAsia"/>
              </w:rPr>
              <w:t>7.4.7.2</w:t>
            </w:r>
          </w:p>
        </w:tc>
        <w:tc>
          <w:tcPr>
            <w:tcW w:w="2768" w:type="dxa"/>
            <w:vAlign w:val="center"/>
          </w:tcPr>
          <w:p w14:paraId="06FBA588">
            <w:pPr>
              <w:jc w:val="right"/>
            </w:pPr>
            <w:r>
              <w:rPr>
                <w:rFonts w:hint="eastAsia"/>
              </w:rPr>
              <w:t>2,438,609,187.09</w:t>
            </w:r>
          </w:p>
        </w:tc>
      </w:tr>
      <w:tr w14:paraId="2C34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0B50E1">
            <w:r>
              <w:rPr>
                <w:rFonts w:hint="eastAsia"/>
              </w:rPr>
              <w:t>其中：股票投资</w:t>
            </w:r>
          </w:p>
        </w:tc>
        <w:tc>
          <w:tcPr>
            <w:tcW w:w="2768" w:type="dxa"/>
            <w:vAlign w:val="center"/>
          </w:tcPr>
          <w:p w14:paraId="209A6532"/>
        </w:tc>
        <w:tc>
          <w:tcPr>
            <w:tcW w:w="2768" w:type="dxa"/>
            <w:vAlign w:val="center"/>
          </w:tcPr>
          <w:p w14:paraId="0A2C0083">
            <w:pPr>
              <w:jc w:val="right"/>
            </w:pPr>
            <w:r>
              <w:rPr>
                <w:rFonts w:hint="eastAsia"/>
              </w:rPr>
              <w:t>-</w:t>
            </w:r>
          </w:p>
        </w:tc>
      </w:tr>
      <w:tr w14:paraId="4DCE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EC2924">
            <w:r>
              <w:rPr>
                <w:rFonts w:hint="eastAsia"/>
              </w:rPr>
              <w:t xml:space="preserve">      基金投资</w:t>
            </w:r>
          </w:p>
        </w:tc>
        <w:tc>
          <w:tcPr>
            <w:tcW w:w="2768" w:type="dxa"/>
            <w:vAlign w:val="center"/>
          </w:tcPr>
          <w:p w14:paraId="757E8123"/>
        </w:tc>
        <w:tc>
          <w:tcPr>
            <w:tcW w:w="2768" w:type="dxa"/>
            <w:vAlign w:val="center"/>
          </w:tcPr>
          <w:p w14:paraId="1D79E678">
            <w:pPr>
              <w:jc w:val="right"/>
            </w:pPr>
            <w:r>
              <w:rPr>
                <w:rFonts w:hint="eastAsia"/>
              </w:rPr>
              <w:t>-</w:t>
            </w:r>
          </w:p>
        </w:tc>
      </w:tr>
      <w:tr w14:paraId="405E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FED18E">
            <w:r>
              <w:rPr>
                <w:rFonts w:hint="eastAsia"/>
              </w:rPr>
              <w:t xml:space="preserve">      债券投资</w:t>
            </w:r>
          </w:p>
        </w:tc>
        <w:tc>
          <w:tcPr>
            <w:tcW w:w="2768" w:type="dxa"/>
            <w:vAlign w:val="center"/>
          </w:tcPr>
          <w:p w14:paraId="2DB845FA"/>
        </w:tc>
        <w:tc>
          <w:tcPr>
            <w:tcW w:w="2768" w:type="dxa"/>
            <w:vAlign w:val="center"/>
          </w:tcPr>
          <w:p w14:paraId="251B8D7D">
            <w:pPr>
              <w:jc w:val="right"/>
            </w:pPr>
            <w:r>
              <w:rPr>
                <w:rFonts w:hint="eastAsia"/>
              </w:rPr>
              <w:t>2,438,609,187.09</w:t>
            </w:r>
          </w:p>
        </w:tc>
      </w:tr>
      <w:tr w14:paraId="40541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9282C9">
            <w:r>
              <w:rPr>
                <w:rFonts w:hint="eastAsia"/>
              </w:rPr>
              <w:t xml:space="preserve">      资产支持证券投资</w:t>
            </w:r>
          </w:p>
        </w:tc>
        <w:tc>
          <w:tcPr>
            <w:tcW w:w="2768" w:type="dxa"/>
            <w:vAlign w:val="center"/>
          </w:tcPr>
          <w:p w14:paraId="59E07F1A"/>
        </w:tc>
        <w:tc>
          <w:tcPr>
            <w:tcW w:w="2768" w:type="dxa"/>
            <w:vAlign w:val="center"/>
          </w:tcPr>
          <w:p w14:paraId="5ABBCBED">
            <w:pPr>
              <w:jc w:val="right"/>
            </w:pPr>
            <w:r>
              <w:rPr>
                <w:rFonts w:hint="eastAsia"/>
              </w:rPr>
              <w:t>-</w:t>
            </w:r>
          </w:p>
        </w:tc>
      </w:tr>
      <w:tr w14:paraId="78DC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4C61D8">
            <w:r>
              <w:rPr>
                <w:rFonts w:hint="eastAsia"/>
              </w:rPr>
              <w:t xml:space="preserve">      贵金属投资</w:t>
            </w:r>
          </w:p>
        </w:tc>
        <w:tc>
          <w:tcPr>
            <w:tcW w:w="2768" w:type="dxa"/>
            <w:vAlign w:val="center"/>
          </w:tcPr>
          <w:p w14:paraId="254ED45D"/>
        </w:tc>
        <w:tc>
          <w:tcPr>
            <w:tcW w:w="2768" w:type="dxa"/>
            <w:vAlign w:val="center"/>
          </w:tcPr>
          <w:p w14:paraId="2CBFD78D">
            <w:pPr>
              <w:jc w:val="right"/>
            </w:pPr>
            <w:r>
              <w:rPr>
                <w:rFonts w:hint="eastAsia"/>
              </w:rPr>
              <w:t>-</w:t>
            </w:r>
          </w:p>
        </w:tc>
      </w:tr>
      <w:tr w14:paraId="159B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959A24">
            <w:r>
              <w:rPr>
                <w:rFonts w:hint="eastAsia"/>
              </w:rPr>
              <w:t xml:space="preserve">      其他投资</w:t>
            </w:r>
          </w:p>
        </w:tc>
        <w:tc>
          <w:tcPr>
            <w:tcW w:w="2768" w:type="dxa"/>
            <w:vAlign w:val="center"/>
          </w:tcPr>
          <w:p w14:paraId="4A44C51C"/>
        </w:tc>
        <w:tc>
          <w:tcPr>
            <w:tcW w:w="2768" w:type="dxa"/>
            <w:vAlign w:val="center"/>
          </w:tcPr>
          <w:p w14:paraId="79E67C55">
            <w:pPr>
              <w:jc w:val="right"/>
            </w:pPr>
            <w:r>
              <w:rPr>
                <w:rFonts w:hint="eastAsia"/>
              </w:rPr>
              <w:t>-</w:t>
            </w:r>
          </w:p>
        </w:tc>
      </w:tr>
      <w:tr w14:paraId="6482A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C62392">
            <w:r>
              <w:rPr>
                <w:rFonts w:hint="eastAsia"/>
              </w:rPr>
              <w:t>衍生金融资产</w:t>
            </w:r>
          </w:p>
        </w:tc>
        <w:tc>
          <w:tcPr>
            <w:tcW w:w="2768" w:type="dxa"/>
            <w:vAlign w:val="center"/>
          </w:tcPr>
          <w:p w14:paraId="6423EE4C">
            <w:r>
              <w:rPr>
                <w:rFonts w:hint="eastAsia"/>
              </w:rPr>
              <w:t>7.4.7.3</w:t>
            </w:r>
          </w:p>
        </w:tc>
        <w:tc>
          <w:tcPr>
            <w:tcW w:w="2768" w:type="dxa"/>
            <w:vAlign w:val="center"/>
          </w:tcPr>
          <w:p w14:paraId="3A96235A">
            <w:pPr>
              <w:jc w:val="right"/>
            </w:pPr>
            <w:r>
              <w:rPr>
                <w:rFonts w:hint="eastAsia"/>
              </w:rPr>
              <w:t>-</w:t>
            </w:r>
          </w:p>
        </w:tc>
      </w:tr>
      <w:tr w14:paraId="7BF1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0D6A9F">
            <w:r>
              <w:rPr>
                <w:rFonts w:hint="eastAsia"/>
              </w:rPr>
              <w:t>买入返售金融资产</w:t>
            </w:r>
          </w:p>
        </w:tc>
        <w:tc>
          <w:tcPr>
            <w:tcW w:w="2768" w:type="dxa"/>
            <w:vAlign w:val="center"/>
          </w:tcPr>
          <w:p w14:paraId="77B76D3E">
            <w:r>
              <w:rPr>
                <w:rFonts w:hint="eastAsia"/>
              </w:rPr>
              <w:t>7.4.7.4</w:t>
            </w:r>
          </w:p>
        </w:tc>
        <w:tc>
          <w:tcPr>
            <w:tcW w:w="2768" w:type="dxa"/>
            <w:vAlign w:val="center"/>
          </w:tcPr>
          <w:p w14:paraId="5BC5EE85">
            <w:pPr>
              <w:jc w:val="right"/>
            </w:pPr>
            <w:r>
              <w:rPr>
                <w:rFonts w:hint="eastAsia"/>
              </w:rPr>
              <w:t>-</w:t>
            </w:r>
          </w:p>
        </w:tc>
      </w:tr>
      <w:tr w14:paraId="7E215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E137AC">
            <w:r>
              <w:rPr>
                <w:rFonts w:hint="eastAsia"/>
              </w:rPr>
              <w:t>债权投资</w:t>
            </w:r>
          </w:p>
        </w:tc>
        <w:tc>
          <w:tcPr>
            <w:tcW w:w="2768" w:type="dxa"/>
            <w:vAlign w:val="center"/>
          </w:tcPr>
          <w:p w14:paraId="30C123F3"/>
        </w:tc>
        <w:tc>
          <w:tcPr>
            <w:tcW w:w="2768" w:type="dxa"/>
            <w:vAlign w:val="center"/>
          </w:tcPr>
          <w:p w14:paraId="2789AFE0">
            <w:pPr>
              <w:jc w:val="right"/>
            </w:pPr>
            <w:r>
              <w:rPr>
                <w:rFonts w:hint="eastAsia"/>
              </w:rPr>
              <w:t>-</w:t>
            </w:r>
          </w:p>
        </w:tc>
      </w:tr>
      <w:tr w14:paraId="7DDCE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83CB7F">
            <w:r>
              <w:rPr>
                <w:rFonts w:hint="eastAsia"/>
              </w:rPr>
              <w:t>其中：债券投资</w:t>
            </w:r>
          </w:p>
        </w:tc>
        <w:tc>
          <w:tcPr>
            <w:tcW w:w="2768" w:type="dxa"/>
            <w:vAlign w:val="center"/>
          </w:tcPr>
          <w:p w14:paraId="35BF9B05"/>
        </w:tc>
        <w:tc>
          <w:tcPr>
            <w:tcW w:w="2768" w:type="dxa"/>
            <w:vAlign w:val="center"/>
          </w:tcPr>
          <w:p w14:paraId="4D0B69A0">
            <w:pPr>
              <w:jc w:val="right"/>
            </w:pPr>
            <w:r>
              <w:rPr>
                <w:rFonts w:hint="eastAsia"/>
              </w:rPr>
              <w:t>-</w:t>
            </w:r>
          </w:p>
        </w:tc>
      </w:tr>
      <w:tr w14:paraId="26D8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2A2532">
            <w:r>
              <w:rPr>
                <w:rFonts w:hint="eastAsia"/>
              </w:rPr>
              <w:t xml:space="preserve">      资产支持证券投资</w:t>
            </w:r>
          </w:p>
        </w:tc>
        <w:tc>
          <w:tcPr>
            <w:tcW w:w="2768" w:type="dxa"/>
            <w:vAlign w:val="center"/>
          </w:tcPr>
          <w:p w14:paraId="5C3B12AE"/>
        </w:tc>
        <w:tc>
          <w:tcPr>
            <w:tcW w:w="2768" w:type="dxa"/>
            <w:vAlign w:val="center"/>
          </w:tcPr>
          <w:p w14:paraId="6DF6C1BB">
            <w:pPr>
              <w:jc w:val="right"/>
            </w:pPr>
            <w:r>
              <w:rPr>
                <w:rFonts w:hint="eastAsia"/>
              </w:rPr>
              <w:t>-</w:t>
            </w:r>
          </w:p>
        </w:tc>
      </w:tr>
      <w:tr w14:paraId="6125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0BDA31">
            <w:r>
              <w:rPr>
                <w:rFonts w:hint="eastAsia"/>
              </w:rPr>
              <w:t xml:space="preserve">      其他投资</w:t>
            </w:r>
          </w:p>
        </w:tc>
        <w:tc>
          <w:tcPr>
            <w:tcW w:w="2768" w:type="dxa"/>
            <w:vAlign w:val="center"/>
          </w:tcPr>
          <w:p w14:paraId="631E190B"/>
        </w:tc>
        <w:tc>
          <w:tcPr>
            <w:tcW w:w="2768" w:type="dxa"/>
            <w:vAlign w:val="center"/>
          </w:tcPr>
          <w:p w14:paraId="74462737">
            <w:pPr>
              <w:jc w:val="right"/>
            </w:pPr>
            <w:r>
              <w:rPr>
                <w:rFonts w:hint="eastAsia"/>
              </w:rPr>
              <w:t>-</w:t>
            </w:r>
          </w:p>
        </w:tc>
      </w:tr>
      <w:tr w14:paraId="46F3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0BE141">
            <w:r>
              <w:rPr>
                <w:rFonts w:hint="eastAsia"/>
              </w:rPr>
              <w:t>其他债权投资</w:t>
            </w:r>
          </w:p>
        </w:tc>
        <w:tc>
          <w:tcPr>
            <w:tcW w:w="2768" w:type="dxa"/>
            <w:vAlign w:val="center"/>
          </w:tcPr>
          <w:p w14:paraId="60FF89DB"/>
        </w:tc>
        <w:tc>
          <w:tcPr>
            <w:tcW w:w="2768" w:type="dxa"/>
            <w:vAlign w:val="center"/>
          </w:tcPr>
          <w:p w14:paraId="3D9C7A01">
            <w:pPr>
              <w:jc w:val="right"/>
            </w:pPr>
            <w:r>
              <w:rPr>
                <w:rFonts w:hint="eastAsia"/>
              </w:rPr>
              <w:t>-</w:t>
            </w:r>
          </w:p>
        </w:tc>
      </w:tr>
      <w:tr w14:paraId="5AB0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D63A0C">
            <w:r>
              <w:rPr>
                <w:rFonts w:hint="eastAsia"/>
              </w:rPr>
              <w:t>其他权益工具投资</w:t>
            </w:r>
          </w:p>
        </w:tc>
        <w:tc>
          <w:tcPr>
            <w:tcW w:w="2768" w:type="dxa"/>
            <w:vAlign w:val="center"/>
          </w:tcPr>
          <w:p w14:paraId="3AA4DE38"/>
        </w:tc>
        <w:tc>
          <w:tcPr>
            <w:tcW w:w="2768" w:type="dxa"/>
            <w:vAlign w:val="center"/>
          </w:tcPr>
          <w:p w14:paraId="6DB500CE">
            <w:pPr>
              <w:jc w:val="right"/>
            </w:pPr>
            <w:r>
              <w:rPr>
                <w:rFonts w:hint="eastAsia"/>
              </w:rPr>
              <w:t>-</w:t>
            </w:r>
          </w:p>
        </w:tc>
      </w:tr>
      <w:tr w14:paraId="1BB27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0CA8F4">
            <w:r>
              <w:rPr>
                <w:rFonts w:hint="eastAsia"/>
              </w:rPr>
              <w:t>应收清算款</w:t>
            </w:r>
          </w:p>
        </w:tc>
        <w:tc>
          <w:tcPr>
            <w:tcW w:w="2768" w:type="dxa"/>
            <w:vAlign w:val="center"/>
          </w:tcPr>
          <w:p w14:paraId="2FA44F5B"/>
        </w:tc>
        <w:tc>
          <w:tcPr>
            <w:tcW w:w="2768" w:type="dxa"/>
            <w:vAlign w:val="center"/>
          </w:tcPr>
          <w:p w14:paraId="28262275">
            <w:pPr>
              <w:jc w:val="right"/>
            </w:pPr>
            <w:r>
              <w:rPr>
                <w:rFonts w:hint="eastAsia"/>
              </w:rPr>
              <w:t>-</w:t>
            </w:r>
          </w:p>
        </w:tc>
      </w:tr>
      <w:tr w14:paraId="1FDC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7E16B2">
            <w:r>
              <w:rPr>
                <w:rFonts w:hint="eastAsia"/>
              </w:rPr>
              <w:t>应收股利</w:t>
            </w:r>
          </w:p>
        </w:tc>
        <w:tc>
          <w:tcPr>
            <w:tcW w:w="2768" w:type="dxa"/>
            <w:vAlign w:val="center"/>
          </w:tcPr>
          <w:p w14:paraId="586F728F"/>
        </w:tc>
        <w:tc>
          <w:tcPr>
            <w:tcW w:w="2768" w:type="dxa"/>
            <w:vAlign w:val="center"/>
          </w:tcPr>
          <w:p w14:paraId="39358AAA">
            <w:pPr>
              <w:jc w:val="right"/>
            </w:pPr>
            <w:r>
              <w:rPr>
                <w:rFonts w:hint="eastAsia"/>
              </w:rPr>
              <w:t>-</w:t>
            </w:r>
          </w:p>
        </w:tc>
      </w:tr>
      <w:tr w14:paraId="660A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69C481">
            <w:r>
              <w:rPr>
                <w:rFonts w:hint="eastAsia"/>
              </w:rPr>
              <w:t>应收申购款</w:t>
            </w:r>
          </w:p>
        </w:tc>
        <w:tc>
          <w:tcPr>
            <w:tcW w:w="2768" w:type="dxa"/>
            <w:vAlign w:val="center"/>
          </w:tcPr>
          <w:p w14:paraId="50B15420"/>
        </w:tc>
        <w:tc>
          <w:tcPr>
            <w:tcW w:w="2768" w:type="dxa"/>
            <w:vAlign w:val="center"/>
          </w:tcPr>
          <w:p w14:paraId="75519DBD">
            <w:pPr>
              <w:jc w:val="right"/>
            </w:pPr>
            <w:r>
              <w:rPr>
                <w:rFonts w:hint="eastAsia"/>
              </w:rPr>
              <w:t>-</w:t>
            </w:r>
          </w:p>
        </w:tc>
      </w:tr>
      <w:tr w14:paraId="456E2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251FF3">
            <w:r>
              <w:rPr>
                <w:rFonts w:hint="eastAsia"/>
              </w:rPr>
              <w:t>递延所得税资产</w:t>
            </w:r>
          </w:p>
        </w:tc>
        <w:tc>
          <w:tcPr>
            <w:tcW w:w="2768" w:type="dxa"/>
            <w:vAlign w:val="center"/>
          </w:tcPr>
          <w:p w14:paraId="1CE98897"/>
        </w:tc>
        <w:tc>
          <w:tcPr>
            <w:tcW w:w="2768" w:type="dxa"/>
            <w:vAlign w:val="center"/>
          </w:tcPr>
          <w:p w14:paraId="3B1A004B">
            <w:pPr>
              <w:jc w:val="right"/>
            </w:pPr>
            <w:r>
              <w:rPr>
                <w:rFonts w:hint="eastAsia"/>
              </w:rPr>
              <w:t>-</w:t>
            </w:r>
          </w:p>
        </w:tc>
      </w:tr>
      <w:tr w14:paraId="253B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81C01F">
            <w:r>
              <w:rPr>
                <w:rFonts w:hint="eastAsia"/>
              </w:rPr>
              <w:t>其他资产</w:t>
            </w:r>
          </w:p>
        </w:tc>
        <w:tc>
          <w:tcPr>
            <w:tcW w:w="2768" w:type="dxa"/>
            <w:vAlign w:val="center"/>
          </w:tcPr>
          <w:p w14:paraId="44138A7F">
            <w:r>
              <w:rPr>
                <w:rFonts w:hint="eastAsia"/>
              </w:rPr>
              <w:t>7.4.7.5</w:t>
            </w:r>
          </w:p>
        </w:tc>
        <w:tc>
          <w:tcPr>
            <w:tcW w:w="2768" w:type="dxa"/>
            <w:vAlign w:val="center"/>
          </w:tcPr>
          <w:p w14:paraId="35378A96">
            <w:pPr>
              <w:jc w:val="right"/>
            </w:pPr>
            <w:r>
              <w:rPr>
                <w:rFonts w:hint="eastAsia"/>
              </w:rPr>
              <w:t>-</w:t>
            </w:r>
          </w:p>
        </w:tc>
      </w:tr>
      <w:tr w14:paraId="6FE4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B9189F">
            <w:r>
              <w:rPr>
                <w:rFonts w:hint="eastAsia"/>
              </w:rPr>
              <w:t>资产总计</w:t>
            </w:r>
          </w:p>
        </w:tc>
        <w:tc>
          <w:tcPr>
            <w:tcW w:w="2768" w:type="dxa"/>
            <w:vAlign w:val="center"/>
          </w:tcPr>
          <w:p w14:paraId="67FC4DA7"/>
        </w:tc>
        <w:tc>
          <w:tcPr>
            <w:tcW w:w="2768" w:type="dxa"/>
            <w:vAlign w:val="center"/>
          </w:tcPr>
          <w:p w14:paraId="114A8F3C">
            <w:pPr>
              <w:jc w:val="right"/>
            </w:pPr>
            <w:r>
              <w:rPr>
                <w:rFonts w:hint="eastAsia"/>
              </w:rPr>
              <w:t>2,468,688,866.46</w:t>
            </w:r>
          </w:p>
        </w:tc>
      </w:tr>
      <w:tr w14:paraId="4ED2C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663846">
            <w:r>
              <w:rPr>
                <w:rFonts w:hint="eastAsia"/>
              </w:rPr>
              <w:t>负债和净资产</w:t>
            </w:r>
          </w:p>
        </w:tc>
        <w:tc>
          <w:tcPr>
            <w:tcW w:w="2768" w:type="dxa"/>
            <w:vAlign w:val="center"/>
          </w:tcPr>
          <w:p w14:paraId="0BA9B29F">
            <w:r>
              <w:rPr>
                <w:rFonts w:hint="eastAsia"/>
              </w:rPr>
              <w:t>附注号</w:t>
            </w:r>
          </w:p>
        </w:tc>
        <w:tc>
          <w:tcPr>
            <w:tcW w:w="2768" w:type="dxa"/>
            <w:vAlign w:val="center"/>
          </w:tcPr>
          <w:p w14:paraId="6CD58E1C">
            <w:r>
              <w:rPr>
                <w:rFonts w:hint="eastAsia"/>
              </w:rPr>
              <w:t>本期末2025年12月31日</w:t>
            </w:r>
          </w:p>
        </w:tc>
      </w:tr>
      <w:tr w14:paraId="30BF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E877A6">
            <w:r>
              <w:rPr>
                <w:rFonts w:hint="eastAsia"/>
              </w:rPr>
              <w:t>负债：</w:t>
            </w:r>
          </w:p>
        </w:tc>
        <w:tc>
          <w:tcPr>
            <w:tcW w:w="2768" w:type="dxa"/>
            <w:vAlign w:val="center"/>
          </w:tcPr>
          <w:p w14:paraId="66222A35"/>
        </w:tc>
        <w:tc>
          <w:tcPr>
            <w:tcW w:w="2768" w:type="dxa"/>
            <w:vAlign w:val="center"/>
          </w:tcPr>
          <w:p w14:paraId="3EA469DA"/>
        </w:tc>
      </w:tr>
      <w:tr w14:paraId="3EC5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9B2D1B">
            <w:r>
              <w:rPr>
                <w:rFonts w:hint="eastAsia"/>
              </w:rPr>
              <w:t>短期借款</w:t>
            </w:r>
          </w:p>
        </w:tc>
        <w:tc>
          <w:tcPr>
            <w:tcW w:w="2768" w:type="dxa"/>
            <w:vAlign w:val="center"/>
          </w:tcPr>
          <w:p w14:paraId="6F1C5BE8"/>
        </w:tc>
        <w:tc>
          <w:tcPr>
            <w:tcW w:w="2768" w:type="dxa"/>
            <w:vAlign w:val="center"/>
          </w:tcPr>
          <w:p w14:paraId="187232C4">
            <w:pPr>
              <w:jc w:val="right"/>
            </w:pPr>
            <w:r>
              <w:rPr>
                <w:rFonts w:hint="eastAsia"/>
              </w:rPr>
              <w:t>-</w:t>
            </w:r>
          </w:p>
        </w:tc>
      </w:tr>
      <w:tr w14:paraId="63C8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7DF6B0">
            <w:r>
              <w:rPr>
                <w:rFonts w:hint="eastAsia"/>
              </w:rPr>
              <w:t>交易性金融负债</w:t>
            </w:r>
          </w:p>
        </w:tc>
        <w:tc>
          <w:tcPr>
            <w:tcW w:w="2768" w:type="dxa"/>
            <w:vAlign w:val="center"/>
          </w:tcPr>
          <w:p w14:paraId="22EFD1D3"/>
        </w:tc>
        <w:tc>
          <w:tcPr>
            <w:tcW w:w="2768" w:type="dxa"/>
            <w:vAlign w:val="center"/>
          </w:tcPr>
          <w:p w14:paraId="1C2E859B">
            <w:pPr>
              <w:jc w:val="right"/>
            </w:pPr>
            <w:r>
              <w:rPr>
                <w:rFonts w:hint="eastAsia"/>
              </w:rPr>
              <w:t>-</w:t>
            </w:r>
          </w:p>
        </w:tc>
      </w:tr>
      <w:tr w14:paraId="7EDD0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0EE840">
            <w:r>
              <w:rPr>
                <w:rFonts w:hint="eastAsia"/>
              </w:rPr>
              <w:t>衍生金融负债</w:t>
            </w:r>
          </w:p>
        </w:tc>
        <w:tc>
          <w:tcPr>
            <w:tcW w:w="2768" w:type="dxa"/>
            <w:vAlign w:val="center"/>
          </w:tcPr>
          <w:p w14:paraId="100AB7B4">
            <w:r>
              <w:rPr>
                <w:rFonts w:hint="eastAsia"/>
              </w:rPr>
              <w:t>7.4.7.3</w:t>
            </w:r>
          </w:p>
        </w:tc>
        <w:tc>
          <w:tcPr>
            <w:tcW w:w="2768" w:type="dxa"/>
            <w:vAlign w:val="center"/>
          </w:tcPr>
          <w:p w14:paraId="63EDD3C7">
            <w:pPr>
              <w:jc w:val="right"/>
            </w:pPr>
            <w:r>
              <w:rPr>
                <w:rFonts w:hint="eastAsia"/>
              </w:rPr>
              <w:t>-</w:t>
            </w:r>
          </w:p>
        </w:tc>
      </w:tr>
      <w:tr w14:paraId="00BD3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A7B41D">
            <w:r>
              <w:rPr>
                <w:rFonts w:hint="eastAsia"/>
              </w:rPr>
              <w:t>卖出回购金融资产款</w:t>
            </w:r>
          </w:p>
        </w:tc>
        <w:tc>
          <w:tcPr>
            <w:tcW w:w="2768" w:type="dxa"/>
            <w:vAlign w:val="center"/>
          </w:tcPr>
          <w:p w14:paraId="34B9DE04"/>
        </w:tc>
        <w:tc>
          <w:tcPr>
            <w:tcW w:w="2768" w:type="dxa"/>
            <w:vAlign w:val="center"/>
          </w:tcPr>
          <w:p w14:paraId="63C142BF">
            <w:pPr>
              <w:jc w:val="right"/>
            </w:pPr>
            <w:r>
              <w:rPr>
                <w:rFonts w:hint="eastAsia"/>
              </w:rPr>
              <w:t>397,633,692.07</w:t>
            </w:r>
          </w:p>
        </w:tc>
      </w:tr>
      <w:tr w14:paraId="44090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80D2DF">
            <w:r>
              <w:rPr>
                <w:rFonts w:hint="eastAsia"/>
              </w:rPr>
              <w:t>应付清算款</w:t>
            </w:r>
          </w:p>
        </w:tc>
        <w:tc>
          <w:tcPr>
            <w:tcW w:w="2768" w:type="dxa"/>
            <w:vAlign w:val="center"/>
          </w:tcPr>
          <w:p w14:paraId="6776F679"/>
        </w:tc>
        <w:tc>
          <w:tcPr>
            <w:tcW w:w="2768" w:type="dxa"/>
            <w:vAlign w:val="center"/>
          </w:tcPr>
          <w:p w14:paraId="03A4AE60">
            <w:pPr>
              <w:jc w:val="right"/>
            </w:pPr>
            <w:r>
              <w:rPr>
                <w:rFonts w:hint="eastAsia"/>
              </w:rPr>
              <w:t>10,094,047.01</w:t>
            </w:r>
          </w:p>
        </w:tc>
      </w:tr>
      <w:tr w14:paraId="29D3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B29189">
            <w:r>
              <w:rPr>
                <w:rFonts w:hint="eastAsia"/>
              </w:rPr>
              <w:t>应付赎回款</w:t>
            </w:r>
          </w:p>
        </w:tc>
        <w:tc>
          <w:tcPr>
            <w:tcW w:w="2768" w:type="dxa"/>
            <w:vAlign w:val="center"/>
          </w:tcPr>
          <w:p w14:paraId="5706829D"/>
        </w:tc>
        <w:tc>
          <w:tcPr>
            <w:tcW w:w="2768" w:type="dxa"/>
            <w:vAlign w:val="center"/>
          </w:tcPr>
          <w:p w14:paraId="109AEB92">
            <w:pPr>
              <w:jc w:val="right"/>
            </w:pPr>
            <w:r>
              <w:rPr>
                <w:rFonts w:hint="eastAsia"/>
              </w:rPr>
              <w:t>-</w:t>
            </w:r>
          </w:p>
        </w:tc>
      </w:tr>
      <w:tr w14:paraId="21A1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5B7AE4">
            <w:r>
              <w:rPr>
                <w:rFonts w:hint="eastAsia"/>
              </w:rPr>
              <w:t>应付管理人报酬</w:t>
            </w:r>
          </w:p>
        </w:tc>
        <w:tc>
          <w:tcPr>
            <w:tcW w:w="2768" w:type="dxa"/>
            <w:vAlign w:val="center"/>
          </w:tcPr>
          <w:p w14:paraId="1A58921D"/>
        </w:tc>
        <w:tc>
          <w:tcPr>
            <w:tcW w:w="2768" w:type="dxa"/>
            <w:vAlign w:val="center"/>
          </w:tcPr>
          <w:p w14:paraId="2C80E50E">
            <w:pPr>
              <w:jc w:val="right"/>
            </w:pPr>
            <w:r>
              <w:rPr>
                <w:rFonts w:hint="eastAsia"/>
              </w:rPr>
              <w:t>349,837.23</w:t>
            </w:r>
          </w:p>
        </w:tc>
      </w:tr>
      <w:tr w14:paraId="6353A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3A3046">
            <w:r>
              <w:rPr>
                <w:rFonts w:hint="eastAsia"/>
              </w:rPr>
              <w:t>应付托管费</w:t>
            </w:r>
          </w:p>
        </w:tc>
        <w:tc>
          <w:tcPr>
            <w:tcW w:w="2768" w:type="dxa"/>
            <w:vAlign w:val="center"/>
          </w:tcPr>
          <w:p w14:paraId="02C1BA4D"/>
        </w:tc>
        <w:tc>
          <w:tcPr>
            <w:tcW w:w="2768" w:type="dxa"/>
            <w:vAlign w:val="center"/>
          </w:tcPr>
          <w:p w14:paraId="24DD21F6">
            <w:pPr>
              <w:jc w:val="right"/>
            </w:pPr>
            <w:r>
              <w:rPr>
                <w:rFonts w:hint="eastAsia"/>
              </w:rPr>
              <w:t>87,459.30</w:t>
            </w:r>
          </w:p>
        </w:tc>
      </w:tr>
      <w:tr w14:paraId="272B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635211">
            <w:r>
              <w:rPr>
                <w:rFonts w:hint="eastAsia"/>
              </w:rPr>
              <w:t>应付销售服务费</w:t>
            </w:r>
          </w:p>
        </w:tc>
        <w:tc>
          <w:tcPr>
            <w:tcW w:w="2768" w:type="dxa"/>
            <w:vAlign w:val="center"/>
          </w:tcPr>
          <w:p w14:paraId="48FBB573"/>
        </w:tc>
        <w:tc>
          <w:tcPr>
            <w:tcW w:w="2768" w:type="dxa"/>
            <w:vAlign w:val="center"/>
          </w:tcPr>
          <w:p w14:paraId="04CD54C7">
            <w:pPr>
              <w:jc w:val="right"/>
            </w:pPr>
            <w:r>
              <w:rPr>
                <w:rFonts w:hint="eastAsia"/>
              </w:rPr>
              <w:t>69,877.57</w:t>
            </w:r>
          </w:p>
        </w:tc>
      </w:tr>
      <w:tr w14:paraId="21C8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21BF48">
            <w:r>
              <w:rPr>
                <w:rFonts w:hint="eastAsia"/>
              </w:rPr>
              <w:t>应付投资顾问费</w:t>
            </w:r>
          </w:p>
        </w:tc>
        <w:tc>
          <w:tcPr>
            <w:tcW w:w="2768" w:type="dxa"/>
            <w:vAlign w:val="center"/>
          </w:tcPr>
          <w:p w14:paraId="5E9EE1CE"/>
        </w:tc>
        <w:tc>
          <w:tcPr>
            <w:tcW w:w="2768" w:type="dxa"/>
            <w:vAlign w:val="center"/>
          </w:tcPr>
          <w:p w14:paraId="011DA03B">
            <w:pPr>
              <w:jc w:val="right"/>
            </w:pPr>
            <w:r>
              <w:rPr>
                <w:rFonts w:hint="eastAsia"/>
              </w:rPr>
              <w:t>-</w:t>
            </w:r>
          </w:p>
        </w:tc>
      </w:tr>
      <w:tr w14:paraId="2509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4FDB20">
            <w:r>
              <w:rPr>
                <w:rFonts w:hint="eastAsia"/>
              </w:rPr>
              <w:t>应交税费</w:t>
            </w:r>
          </w:p>
        </w:tc>
        <w:tc>
          <w:tcPr>
            <w:tcW w:w="2768" w:type="dxa"/>
            <w:vAlign w:val="center"/>
          </w:tcPr>
          <w:p w14:paraId="486D2E08"/>
        </w:tc>
        <w:tc>
          <w:tcPr>
            <w:tcW w:w="2768" w:type="dxa"/>
            <w:vAlign w:val="center"/>
          </w:tcPr>
          <w:p w14:paraId="71FF1427">
            <w:pPr>
              <w:jc w:val="right"/>
            </w:pPr>
            <w:r>
              <w:rPr>
                <w:rFonts w:hint="eastAsia"/>
              </w:rPr>
              <w:t>58,633.38</w:t>
            </w:r>
          </w:p>
        </w:tc>
      </w:tr>
      <w:tr w14:paraId="78A7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822A81">
            <w:r>
              <w:rPr>
                <w:rFonts w:hint="eastAsia"/>
              </w:rPr>
              <w:t>应付利润</w:t>
            </w:r>
          </w:p>
        </w:tc>
        <w:tc>
          <w:tcPr>
            <w:tcW w:w="2768" w:type="dxa"/>
            <w:vAlign w:val="center"/>
          </w:tcPr>
          <w:p w14:paraId="056B2F7A"/>
        </w:tc>
        <w:tc>
          <w:tcPr>
            <w:tcW w:w="2768" w:type="dxa"/>
            <w:vAlign w:val="center"/>
          </w:tcPr>
          <w:p w14:paraId="5BA767D6">
            <w:pPr>
              <w:jc w:val="right"/>
            </w:pPr>
            <w:r>
              <w:rPr>
                <w:rFonts w:hint="eastAsia"/>
              </w:rPr>
              <w:t>-</w:t>
            </w:r>
          </w:p>
        </w:tc>
      </w:tr>
      <w:tr w14:paraId="0EAF0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EA4F2B">
            <w:r>
              <w:rPr>
                <w:rFonts w:hint="eastAsia"/>
              </w:rPr>
              <w:t>递延所得税负债</w:t>
            </w:r>
          </w:p>
        </w:tc>
        <w:tc>
          <w:tcPr>
            <w:tcW w:w="2768" w:type="dxa"/>
            <w:vAlign w:val="center"/>
          </w:tcPr>
          <w:p w14:paraId="6B7C7852"/>
        </w:tc>
        <w:tc>
          <w:tcPr>
            <w:tcW w:w="2768" w:type="dxa"/>
            <w:vAlign w:val="center"/>
          </w:tcPr>
          <w:p w14:paraId="7A487922">
            <w:pPr>
              <w:jc w:val="right"/>
            </w:pPr>
            <w:r>
              <w:rPr>
                <w:rFonts w:hint="eastAsia"/>
              </w:rPr>
              <w:t>-</w:t>
            </w:r>
          </w:p>
        </w:tc>
      </w:tr>
      <w:tr w14:paraId="63DB3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4CB6A4">
            <w:r>
              <w:rPr>
                <w:rFonts w:hint="eastAsia"/>
              </w:rPr>
              <w:t>其他负债</w:t>
            </w:r>
          </w:p>
        </w:tc>
        <w:tc>
          <w:tcPr>
            <w:tcW w:w="2768" w:type="dxa"/>
            <w:vAlign w:val="center"/>
          </w:tcPr>
          <w:p w14:paraId="0EBA4A3D">
            <w:r>
              <w:rPr>
                <w:rFonts w:hint="eastAsia"/>
              </w:rPr>
              <w:t>7.4.7.6</w:t>
            </w:r>
          </w:p>
        </w:tc>
        <w:tc>
          <w:tcPr>
            <w:tcW w:w="2768" w:type="dxa"/>
            <w:vAlign w:val="center"/>
          </w:tcPr>
          <w:p w14:paraId="5B1D74B1">
            <w:pPr>
              <w:jc w:val="right"/>
            </w:pPr>
            <w:r>
              <w:rPr>
                <w:rFonts w:hint="eastAsia"/>
              </w:rPr>
              <w:t>98,242.57</w:t>
            </w:r>
          </w:p>
        </w:tc>
      </w:tr>
      <w:tr w14:paraId="3137E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0471C6">
            <w:r>
              <w:rPr>
                <w:rFonts w:hint="eastAsia"/>
              </w:rPr>
              <w:t>负债合计</w:t>
            </w:r>
          </w:p>
        </w:tc>
        <w:tc>
          <w:tcPr>
            <w:tcW w:w="2768" w:type="dxa"/>
            <w:vAlign w:val="center"/>
          </w:tcPr>
          <w:p w14:paraId="2EB4DEF1"/>
        </w:tc>
        <w:tc>
          <w:tcPr>
            <w:tcW w:w="2768" w:type="dxa"/>
            <w:vAlign w:val="center"/>
          </w:tcPr>
          <w:p w14:paraId="606970C5">
            <w:pPr>
              <w:jc w:val="right"/>
            </w:pPr>
            <w:r>
              <w:rPr>
                <w:rFonts w:hint="eastAsia"/>
              </w:rPr>
              <w:t>408,391,789.13</w:t>
            </w:r>
          </w:p>
        </w:tc>
      </w:tr>
      <w:tr w14:paraId="295B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E012DE">
            <w:r>
              <w:rPr>
                <w:rFonts w:hint="eastAsia"/>
              </w:rPr>
              <w:t>净资产：</w:t>
            </w:r>
          </w:p>
        </w:tc>
        <w:tc>
          <w:tcPr>
            <w:tcW w:w="2768" w:type="dxa"/>
            <w:vAlign w:val="center"/>
          </w:tcPr>
          <w:p w14:paraId="473EC548"/>
        </w:tc>
        <w:tc>
          <w:tcPr>
            <w:tcW w:w="2768" w:type="dxa"/>
            <w:vAlign w:val="center"/>
          </w:tcPr>
          <w:p w14:paraId="79A0CEBF"/>
        </w:tc>
      </w:tr>
      <w:tr w14:paraId="0977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E76529">
            <w:r>
              <w:rPr>
                <w:rFonts w:hint="eastAsia"/>
              </w:rPr>
              <w:t>实收基金</w:t>
            </w:r>
          </w:p>
        </w:tc>
        <w:tc>
          <w:tcPr>
            <w:tcW w:w="2768" w:type="dxa"/>
            <w:vAlign w:val="center"/>
          </w:tcPr>
          <w:p w14:paraId="393CD877">
            <w:r>
              <w:rPr>
                <w:rFonts w:hint="eastAsia"/>
              </w:rPr>
              <w:t>7.4.7.7</w:t>
            </w:r>
          </w:p>
        </w:tc>
        <w:tc>
          <w:tcPr>
            <w:tcW w:w="2768" w:type="dxa"/>
            <w:vAlign w:val="center"/>
          </w:tcPr>
          <w:p w14:paraId="4DE5C5F8">
            <w:pPr>
              <w:jc w:val="right"/>
            </w:pPr>
            <w:r>
              <w:rPr>
                <w:rFonts w:hint="eastAsia"/>
              </w:rPr>
              <w:t>2,055,520,849.67</w:t>
            </w:r>
          </w:p>
        </w:tc>
      </w:tr>
      <w:tr w14:paraId="17520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17B48D">
            <w:r>
              <w:rPr>
                <w:rFonts w:hint="eastAsia"/>
              </w:rPr>
              <w:t>其他综合收益</w:t>
            </w:r>
          </w:p>
        </w:tc>
        <w:tc>
          <w:tcPr>
            <w:tcW w:w="2768" w:type="dxa"/>
            <w:vAlign w:val="center"/>
          </w:tcPr>
          <w:p w14:paraId="3CEA5068"/>
        </w:tc>
        <w:tc>
          <w:tcPr>
            <w:tcW w:w="2768" w:type="dxa"/>
            <w:vAlign w:val="center"/>
          </w:tcPr>
          <w:p w14:paraId="044B84AC">
            <w:pPr>
              <w:jc w:val="right"/>
            </w:pPr>
            <w:r>
              <w:rPr>
                <w:rFonts w:hint="eastAsia"/>
              </w:rPr>
              <w:t>-</w:t>
            </w:r>
          </w:p>
        </w:tc>
      </w:tr>
      <w:tr w14:paraId="3A1FB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27007C">
            <w:r>
              <w:rPr>
                <w:rFonts w:hint="eastAsia"/>
              </w:rPr>
              <w:t>未分配利润</w:t>
            </w:r>
          </w:p>
        </w:tc>
        <w:tc>
          <w:tcPr>
            <w:tcW w:w="2768" w:type="dxa"/>
            <w:vAlign w:val="center"/>
          </w:tcPr>
          <w:p w14:paraId="2D10F391">
            <w:r>
              <w:rPr>
                <w:rFonts w:hint="eastAsia"/>
              </w:rPr>
              <w:t>7.4.7.8</w:t>
            </w:r>
          </w:p>
        </w:tc>
        <w:tc>
          <w:tcPr>
            <w:tcW w:w="2768" w:type="dxa"/>
            <w:vAlign w:val="center"/>
          </w:tcPr>
          <w:p w14:paraId="503E0589">
            <w:pPr>
              <w:jc w:val="right"/>
            </w:pPr>
            <w:r>
              <w:rPr>
                <w:rFonts w:hint="eastAsia"/>
              </w:rPr>
              <w:t>4,776,227.66</w:t>
            </w:r>
          </w:p>
        </w:tc>
      </w:tr>
      <w:tr w14:paraId="1DB0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D69E4D">
            <w:r>
              <w:rPr>
                <w:rFonts w:hint="eastAsia"/>
              </w:rPr>
              <w:t>净资产合计</w:t>
            </w:r>
          </w:p>
        </w:tc>
        <w:tc>
          <w:tcPr>
            <w:tcW w:w="2768" w:type="dxa"/>
            <w:vAlign w:val="center"/>
          </w:tcPr>
          <w:p w14:paraId="0CBC639E"/>
        </w:tc>
        <w:tc>
          <w:tcPr>
            <w:tcW w:w="2768" w:type="dxa"/>
            <w:vAlign w:val="center"/>
          </w:tcPr>
          <w:p w14:paraId="381832FF">
            <w:pPr>
              <w:jc w:val="right"/>
            </w:pPr>
            <w:r>
              <w:rPr>
                <w:rFonts w:hint="eastAsia"/>
              </w:rPr>
              <w:t>2,060,297,077.33</w:t>
            </w:r>
          </w:p>
        </w:tc>
      </w:tr>
      <w:tr w14:paraId="200A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441E3B">
            <w:r>
              <w:rPr>
                <w:rFonts w:hint="eastAsia"/>
              </w:rPr>
              <w:t>负债和净资产总计</w:t>
            </w:r>
          </w:p>
        </w:tc>
        <w:tc>
          <w:tcPr>
            <w:tcW w:w="2768" w:type="dxa"/>
            <w:vAlign w:val="center"/>
          </w:tcPr>
          <w:p w14:paraId="66D85AF3"/>
        </w:tc>
        <w:tc>
          <w:tcPr>
            <w:tcW w:w="2768" w:type="dxa"/>
            <w:vAlign w:val="center"/>
          </w:tcPr>
          <w:p w14:paraId="236DCB79">
            <w:pPr>
              <w:jc w:val="right"/>
            </w:pPr>
            <w:r>
              <w:rPr>
                <w:rFonts w:hint="eastAsia"/>
              </w:rPr>
              <w:t>2,468,688,866.46</w:t>
            </w:r>
          </w:p>
        </w:tc>
      </w:tr>
    </w:tbl>
    <w:p w14:paraId="7F3F9152">
      <w:pPr>
        <w:pStyle w:val="47"/>
        <w:rPr>
          <w:rFonts w:hint="eastAsia"/>
        </w:rPr>
      </w:pPr>
      <w:r>
        <w:rPr>
          <w:rFonts w:hint="eastAsia"/>
        </w:rPr>
        <w:t>注：1.报告截止日2025年12月31日，南方稳航120天滚动持有债券A份额净值1.0024元，基金份额总额1,644,782,675.47份；南方稳航120天滚动持有债券C份额净值1.0019元，基金份额总额410,738,174.20份；总份额合计2,055,520,849.67份。</w:t>
      </w:r>
    </w:p>
    <w:p w14:paraId="26EADE61">
      <w:pPr>
        <w:pStyle w:val="47"/>
        <w:rPr>
          <w:rFonts w:hint="eastAsia"/>
        </w:rPr>
      </w:pPr>
      <w:r>
        <w:tab/>
      </w:r>
      <w:r>
        <w:rPr>
          <w:rFonts w:hint="eastAsia"/>
        </w:rPr>
        <w:t>2.本财务报表的实际编制期间为2025年09月16日(基金合同生效日)至2025年12月31日止期间。</w:t>
      </w:r>
    </w:p>
    <w:p w14:paraId="3C909895">
      <w:pPr>
        <w:pStyle w:val="23"/>
      </w:pPr>
      <w:bookmarkStart w:id="46" w:name="_Toc6876"/>
      <w:r>
        <w:t>利润表</w:t>
      </w:r>
      <w:bookmarkEnd w:id="46"/>
    </w:p>
    <w:p w14:paraId="64FF0720">
      <w:pPr>
        <w:pStyle w:val="18"/>
        <w:rPr>
          <w:rFonts w:hint="eastAsia"/>
        </w:rPr>
      </w:pPr>
      <w:r>
        <w:rPr>
          <w:rFonts w:hint="eastAsia"/>
        </w:rPr>
        <w:t>会计主体：南方稳航120天滚动持有债券型证券投资基金</w:t>
      </w:r>
    </w:p>
    <w:p w14:paraId="15316B3A">
      <w:pPr>
        <w:pStyle w:val="18"/>
        <w:rPr>
          <w:rFonts w:hint="eastAsia"/>
        </w:rPr>
      </w:pPr>
      <w:r>
        <w:rPr>
          <w:rFonts w:hint="eastAsia"/>
        </w:rPr>
        <w:t>本报告期：2025年9月16日(基金合同生效日)至2025年12月31日</w:t>
      </w:r>
    </w:p>
    <w:p w14:paraId="526A139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34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A4BAF1">
            <w:pPr>
              <w:jc w:val="center"/>
            </w:pPr>
            <w:r>
              <w:rPr>
                <w:rFonts w:hint="eastAsia"/>
                <w:b/>
              </w:rPr>
              <w:t>项目</w:t>
            </w:r>
          </w:p>
        </w:tc>
        <w:tc>
          <w:tcPr>
            <w:tcW w:w="2768" w:type="dxa"/>
            <w:shd w:val="clear" w:color="auto" w:fill="BFBFBF"/>
            <w:vAlign w:val="center"/>
          </w:tcPr>
          <w:p w14:paraId="7A6B7346">
            <w:pPr>
              <w:jc w:val="center"/>
            </w:pPr>
            <w:r>
              <w:rPr>
                <w:rFonts w:hint="eastAsia"/>
                <w:b/>
              </w:rPr>
              <w:t>附注号</w:t>
            </w:r>
          </w:p>
        </w:tc>
        <w:tc>
          <w:tcPr>
            <w:tcW w:w="2768" w:type="dxa"/>
            <w:shd w:val="clear" w:color="auto" w:fill="BFBFBF"/>
            <w:vAlign w:val="center"/>
          </w:tcPr>
          <w:p w14:paraId="4EFD8B86">
            <w:pPr>
              <w:jc w:val="center"/>
            </w:pPr>
            <w:r>
              <w:rPr>
                <w:rFonts w:hint="eastAsia"/>
                <w:b/>
              </w:rPr>
              <w:t>本期2025年9月16日（基金合同生效日）至2025年12月31日</w:t>
            </w:r>
          </w:p>
        </w:tc>
      </w:tr>
      <w:tr w14:paraId="0B4D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6B3D7E">
            <w:r>
              <w:rPr>
                <w:rFonts w:hint="eastAsia"/>
              </w:rPr>
              <w:t>一、营业总收入</w:t>
            </w:r>
          </w:p>
        </w:tc>
        <w:tc>
          <w:tcPr>
            <w:tcW w:w="2768" w:type="dxa"/>
            <w:vAlign w:val="center"/>
          </w:tcPr>
          <w:p w14:paraId="1381943F"/>
        </w:tc>
        <w:tc>
          <w:tcPr>
            <w:tcW w:w="2768" w:type="dxa"/>
            <w:vAlign w:val="center"/>
          </w:tcPr>
          <w:p w14:paraId="3B51551E">
            <w:pPr>
              <w:jc w:val="right"/>
            </w:pPr>
            <w:r>
              <w:rPr>
                <w:rFonts w:hint="eastAsia"/>
              </w:rPr>
              <w:t>7,852,311.96</w:t>
            </w:r>
          </w:p>
        </w:tc>
      </w:tr>
      <w:tr w14:paraId="5A1F9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501A32">
            <w:r>
              <w:rPr>
                <w:rFonts w:hint="eastAsia"/>
              </w:rPr>
              <w:t>1.利息收入</w:t>
            </w:r>
          </w:p>
        </w:tc>
        <w:tc>
          <w:tcPr>
            <w:tcW w:w="2768" w:type="dxa"/>
            <w:vAlign w:val="center"/>
          </w:tcPr>
          <w:p w14:paraId="226BAED5"/>
        </w:tc>
        <w:tc>
          <w:tcPr>
            <w:tcW w:w="2768" w:type="dxa"/>
            <w:vAlign w:val="center"/>
          </w:tcPr>
          <w:p w14:paraId="48FAF0CE">
            <w:pPr>
              <w:jc w:val="right"/>
            </w:pPr>
            <w:r>
              <w:rPr>
                <w:rFonts w:hint="eastAsia"/>
              </w:rPr>
              <w:t>1,781,439.08</w:t>
            </w:r>
          </w:p>
        </w:tc>
      </w:tr>
      <w:tr w14:paraId="4779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227C0A">
            <w:r>
              <w:rPr>
                <w:rFonts w:hint="eastAsia"/>
              </w:rPr>
              <w:t>其中：存款利息收入</w:t>
            </w:r>
          </w:p>
        </w:tc>
        <w:tc>
          <w:tcPr>
            <w:tcW w:w="2768" w:type="dxa"/>
            <w:vAlign w:val="center"/>
          </w:tcPr>
          <w:p w14:paraId="45268CDC">
            <w:r>
              <w:rPr>
                <w:rFonts w:hint="eastAsia"/>
              </w:rPr>
              <w:t>7.4.7.9</w:t>
            </w:r>
          </w:p>
        </w:tc>
        <w:tc>
          <w:tcPr>
            <w:tcW w:w="2768" w:type="dxa"/>
            <w:vAlign w:val="center"/>
          </w:tcPr>
          <w:p w14:paraId="10075342">
            <w:pPr>
              <w:jc w:val="right"/>
            </w:pPr>
            <w:r>
              <w:rPr>
                <w:rFonts w:hint="eastAsia"/>
              </w:rPr>
              <w:t>58,233.03</w:t>
            </w:r>
          </w:p>
        </w:tc>
      </w:tr>
      <w:tr w14:paraId="01FD7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706074">
            <w:r>
              <w:rPr>
                <w:rFonts w:hint="eastAsia"/>
              </w:rPr>
              <w:t xml:space="preserve">      债券利息收入</w:t>
            </w:r>
          </w:p>
        </w:tc>
        <w:tc>
          <w:tcPr>
            <w:tcW w:w="2768" w:type="dxa"/>
            <w:vAlign w:val="center"/>
          </w:tcPr>
          <w:p w14:paraId="2267DA41"/>
        </w:tc>
        <w:tc>
          <w:tcPr>
            <w:tcW w:w="2768" w:type="dxa"/>
            <w:vAlign w:val="center"/>
          </w:tcPr>
          <w:p w14:paraId="664B9A54">
            <w:pPr>
              <w:jc w:val="right"/>
            </w:pPr>
            <w:r>
              <w:rPr>
                <w:rFonts w:hint="eastAsia"/>
              </w:rPr>
              <w:t>-</w:t>
            </w:r>
          </w:p>
        </w:tc>
      </w:tr>
      <w:tr w14:paraId="6BD64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AF293F">
            <w:r>
              <w:rPr>
                <w:rFonts w:hint="eastAsia"/>
              </w:rPr>
              <w:t xml:space="preserve">      资产支持证券利息收入</w:t>
            </w:r>
          </w:p>
        </w:tc>
        <w:tc>
          <w:tcPr>
            <w:tcW w:w="2768" w:type="dxa"/>
            <w:vAlign w:val="center"/>
          </w:tcPr>
          <w:p w14:paraId="2EFE331B"/>
        </w:tc>
        <w:tc>
          <w:tcPr>
            <w:tcW w:w="2768" w:type="dxa"/>
            <w:vAlign w:val="center"/>
          </w:tcPr>
          <w:p w14:paraId="3667980B">
            <w:pPr>
              <w:jc w:val="right"/>
            </w:pPr>
            <w:r>
              <w:rPr>
                <w:rFonts w:hint="eastAsia"/>
              </w:rPr>
              <w:t>-</w:t>
            </w:r>
          </w:p>
        </w:tc>
      </w:tr>
      <w:tr w14:paraId="288C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79DAF9">
            <w:r>
              <w:rPr>
                <w:rFonts w:hint="eastAsia"/>
              </w:rPr>
              <w:t xml:space="preserve">      买入返售金融资产收入</w:t>
            </w:r>
          </w:p>
        </w:tc>
        <w:tc>
          <w:tcPr>
            <w:tcW w:w="2768" w:type="dxa"/>
            <w:vAlign w:val="center"/>
          </w:tcPr>
          <w:p w14:paraId="57C4180A"/>
        </w:tc>
        <w:tc>
          <w:tcPr>
            <w:tcW w:w="2768" w:type="dxa"/>
            <w:vAlign w:val="center"/>
          </w:tcPr>
          <w:p w14:paraId="45A3505A">
            <w:pPr>
              <w:jc w:val="right"/>
            </w:pPr>
            <w:r>
              <w:rPr>
                <w:rFonts w:hint="eastAsia"/>
              </w:rPr>
              <w:t>1,723,206.05</w:t>
            </w:r>
          </w:p>
        </w:tc>
      </w:tr>
      <w:tr w14:paraId="0293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A80336">
            <w:r>
              <w:rPr>
                <w:rFonts w:hint="eastAsia"/>
              </w:rPr>
              <w:t xml:space="preserve">      其他利息收入</w:t>
            </w:r>
          </w:p>
        </w:tc>
        <w:tc>
          <w:tcPr>
            <w:tcW w:w="2768" w:type="dxa"/>
            <w:vAlign w:val="center"/>
          </w:tcPr>
          <w:p w14:paraId="279A4603"/>
        </w:tc>
        <w:tc>
          <w:tcPr>
            <w:tcW w:w="2768" w:type="dxa"/>
            <w:vAlign w:val="center"/>
          </w:tcPr>
          <w:p w14:paraId="6F9E0860">
            <w:pPr>
              <w:jc w:val="right"/>
            </w:pPr>
            <w:r>
              <w:rPr>
                <w:rFonts w:hint="eastAsia"/>
              </w:rPr>
              <w:t>-</w:t>
            </w:r>
          </w:p>
        </w:tc>
      </w:tr>
      <w:tr w14:paraId="1E543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1EED8B">
            <w:r>
              <w:rPr>
                <w:rFonts w:hint="eastAsia"/>
              </w:rPr>
              <w:t>2.投资收益（损失以“-”填列）</w:t>
            </w:r>
          </w:p>
        </w:tc>
        <w:tc>
          <w:tcPr>
            <w:tcW w:w="2768" w:type="dxa"/>
            <w:vAlign w:val="center"/>
          </w:tcPr>
          <w:p w14:paraId="76714989"/>
        </w:tc>
        <w:tc>
          <w:tcPr>
            <w:tcW w:w="2768" w:type="dxa"/>
            <w:vAlign w:val="center"/>
          </w:tcPr>
          <w:p w14:paraId="73F728E1">
            <w:pPr>
              <w:jc w:val="right"/>
            </w:pPr>
            <w:r>
              <w:rPr>
                <w:rFonts w:hint="eastAsia"/>
              </w:rPr>
              <w:t>13,498,991.29</w:t>
            </w:r>
          </w:p>
        </w:tc>
      </w:tr>
      <w:tr w14:paraId="35F0C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DE9E68">
            <w:r>
              <w:rPr>
                <w:rFonts w:hint="eastAsia"/>
              </w:rPr>
              <w:t>其中：股票投资收益</w:t>
            </w:r>
          </w:p>
        </w:tc>
        <w:tc>
          <w:tcPr>
            <w:tcW w:w="2768" w:type="dxa"/>
            <w:vAlign w:val="center"/>
          </w:tcPr>
          <w:p w14:paraId="7F34952D">
            <w:r>
              <w:rPr>
                <w:rFonts w:hint="eastAsia"/>
              </w:rPr>
              <w:t>7.4.7.10</w:t>
            </w:r>
          </w:p>
        </w:tc>
        <w:tc>
          <w:tcPr>
            <w:tcW w:w="2768" w:type="dxa"/>
            <w:vAlign w:val="center"/>
          </w:tcPr>
          <w:p w14:paraId="5CCCC196">
            <w:pPr>
              <w:jc w:val="right"/>
            </w:pPr>
            <w:r>
              <w:rPr>
                <w:rFonts w:hint="eastAsia"/>
              </w:rPr>
              <w:t>-</w:t>
            </w:r>
          </w:p>
        </w:tc>
      </w:tr>
      <w:tr w14:paraId="0EED2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53564C">
            <w:r>
              <w:rPr>
                <w:rFonts w:hint="eastAsia"/>
              </w:rPr>
              <w:t xml:space="preserve">      基金投资收益</w:t>
            </w:r>
          </w:p>
        </w:tc>
        <w:tc>
          <w:tcPr>
            <w:tcW w:w="2768" w:type="dxa"/>
            <w:vAlign w:val="center"/>
          </w:tcPr>
          <w:p w14:paraId="0683774D">
            <w:r>
              <w:rPr>
                <w:rFonts w:hint="eastAsia"/>
              </w:rPr>
              <w:t>7.4.7.11</w:t>
            </w:r>
          </w:p>
        </w:tc>
        <w:tc>
          <w:tcPr>
            <w:tcW w:w="2768" w:type="dxa"/>
            <w:vAlign w:val="center"/>
          </w:tcPr>
          <w:p w14:paraId="3E9EF70E">
            <w:pPr>
              <w:jc w:val="right"/>
            </w:pPr>
            <w:r>
              <w:rPr>
                <w:rFonts w:hint="eastAsia"/>
              </w:rPr>
              <w:t>-</w:t>
            </w:r>
          </w:p>
        </w:tc>
      </w:tr>
      <w:tr w14:paraId="17132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08051A">
            <w:r>
              <w:rPr>
                <w:rFonts w:hint="eastAsia"/>
              </w:rPr>
              <w:t xml:space="preserve">      债券投资收益</w:t>
            </w:r>
          </w:p>
        </w:tc>
        <w:tc>
          <w:tcPr>
            <w:tcW w:w="2768" w:type="dxa"/>
            <w:vAlign w:val="center"/>
          </w:tcPr>
          <w:p w14:paraId="385B268F">
            <w:r>
              <w:rPr>
                <w:rFonts w:hint="eastAsia"/>
              </w:rPr>
              <w:t>7.4.7.12</w:t>
            </w:r>
          </w:p>
        </w:tc>
        <w:tc>
          <w:tcPr>
            <w:tcW w:w="2768" w:type="dxa"/>
            <w:vAlign w:val="center"/>
          </w:tcPr>
          <w:p w14:paraId="48EFB092">
            <w:pPr>
              <w:jc w:val="right"/>
            </w:pPr>
            <w:r>
              <w:rPr>
                <w:rFonts w:hint="eastAsia"/>
              </w:rPr>
              <w:t>13,498,991.29</w:t>
            </w:r>
          </w:p>
        </w:tc>
      </w:tr>
      <w:tr w14:paraId="37B1B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EC8CC6">
            <w:r>
              <w:rPr>
                <w:rFonts w:hint="eastAsia"/>
              </w:rPr>
              <w:t xml:space="preserve">      资产支持证券投资收益</w:t>
            </w:r>
          </w:p>
        </w:tc>
        <w:tc>
          <w:tcPr>
            <w:tcW w:w="2768" w:type="dxa"/>
            <w:vAlign w:val="center"/>
          </w:tcPr>
          <w:p w14:paraId="74BFF394">
            <w:r>
              <w:rPr>
                <w:rFonts w:hint="eastAsia"/>
              </w:rPr>
              <w:t>7.4.7.13</w:t>
            </w:r>
          </w:p>
        </w:tc>
        <w:tc>
          <w:tcPr>
            <w:tcW w:w="2768" w:type="dxa"/>
            <w:vAlign w:val="center"/>
          </w:tcPr>
          <w:p w14:paraId="56691E0F">
            <w:pPr>
              <w:jc w:val="right"/>
            </w:pPr>
            <w:r>
              <w:rPr>
                <w:rFonts w:hint="eastAsia"/>
              </w:rPr>
              <w:t>-</w:t>
            </w:r>
          </w:p>
        </w:tc>
      </w:tr>
      <w:tr w14:paraId="3DA8C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555E0C">
            <w:r>
              <w:rPr>
                <w:rFonts w:hint="eastAsia"/>
              </w:rPr>
              <w:t xml:space="preserve">      贵金属投资收益</w:t>
            </w:r>
          </w:p>
        </w:tc>
        <w:tc>
          <w:tcPr>
            <w:tcW w:w="2768" w:type="dxa"/>
            <w:vAlign w:val="center"/>
          </w:tcPr>
          <w:p w14:paraId="2B48BBA8"/>
        </w:tc>
        <w:tc>
          <w:tcPr>
            <w:tcW w:w="2768" w:type="dxa"/>
            <w:vAlign w:val="center"/>
          </w:tcPr>
          <w:p w14:paraId="0E4B051A">
            <w:pPr>
              <w:jc w:val="right"/>
            </w:pPr>
            <w:r>
              <w:rPr>
                <w:rFonts w:hint="eastAsia"/>
              </w:rPr>
              <w:t>-</w:t>
            </w:r>
          </w:p>
        </w:tc>
      </w:tr>
      <w:tr w14:paraId="7CF56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28251D">
            <w:r>
              <w:rPr>
                <w:rFonts w:hint="eastAsia"/>
              </w:rPr>
              <w:t xml:space="preserve">      衍生工具收益</w:t>
            </w:r>
          </w:p>
        </w:tc>
        <w:tc>
          <w:tcPr>
            <w:tcW w:w="2768" w:type="dxa"/>
            <w:vAlign w:val="center"/>
          </w:tcPr>
          <w:p w14:paraId="270B399B">
            <w:r>
              <w:rPr>
                <w:rFonts w:hint="eastAsia"/>
              </w:rPr>
              <w:t>7.4.7.14</w:t>
            </w:r>
          </w:p>
        </w:tc>
        <w:tc>
          <w:tcPr>
            <w:tcW w:w="2768" w:type="dxa"/>
            <w:vAlign w:val="center"/>
          </w:tcPr>
          <w:p w14:paraId="3E13F7FE">
            <w:pPr>
              <w:jc w:val="right"/>
            </w:pPr>
            <w:r>
              <w:rPr>
                <w:rFonts w:hint="eastAsia"/>
              </w:rPr>
              <w:t>-</w:t>
            </w:r>
          </w:p>
        </w:tc>
      </w:tr>
      <w:tr w14:paraId="28D6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9B84A7">
            <w:r>
              <w:rPr>
                <w:rFonts w:hint="eastAsia"/>
              </w:rPr>
              <w:t xml:space="preserve">      股利收益</w:t>
            </w:r>
          </w:p>
        </w:tc>
        <w:tc>
          <w:tcPr>
            <w:tcW w:w="2768" w:type="dxa"/>
            <w:vAlign w:val="center"/>
          </w:tcPr>
          <w:p w14:paraId="46152C6C">
            <w:r>
              <w:rPr>
                <w:rFonts w:hint="eastAsia"/>
              </w:rPr>
              <w:t>7.4.7.15</w:t>
            </w:r>
          </w:p>
        </w:tc>
        <w:tc>
          <w:tcPr>
            <w:tcW w:w="2768" w:type="dxa"/>
            <w:vAlign w:val="center"/>
          </w:tcPr>
          <w:p w14:paraId="302785D6">
            <w:pPr>
              <w:jc w:val="right"/>
            </w:pPr>
            <w:r>
              <w:rPr>
                <w:rFonts w:hint="eastAsia"/>
              </w:rPr>
              <w:t>-</w:t>
            </w:r>
          </w:p>
        </w:tc>
      </w:tr>
      <w:tr w14:paraId="1F9EB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EC9462">
            <w:r>
              <w:rPr>
                <w:rFonts w:hint="eastAsia"/>
              </w:rPr>
              <w:t xml:space="preserve">      以摊余成本计量的金融资产终止确认产生的收益</w:t>
            </w:r>
          </w:p>
        </w:tc>
        <w:tc>
          <w:tcPr>
            <w:tcW w:w="2768" w:type="dxa"/>
            <w:vAlign w:val="center"/>
          </w:tcPr>
          <w:p w14:paraId="368CD187"/>
        </w:tc>
        <w:tc>
          <w:tcPr>
            <w:tcW w:w="2768" w:type="dxa"/>
            <w:vAlign w:val="center"/>
          </w:tcPr>
          <w:p w14:paraId="2B403091">
            <w:pPr>
              <w:jc w:val="right"/>
            </w:pPr>
            <w:r>
              <w:rPr>
                <w:rFonts w:hint="eastAsia"/>
              </w:rPr>
              <w:t>-</w:t>
            </w:r>
          </w:p>
        </w:tc>
      </w:tr>
      <w:tr w14:paraId="24EC0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D8C55B">
            <w:r>
              <w:rPr>
                <w:rFonts w:hint="eastAsia"/>
              </w:rPr>
              <w:t xml:space="preserve">      其他投资收益</w:t>
            </w:r>
          </w:p>
        </w:tc>
        <w:tc>
          <w:tcPr>
            <w:tcW w:w="2768" w:type="dxa"/>
            <w:vAlign w:val="center"/>
          </w:tcPr>
          <w:p w14:paraId="0AA7875B"/>
        </w:tc>
        <w:tc>
          <w:tcPr>
            <w:tcW w:w="2768" w:type="dxa"/>
            <w:vAlign w:val="center"/>
          </w:tcPr>
          <w:p w14:paraId="3DEDBDB0">
            <w:pPr>
              <w:jc w:val="right"/>
            </w:pPr>
            <w:r>
              <w:rPr>
                <w:rFonts w:hint="eastAsia"/>
              </w:rPr>
              <w:t>-</w:t>
            </w:r>
          </w:p>
        </w:tc>
      </w:tr>
      <w:tr w14:paraId="6C26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AF6D7A">
            <w:r>
              <w:rPr>
                <w:rFonts w:hint="eastAsia"/>
              </w:rPr>
              <w:t>3.公允价值变动收益（损失以“-”号填列）</w:t>
            </w:r>
          </w:p>
        </w:tc>
        <w:tc>
          <w:tcPr>
            <w:tcW w:w="2768" w:type="dxa"/>
            <w:vAlign w:val="center"/>
          </w:tcPr>
          <w:p w14:paraId="1873E866">
            <w:r>
              <w:rPr>
                <w:rFonts w:hint="eastAsia"/>
              </w:rPr>
              <w:t>7.4.7.16</w:t>
            </w:r>
          </w:p>
        </w:tc>
        <w:tc>
          <w:tcPr>
            <w:tcW w:w="2768" w:type="dxa"/>
            <w:vAlign w:val="center"/>
          </w:tcPr>
          <w:p w14:paraId="516F9D75">
            <w:pPr>
              <w:jc w:val="right"/>
            </w:pPr>
            <w:r>
              <w:rPr>
                <w:rFonts w:hint="eastAsia"/>
              </w:rPr>
              <w:t>-7,430,881.31</w:t>
            </w:r>
          </w:p>
        </w:tc>
      </w:tr>
      <w:tr w14:paraId="3AD29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AD868E">
            <w:r>
              <w:rPr>
                <w:rFonts w:hint="eastAsia"/>
              </w:rPr>
              <w:t>4.汇兑收益（损失以“－”号填列）</w:t>
            </w:r>
          </w:p>
        </w:tc>
        <w:tc>
          <w:tcPr>
            <w:tcW w:w="2768" w:type="dxa"/>
            <w:vAlign w:val="center"/>
          </w:tcPr>
          <w:p w14:paraId="67DE70F1"/>
        </w:tc>
        <w:tc>
          <w:tcPr>
            <w:tcW w:w="2768" w:type="dxa"/>
            <w:vAlign w:val="center"/>
          </w:tcPr>
          <w:p w14:paraId="5082B9BA">
            <w:pPr>
              <w:jc w:val="right"/>
            </w:pPr>
            <w:r>
              <w:rPr>
                <w:rFonts w:hint="eastAsia"/>
              </w:rPr>
              <w:t>-</w:t>
            </w:r>
          </w:p>
        </w:tc>
      </w:tr>
      <w:tr w14:paraId="15A0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7227D9">
            <w:r>
              <w:rPr>
                <w:rFonts w:hint="eastAsia"/>
              </w:rPr>
              <w:t>5.其他收入（损失以“-”号填列）</w:t>
            </w:r>
          </w:p>
        </w:tc>
        <w:tc>
          <w:tcPr>
            <w:tcW w:w="2768" w:type="dxa"/>
            <w:vAlign w:val="center"/>
          </w:tcPr>
          <w:p w14:paraId="1B85AB22">
            <w:r>
              <w:rPr>
                <w:rFonts w:hint="eastAsia"/>
              </w:rPr>
              <w:t>7.4.7.17</w:t>
            </w:r>
          </w:p>
        </w:tc>
        <w:tc>
          <w:tcPr>
            <w:tcW w:w="2768" w:type="dxa"/>
            <w:vAlign w:val="center"/>
          </w:tcPr>
          <w:p w14:paraId="5CA9C445">
            <w:pPr>
              <w:jc w:val="right"/>
            </w:pPr>
            <w:r>
              <w:rPr>
                <w:rFonts w:hint="eastAsia"/>
              </w:rPr>
              <w:t>2,762.90</w:t>
            </w:r>
          </w:p>
        </w:tc>
      </w:tr>
      <w:tr w14:paraId="269A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502D3E">
            <w:r>
              <w:rPr>
                <w:rFonts w:hint="eastAsia"/>
              </w:rPr>
              <w:t>减：二、营业总支出</w:t>
            </w:r>
          </w:p>
        </w:tc>
        <w:tc>
          <w:tcPr>
            <w:tcW w:w="2768" w:type="dxa"/>
            <w:vAlign w:val="center"/>
          </w:tcPr>
          <w:p w14:paraId="5264F3D4"/>
        </w:tc>
        <w:tc>
          <w:tcPr>
            <w:tcW w:w="2768" w:type="dxa"/>
            <w:vAlign w:val="center"/>
          </w:tcPr>
          <w:p w14:paraId="4AA1A651">
            <w:pPr>
              <w:jc w:val="right"/>
            </w:pPr>
            <w:r>
              <w:rPr>
                <w:rFonts w:hint="eastAsia"/>
              </w:rPr>
              <w:t>3,076,084.30</w:t>
            </w:r>
          </w:p>
        </w:tc>
      </w:tr>
      <w:tr w14:paraId="5C60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B692B6">
            <w:r>
              <w:rPr>
                <w:rFonts w:hint="eastAsia"/>
              </w:rPr>
              <w:t>1.管理人报酬</w:t>
            </w:r>
          </w:p>
        </w:tc>
        <w:tc>
          <w:tcPr>
            <w:tcW w:w="2768" w:type="dxa"/>
            <w:vAlign w:val="center"/>
          </w:tcPr>
          <w:p w14:paraId="0E0736B1">
            <w:r>
              <w:rPr>
                <w:rFonts w:hint="eastAsia"/>
              </w:rPr>
              <w:t>7.4.10.2.1</w:t>
            </w:r>
          </w:p>
        </w:tc>
        <w:tc>
          <w:tcPr>
            <w:tcW w:w="2768" w:type="dxa"/>
            <w:vAlign w:val="center"/>
          </w:tcPr>
          <w:p w14:paraId="20F822A0">
            <w:pPr>
              <w:jc w:val="right"/>
            </w:pPr>
            <w:r>
              <w:rPr>
                <w:rFonts w:hint="eastAsia"/>
              </w:rPr>
              <w:t>1,195,434.83</w:t>
            </w:r>
          </w:p>
        </w:tc>
      </w:tr>
      <w:tr w14:paraId="73713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3F0830">
            <w:r>
              <w:rPr>
                <w:rFonts w:hint="eastAsia"/>
              </w:rPr>
              <w:t>其中：暂估管理人报酬</w:t>
            </w:r>
          </w:p>
        </w:tc>
        <w:tc>
          <w:tcPr>
            <w:tcW w:w="2768" w:type="dxa"/>
            <w:vAlign w:val="center"/>
          </w:tcPr>
          <w:p w14:paraId="7880B40A"/>
        </w:tc>
        <w:tc>
          <w:tcPr>
            <w:tcW w:w="2768" w:type="dxa"/>
            <w:vAlign w:val="center"/>
          </w:tcPr>
          <w:p w14:paraId="22E71537">
            <w:pPr>
              <w:jc w:val="right"/>
            </w:pPr>
            <w:r>
              <w:rPr>
                <w:rFonts w:hint="eastAsia"/>
              </w:rPr>
              <w:t>-</w:t>
            </w:r>
          </w:p>
        </w:tc>
      </w:tr>
      <w:tr w14:paraId="05F9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19925B">
            <w:r>
              <w:rPr>
                <w:rFonts w:hint="eastAsia"/>
              </w:rPr>
              <w:t>2.托管费</w:t>
            </w:r>
          </w:p>
        </w:tc>
        <w:tc>
          <w:tcPr>
            <w:tcW w:w="2768" w:type="dxa"/>
            <w:vAlign w:val="center"/>
          </w:tcPr>
          <w:p w14:paraId="7C8ADB3A">
            <w:r>
              <w:rPr>
                <w:rFonts w:hint="eastAsia"/>
              </w:rPr>
              <w:t>7.4.10.2.2</w:t>
            </w:r>
          </w:p>
        </w:tc>
        <w:tc>
          <w:tcPr>
            <w:tcW w:w="2768" w:type="dxa"/>
            <w:vAlign w:val="center"/>
          </w:tcPr>
          <w:p w14:paraId="65F84BE0">
            <w:pPr>
              <w:jc w:val="right"/>
            </w:pPr>
            <w:r>
              <w:rPr>
                <w:rFonts w:hint="eastAsia"/>
              </w:rPr>
              <w:t>298,858.70</w:t>
            </w:r>
          </w:p>
        </w:tc>
      </w:tr>
      <w:tr w14:paraId="6C4C2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6D9704">
            <w:r>
              <w:rPr>
                <w:rFonts w:hint="eastAsia"/>
              </w:rPr>
              <w:t>3.销售服务费</w:t>
            </w:r>
          </w:p>
        </w:tc>
        <w:tc>
          <w:tcPr>
            <w:tcW w:w="2768" w:type="dxa"/>
            <w:vAlign w:val="center"/>
          </w:tcPr>
          <w:p w14:paraId="3C82EF81">
            <w:r>
              <w:rPr>
                <w:rFonts w:hint="eastAsia"/>
              </w:rPr>
              <w:t>7.4.10.2.3</w:t>
            </w:r>
          </w:p>
        </w:tc>
        <w:tc>
          <w:tcPr>
            <w:tcW w:w="2768" w:type="dxa"/>
            <w:vAlign w:val="center"/>
          </w:tcPr>
          <w:p w14:paraId="0C94B98F">
            <w:pPr>
              <w:jc w:val="right"/>
            </w:pPr>
            <w:r>
              <w:rPr>
                <w:rFonts w:hint="eastAsia"/>
              </w:rPr>
              <w:t>238,819.14</w:t>
            </w:r>
          </w:p>
        </w:tc>
      </w:tr>
      <w:tr w14:paraId="50EC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59827F">
            <w:r>
              <w:rPr>
                <w:rFonts w:hint="eastAsia"/>
              </w:rPr>
              <w:t>4.投资顾问费</w:t>
            </w:r>
          </w:p>
        </w:tc>
        <w:tc>
          <w:tcPr>
            <w:tcW w:w="2768" w:type="dxa"/>
            <w:vAlign w:val="center"/>
          </w:tcPr>
          <w:p w14:paraId="505E9443"/>
        </w:tc>
        <w:tc>
          <w:tcPr>
            <w:tcW w:w="2768" w:type="dxa"/>
            <w:vAlign w:val="center"/>
          </w:tcPr>
          <w:p w14:paraId="7990A02B">
            <w:pPr>
              <w:jc w:val="right"/>
            </w:pPr>
            <w:r>
              <w:rPr>
                <w:rFonts w:hint="eastAsia"/>
              </w:rPr>
              <w:t>-</w:t>
            </w:r>
          </w:p>
        </w:tc>
      </w:tr>
      <w:tr w14:paraId="37E0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3972A7">
            <w:r>
              <w:rPr>
                <w:rFonts w:hint="eastAsia"/>
              </w:rPr>
              <w:t>5.利息支出</w:t>
            </w:r>
          </w:p>
        </w:tc>
        <w:tc>
          <w:tcPr>
            <w:tcW w:w="2768" w:type="dxa"/>
            <w:vAlign w:val="center"/>
          </w:tcPr>
          <w:p w14:paraId="6B14A4D7"/>
        </w:tc>
        <w:tc>
          <w:tcPr>
            <w:tcW w:w="2768" w:type="dxa"/>
            <w:vAlign w:val="center"/>
          </w:tcPr>
          <w:p w14:paraId="39171FDE">
            <w:pPr>
              <w:jc w:val="right"/>
            </w:pPr>
            <w:r>
              <w:rPr>
                <w:rFonts w:hint="eastAsia"/>
              </w:rPr>
              <w:t>1,260,903.49</w:t>
            </w:r>
          </w:p>
        </w:tc>
      </w:tr>
      <w:tr w14:paraId="75E7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AE5979">
            <w:r>
              <w:rPr>
                <w:rFonts w:hint="eastAsia"/>
              </w:rPr>
              <w:t>其中：卖出回购金融资产支出</w:t>
            </w:r>
          </w:p>
        </w:tc>
        <w:tc>
          <w:tcPr>
            <w:tcW w:w="2768" w:type="dxa"/>
            <w:vAlign w:val="center"/>
          </w:tcPr>
          <w:p w14:paraId="7C6E84E0"/>
        </w:tc>
        <w:tc>
          <w:tcPr>
            <w:tcW w:w="2768" w:type="dxa"/>
            <w:vAlign w:val="center"/>
          </w:tcPr>
          <w:p w14:paraId="68169957">
            <w:pPr>
              <w:jc w:val="right"/>
            </w:pPr>
            <w:r>
              <w:rPr>
                <w:rFonts w:hint="eastAsia"/>
              </w:rPr>
              <w:t>1,260,903.49</w:t>
            </w:r>
          </w:p>
        </w:tc>
      </w:tr>
      <w:tr w14:paraId="0A0A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2CAD5F">
            <w:r>
              <w:rPr>
                <w:rFonts w:hint="eastAsia"/>
              </w:rPr>
              <w:t>6.信用减值损失</w:t>
            </w:r>
          </w:p>
        </w:tc>
        <w:tc>
          <w:tcPr>
            <w:tcW w:w="2768" w:type="dxa"/>
            <w:vAlign w:val="center"/>
          </w:tcPr>
          <w:p w14:paraId="7E936ECB"/>
        </w:tc>
        <w:tc>
          <w:tcPr>
            <w:tcW w:w="2768" w:type="dxa"/>
            <w:vAlign w:val="center"/>
          </w:tcPr>
          <w:p w14:paraId="61631619">
            <w:pPr>
              <w:jc w:val="right"/>
            </w:pPr>
            <w:r>
              <w:rPr>
                <w:rFonts w:hint="eastAsia"/>
              </w:rPr>
              <w:t>-</w:t>
            </w:r>
          </w:p>
        </w:tc>
      </w:tr>
      <w:tr w14:paraId="325A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282CD9">
            <w:r>
              <w:rPr>
                <w:rFonts w:hint="eastAsia"/>
              </w:rPr>
              <w:t>7.税金及附加</w:t>
            </w:r>
          </w:p>
        </w:tc>
        <w:tc>
          <w:tcPr>
            <w:tcW w:w="2768" w:type="dxa"/>
            <w:vAlign w:val="center"/>
          </w:tcPr>
          <w:p w14:paraId="7EA0CEB1"/>
        </w:tc>
        <w:tc>
          <w:tcPr>
            <w:tcW w:w="2768" w:type="dxa"/>
            <w:vAlign w:val="center"/>
          </w:tcPr>
          <w:p w14:paraId="1F3DA970">
            <w:pPr>
              <w:jc w:val="right"/>
            </w:pPr>
            <w:r>
              <w:rPr>
                <w:rFonts w:hint="eastAsia"/>
              </w:rPr>
              <w:t>14,478.49</w:t>
            </w:r>
          </w:p>
        </w:tc>
      </w:tr>
      <w:tr w14:paraId="3365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BA3118">
            <w:r>
              <w:rPr>
                <w:rFonts w:hint="eastAsia"/>
              </w:rPr>
              <w:t>8.其他费用</w:t>
            </w:r>
          </w:p>
        </w:tc>
        <w:tc>
          <w:tcPr>
            <w:tcW w:w="2768" w:type="dxa"/>
            <w:vAlign w:val="center"/>
          </w:tcPr>
          <w:p w14:paraId="472633CF">
            <w:r>
              <w:rPr>
                <w:rFonts w:hint="eastAsia"/>
              </w:rPr>
              <w:t>7.4.7.18</w:t>
            </w:r>
          </w:p>
        </w:tc>
        <w:tc>
          <w:tcPr>
            <w:tcW w:w="2768" w:type="dxa"/>
            <w:vAlign w:val="center"/>
          </w:tcPr>
          <w:p w14:paraId="5557E2F6">
            <w:pPr>
              <w:jc w:val="right"/>
            </w:pPr>
            <w:r>
              <w:rPr>
                <w:rFonts w:hint="eastAsia"/>
              </w:rPr>
              <w:t>67,589.65</w:t>
            </w:r>
          </w:p>
        </w:tc>
      </w:tr>
      <w:tr w14:paraId="1A3EB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F5C2DB">
            <w:r>
              <w:rPr>
                <w:rFonts w:hint="eastAsia"/>
              </w:rPr>
              <w:t>三、利润总额（亏损总额以“-”号填列）</w:t>
            </w:r>
          </w:p>
        </w:tc>
        <w:tc>
          <w:tcPr>
            <w:tcW w:w="2768" w:type="dxa"/>
            <w:vAlign w:val="center"/>
          </w:tcPr>
          <w:p w14:paraId="75EB91EB"/>
        </w:tc>
        <w:tc>
          <w:tcPr>
            <w:tcW w:w="2768" w:type="dxa"/>
            <w:vAlign w:val="center"/>
          </w:tcPr>
          <w:p w14:paraId="5C8844C5">
            <w:pPr>
              <w:jc w:val="right"/>
            </w:pPr>
            <w:r>
              <w:rPr>
                <w:rFonts w:hint="eastAsia"/>
              </w:rPr>
              <w:t>4,776,227.66</w:t>
            </w:r>
          </w:p>
        </w:tc>
      </w:tr>
      <w:tr w14:paraId="605CA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366F86">
            <w:r>
              <w:rPr>
                <w:rFonts w:hint="eastAsia"/>
              </w:rPr>
              <w:t>减：所得税费用</w:t>
            </w:r>
          </w:p>
        </w:tc>
        <w:tc>
          <w:tcPr>
            <w:tcW w:w="2768" w:type="dxa"/>
            <w:vAlign w:val="center"/>
          </w:tcPr>
          <w:p w14:paraId="2287EA14"/>
        </w:tc>
        <w:tc>
          <w:tcPr>
            <w:tcW w:w="2768" w:type="dxa"/>
            <w:vAlign w:val="center"/>
          </w:tcPr>
          <w:p w14:paraId="26B76434">
            <w:pPr>
              <w:jc w:val="right"/>
            </w:pPr>
            <w:r>
              <w:rPr>
                <w:rFonts w:hint="eastAsia"/>
              </w:rPr>
              <w:t>-</w:t>
            </w:r>
          </w:p>
        </w:tc>
      </w:tr>
      <w:tr w14:paraId="4107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17BDBB">
            <w:r>
              <w:rPr>
                <w:rFonts w:hint="eastAsia"/>
              </w:rPr>
              <w:t>四、净利润（净亏损以“-”号填列）</w:t>
            </w:r>
          </w:p>
        </w:tc>
        <w:tc>
          <w:tcPr>
            <w:tcW w:w="2768" w:type="dxa"/>
            <w:vAlign w:val="center"/>
          </w:tcPr>
          <w:p w14:paraId="294554E1"/>
        </w:tc>
        <w:tc>
          <w:tcPr>
            <w:tcW w:w="2768" w:type="dxa"/>
            <w:vAlign w:val="center"/>
          </w:tcPr>
          <w:p w14:paraId="0FF99910">
            <w:pPr>
              <w:jc w:val="right"/>
            </w:pPr>
            <w:r>
              <w:rPr>
                <w:rFonts w:hint="eastAsia"/>
              </w:rPr>
              <w:t>4,776,227.66</w:t>
            </w:r>
          </w:p>
        </w:tc>
      </w:tr>
      <w:tr w14:paraId="02C92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EE5389">
            <w:r>
              <w:rPr>
                <w:rFonts w:hint="eastAsia"/>
              </w:rPr>
              <w:t>五、其他综合收益的税后净额</w:t>
            </w:r>
          </w:p>
        </w:tc>
        <w:tc>
          <w:tcPr>
            <w:tcW w:w="2768" w:type="dxa"/>
            <w:vAlign w:val="center"/>
          </w:tcPr>
          <w:p w14:paraId="553251B8"/>
        </w:tc>
        <w:tc>
          <w:tcPr>
            <w:tcW w:w="2768" w:type="dxa"/>
            <w:vAlign w:val="center"/>
          </w:tcPr>
          <w:p w14:paraId="1D2B6E58">
            <w:pPr>
              <w:jc w:val="right"/>
            </w:pPr>
            <w:r>
              <w:rPr>
                <w:rFonts w:hint="eastAsia"/>
              </w:rPr>
              <w:t>-</w:t>
            </w:r>
          </w:p>
        </w:tc>
      </w:tr>
      <w:tr w14:paraId="3AA2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B10940">
            <w:r>
              <w:rPr>
                <w:rFonts w:hint="eastAsia"/>
              </w:rPr>
              <w:t>六、综合收益总额</w:t>
            </w:r>
          </w:p>
        </w:tc>
        <w:tc>
          <w:tcPr>
            <w:tcW w:w="2768" w:type="dxa"/>
            <w:vAlign w:val="center"/>
          </w:tcPr>
          <w:p w14:paraId="34E8B34A"/>
        </w:tc>
        <w:tc>
          <w:tcPr>
            <w:tcW w:w="2768" w:type="dxa"/>
            <w:vAlign w:val="center"/>
          </w:tcPr>
          <w:p w14:paraId="21F57FF3">
            <w:pPr>
              <w:jc w:val="right"/>
            </w:pPr>
            <w:r>
              <w:rPr>
                <w:rFonts w:hint="eastAsia"/>
              </w:rPr>
              <w:t>4,776,227.66</w:t>
            </w:r>
          </w:p>
        </w:tc>
      </w:tr>
    </w:tbl>
    <w:p w14:paraId="70ECBC7F">
      <w:pPr>
        <w:pStyle w:val="23"/>
      </w:pPr>
      <w:bookmarkStart w:id="47" w:name="_Toc20128"/>
      <w:r>
        <w:t>净资产变动表</w:t>
      </w:r>
      <w:bookmarkEnd w:id="47"/>
    </w:p>
    <w:p w14:paraId="54BB6B3A">
      <w:pPr>
        <w:pStyle w:val="18"/>
        <w:rPr>
          <w:rFonts w:hint="eastAsia"/>
        </w:rPr>
      </w:pPr>
      <w:r>
        <w:rPr>
          <w:rFonts w:hint="eastAsia"/>
        </w:rPr>
        <w:t>会计主体：南方稳航120天滚动持有债券型证券投资基金</w:t>
      </w:r>
    </w:p>
    <w:p w14:paraId="04971C82">
      <w:pPr>
        <w:pStyle w:val="18"/>
        <w:rPr>
          <w:rFonts w:hint="eastAsia"/>
        </w:rPr>
      </w:pPr>
      <w:r>
        <w:rPr>
          <w:rFonts w:hint="eastAsia"/>
        </w:rPr>
        <w:t>本报告期：2025年9月16日(基金合同生效日)至2025年12月31日</w:t>
      </w:r>
    </w:p>
    <w:p w14:paraId="14057A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7432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ECA8FEE">
            <w:pPr>
              <w:jc w:val="center"/>
            </w:pPr>
            <w:r>
              <w:rPr>
                <w:rFonts w:hint="eastAsia"/>
                <w:b/>
              </w:rPr>
              <w:t>项目</w:t>
            </w:r>
          </w:p>
        </w:tc>
        <w:tc>
          <w:tcPr>
            <w:tcW w:w="1661" w:type="dxa"/>
            <w:gridSpan w:val="4"/>
            <w:shd w:val="clear" w:color="auto" w:fill="BFBFBF"/>
            <w:vAlign w:val="center"/>
          </w:tcPr>
          <w:p w14:paraId="2E38F210">
            <w:pPr>
              <w:jc w:val="center"/>
            </w:pPr>
            <w:r>
              <w:rPr>
                <w:rFonts w:hint="eastAsia"/>
                <w:b/>
              </w:rPr>
              <w:t>本期2025年9月16日（基金合同生效日）至2025年12月31日</w:t>
            </w:r>
          </w:p>
        </w:tc>
      </w:tr>
      <w:tr w14:paraId="135F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A3A25C"/>
        </w:tc>
        <w:tc>
          <w:tcPr>
            <w:tcW w:w="1661" w:type="dxa"/>
            <w:shd w:val="clear" w:color="auto" w:fill="BFBFBF"/>
            <w:vAlign w:val="center"/>
          </w:tcPr>
          <w:p w14:paraId="28DAB2C9">
            <w:pPr>
              <w:jc w:val="center"/>
            </w:pPr>
            <w:r>
              <w:rPr>
                <w:rFonts w:hint="eastAsia"/>
                <w:b/>
              </w:rPr>
              <w:t>实收基金</w:t>
            </w:r>
          </w:p>
        </w:tc>
        <w:tc>
          <w:tcPr>
            <w:tcW w:w="1661" w:type="dxa"/>
            <w:shd w:val="clear" w:color="auto" w:fill="BFBFBF"/>
            <w:vAlign w:val="center"/>
          </w:tcPr>
          <w:p w14:paraId="1AF1DB58">
            <w:pPr>
              <w:jc w:val="center"/>
            </w:pPr>
            <w:r>
              <w:rPr>
                <w:rFonts w:hint="eastAsia"/>
                <w:b/>
              </w:rPr>
              <w:t>其他综合收益</w:t>
            </w:r>
          </w:p>
        </w:tc>
        <w:tc>
          <w:tcPr>
            <w:tcW w:w="1661" w:type="dxa"/>
            <w:shd w:val="clear" w:color="auto" w:fill="BFBFBF"/>
            <w:vAlign w:val="center"/>
          </w:tcPr>
          <w:p w14:paraId="5FF2C8F8">
            <w:pPr>
              <w:jc w:val="center"/>
            </w:pPr>
            <w:r>
              <w:rPr>
                <w:rFonts w:hint="eastAsia"/>
                <w:b/>
              </w:rPr>
              <w:t>未分配利润</w:t>
            </w:r>
          </w:p>
        </w:tc>
        <w:tc>
          <w:tcPr>
            <w:tcW w:w="1661" w:type="dxa"/>
            <w:shd w:val="clear" w:color="auto" w:fill="BFBFBF"/>
            <w:vAlign w:val="center"/>
          </w:tcPr>
          <w:p w14:paraId="6D4615AD">
            <w:pPr>
              <w:jc w:val="center"/>
            </w:pPr>
            <w:r>
              <w:rPr>
                <w:rFonts w:hint="eastAsia"/>
                <w:b/>
              </w:rPr>
              <w:t>净资产合计</w:t>
            </w:r>
          </w:p>
        </w:tc>
      </w:tr>
      <w:tr w14:paraId="71443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5958C1">
            <w:r>
              <w:rPr>
                <w:rFonts w:hint="eastAsia"/>
              </w:rPr>
              <w:t>一、上期期末净资产</w:t>
            </w:r>
          </w:p>
        </w:tc>
        <w:tc>
          <w:tcPr>
            <w:tcW w:w="1661" w:type="dxa"/>
            <w:vAlign w:val="center"/>
          </w:tcPr>
          <w:p w14:paraId="43106B4A">
            <w:pPr>
              <w:jc w:val="right"/>
            </w:pPr>
            <w:r>
              <w:rPr>
                <w:rFonts w:hint="eastAsia"/>
              </w:rPr>
              <w:t>-</w:t>
            </w:r>
          </w:p>
        </w:tc>
        <w:tc>
          <w:tcPr>
            <w:tcW w:w="1661" w:type="dxa"/>
            <w:vAlign w:val="center"/>
          </w:tcPr>
          <w:p w14:paraId="23F79F87">
            <w:pPr>
              <w:jc w:val="right"/>
            </w:pPr>
            <w:r>
              <w:rPr>
                <w:rFonts w:hint="eastAsia"/>
              </w:rPr>
              <w:t>-</w:t>
            </w:r>
          </w:p>
        </w:tc>
        <w:tc>
          <w:tcPr>
            <w:tcW w:w="1661" w:type="dxa"/>
            <w:vAlign w:val="center"/>
          </w:tcPr>
          <w:p w14:paraId="4E88B0BD">
            <w:pPr>
              <w:jc w:val="right"/>
            </w:pPr>
            <w:r>
              <w:rPr>
                <w:rFonts w:hint="eastAsia"/>
              </w:rPr>
              <w:t>-</w:t>
            </w:r>
          </w:p>
        </w:tc>
        <w:tc>
          <w:tcPr>
            <w:tcW w:w="1661" w:type="dxa"/>
            <w:vAlign w:val="center"/>
          </w:tcPr>
          <w:p w14:paraId="273F821F">
            <w:pPr>
              <w:jc w:val="right"/>
            </w:pPr>
            <w:r>
              <w:rPr>
                <w:rFonts w:hint="eastAsia"/>
              </w:rPr>
              <w:t>-</w:t>
            </w:r>
          </w:p>
        </w:tc>
      </w:tr>
      <w:tr w14:paraId="0AC4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DEA1B4">
            <w:r>
              <w:rPr>
                <w:rFonts w:hint="eastAsia"/>
              </w:rPr>
              <w:t>加：会计政策变更</w:t>
            </w:r>
          </w:p>
        </w:tc>
        <w:tc>
          <w:tcPr>
            <w:tcW w:w="1661" w:type="dxa"/>
            <w:vAlign w:val="center"/>
          </w:tcPr>
          <w:p w14:paraId="3AFC032B">
            <w:pPr>
              <w:jc w:val="right"/>
            </w:pPr>
            <w:r>
              <w:rPr>
                <w:rFonts w:hint="eastAsia"/>
              </w:rPr>
              <w:t>-</w:t>
            </w:r>
          </w:p>
        </w:tc>
        <w:tc>
          <w:tcPr>
            <w:tcW w:w="1661" w:type="dxa"/>
            <w:vAlign w:val="center"/>
          </w:tcPr>
          <w:p w14:paraId="660C3CE2">
            <w:pPr>
              <w:jc w:val="right"/>
            </w:pPr>
            <w:r>
              <w:rPr>
                <w:rFonts w:hint="eastAsia"/>
              </w:rPr>
              <w:t>-</w:t>
            </w:r>
          </w:p>
        </w:tc>
        <w:tc>
          <w:tcPr>
            <w:tcW w:w="1661" w:type="dxa"/>
            <w:vAlign w:val="center"/>
          </w:tcPr>
          <w:p w14:paraId="773BBCD6">
            <w:pPr>
              <w:jc w:val="right"/>
            </w:pPr>
            <w:r>
              <w:rPr>
                <w:rFonts w:hint="eastAsia"/>
              </w:rPr>
              <w:t>-</w:t>
            </w:r>
          </w:p>
        </w:tc>
        <w:tc>
          <w:tcPr>
            <w:tcW w:w="1661" w:type="dxa"/>
            <w:vAlign w:val="center"/>
          </w:tcPr>
          <w:p w14:paraId="105C5125">
            <w:pPr>
              <w:jc w:val="right"/>
            </w:pPr>
            <w:r>
              <w:rPr>
                <w:rFonts w:hint="eastAsia"/>
              </w:rPr>
              <w:t>-</w:t>
            </w:r>
          </w:p>
        </w:tc>
      </w:tr>
      <w:tr w14:paraId="2217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96223C">
            <w:r>
              <w:rPr>
                <w:rFonts w:hint="eastAsia"/>
              </w:rPr>
              <w:t xml:space="preserve">    前期差错更正</w:t>
            </w:r>
          </w:p>
        </w:tc>
        <w:tc>
          <w:tcPr>
            <w:tcW w:w="1661" w:type="dxa"/>
            <w:vAlign w:val="center"/>
          </w:tcPr>
          <w:p w14:paraId="2CEB80DE">
            <w:pPr>
              <w:jc w:val="right"/>
            </w:pPr>
            <w:r>
              <w:rPr>
                <w:rFonts w:hint="eastAsia"/>
              </w:rPr>
              <w:t>-</w:t>
            </w:r>
          </w:p>
        </w:tc>
        <w:tc>
          <w:tcPr>
            <w:tcW w:w="1661" w:type="dxa"/>
            <w:vAlign w:val="center"/>
          </w:tcPr>
          <w:p w14:paraId="529140A5">
            <w:pPr>
              <w:jc w:val="right"/>
            </w:pPr>
            <w:r>
              <w:rPr>
                <w:rFonts w:hint="eastAsia"/>
              </w:rPr>
              <w:t>-</w:t>
            </w:r>
          </w:p>
        </w:tc>
        <w:tc>
          <w:tcPr>
            <w:tcW w:w="1661" w:type="dxa"/>
            <w:vAlign w:val="center"/>
          </w:tcPr>
          <w:p w14:paraId="7DD2FEF6">
            <w:pPr>
              <w:jc w:val="right"/>
            </w:pPr>
            <w:r>
              <w:rPr>
                <w:rFonts w:hint="eastAsia"/>
              </w:rPr>
              <w:t>-</w:t>
            </w:r>
          </w:p>
        </w:tc>
        <w:tc>
          <w:tcPr>
            <w:tcW w:w="1661" w:type="dxa"/>
            <w:vAlign w:val="center"/>
          </w:tcPr>
          <w:p w14:paraId="47761F51">
            <w:pPr>
              <w:jc w:val="right"/>
            </w:pPr>
            <w:r>
              <w:rPr>
                <w:rFonts w:hint="eastAsia"/>
              </w:rPr>
              <w:t>-</w:t>
            </w:r>
          </w:p>
        </w:tc>
      </w:tr>
      <w:tr w14:paraId="17F7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C71A20">
            <w:r>
              <w:rPr>
                <w:rFonts w:hint="eastAsia"/>
              </w:rPr>
              <w:t xml:space="preserve">    其他</w:t>
            </w:r>
          </w:p>
        </w:tc>
        <w:tc>
          <w:tcPr>
            <w:tcW w:w="1661" w:type="dxa"/>
            <w:vAlign w:val="center"/>
          </w:tcPr>
          <w:p w14:paraId="2D5C5BCF">
            <w:pPr>
              <w:jc w:val="right"/>
            </w:pPr>
            <w:r>
              <w:rPr>
                <w:rFonts w:hint="eastAsia"/>
              </w:rPr>
              <w:t>-</w:t>
            </w:r>
          </w:p>
        </w:tc>
        <w:tc>
          <w:tcPr>
            <w:tcW w:w="1661" w:type="dxa"/>
            <w:vAlign w:val="center"/>
          </w:tcPr>
          <w:p w14:paraId="7D56B751">
            <w:pPr>
              <w:jc w:val="right"/>
            </w:pPr>
            <w:r>
              <w:rPr>
                <w:rFonts w:hint="eastAsia"/>
              </w:rPr>
              <w:t>-</w:t>
            </w:r>
          </w:p>
        </w:tc>
        <w:tc>
          <w:tcPr>
            <w:tcW w:w="1661" w:type="dxa"/>
            <w:vAlign w:val="center"/>
          </w:tcPr>
          <w:p w14:paraId="2A415F88">
            <w:pPr>
              <w:jc w:val="right"/>
            </w:pPr>
            <w:r>
              <w:rPr>
                <w:rFonts w:hint="eastAsia"/>
              </w:rPr>
              <w:t>-</w:t>
            </w:r>
          </w:p>
        </w:tc>
        <w:tc>
          <w:tcPr>
            <w:tcW w:w="1661" w:type="dxa"/>
            <w:vAlign w:val="center"/>
          </w:tcPr>
          <w:p w14:paraId="4A231E08">
            <w:pPr>
              <w:jc w:val="right"/>
            </w:pPr>
            <w:r>
              <w:rPr>
                <w:rFonts w:hint="eastAsia"/>
              </w:rPr>
              <w:t>-</w:t>
            </w:r>
          </w:p>
        </w:tc>
      </w:tr>
      <w:tr w14:paraId="4964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C7E7B3">
            <w:r>
              <w:rPr>
                <w:rFonts w:hint="eastAsia"/>
              </w:rPr>
              <w:t>二、本期期初净资产</w:t>
            </w:r>
          </w:p>
        </w:tc>
        <w:tc>
          <w:tcPr>
            <w:tcW w:w="1661" w:type="dxa"/>
            <w:vAlign w:val="center"/>
          </w:tcPr>
          <w:p w14:paraId="5045C0D9">
            <w:pPr>
              <w:jc w:val="right"/>
            </w:pPr>
            <w:r>
              <w:rPr>
                <w:rFonts w:hint="eastAsia"/>
              </w:rPr>
              <w:t>2,055,520,849.67</w:t>
            </w:r>
          </w:p>
        </w:tc>
        <w:tc>
          <w:tcPr>
            <w:tcW w:w="1661" w:type="dxa"/>
            <w:vAlign w:val="center"/>
          </w:tcPr>
          <w:p w14:paraId="043CD84E">
            <w:pPr>
              <w:jc w:val="right"/>
            </w:pPr>
            <w:r>
              <w:rPr>
                <w:rFonts w:hint="eastAsia"/>
              </w:rPr>
              <w:t>-</w:t>
            </w:r>
          </w:p>
        </w:tc>
        <w:tc>
          <w:tcPr>
            <w:tcW w:w="1661" w:type="dxa"/>
            <w:vAlign w:val="center"/>
          </w:tcPr>
          <w:p w14:paraId="701C29C7">
            <w:pPr>
              <w:jc w:val="right"/>
            </w:pPr>
            <w:r>
              <w:rPr>
                <w:rFonts w:hint="eastAsia"/>
              </w:rPr>
              <w:t>-</w:t>
            </w:r>
          </w:p>
        </w:tc>
        <w:tc>
          <w:tcPr>
            <w:tcW w:w="1661" w:type="dxa"/>
            <w:vAlign w:val="center"/>
          </w:tcPr>
          <w:p w14:paraId="56A9FD42">
            <w:pPr>
              <w:jc w:val="right"/>
            </w:pPr>
            <w:r>
              <w:rPr>
                <w:rFonts w:hint="eastAsia"/>
              </w:rPr>
              <w:t>2,055,520,849.67</w:t>
            </w:r>
          </w:p>
        </w:tc>
      </w:tr>
      <w:tr w14:paraId="75A63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FBB152">
            <w:r>
              <w:rPr>
                <w:rFonts w:hint="eastAsia"/>
              </w:rPr>
              <w:t>三、本期增减变动额（减少以“-”号填列）</w:t>
            </w:r>
          </w:p>
        </w:tc>
        <w:tc>
          <w:tcPr>
            <w:tcW w:w="1661" w:type="dxa"/>
            <w:vAlign w:val="center"/>
          </w:tcPr>
          <w:p w14:paraId="72FA6B5B">
            <w:pPr>
              <w:jc w:val="right"/>
            </w:pPr>
            <w:r>
              <w:rPr>
                <w:rFonts w:hint="eastAsia"/>
              </w:rPr>
              <w:t>-</w:t>
            </w:r>
          </w:p>
        </w:tc>
        <w:tc>
          <w:tcPr>
            <w:tcW w:w="1661" w:type="dxa"/>
            <w:vAlign w:val="center"/>
          </w:tcPr>
          <w:p w14:paraId="67C001FE">
            <w:pPr>
              <w:jc w:val="right"/>
            </w:pPr>
            <w:r>
              <w:rPr>
                <w:rFonts w:hint="eastAsia"/>
              </w:rPr>
              <w:t>-</w:t>
            </w:r>
          </w:p>
        </w:tc>
        <w:tc>
          <w:tcPr>
            <w:tcW w:w="1661" w:type="dxa"/>
            <w:vAlign w:val="center"/>
          </w:tcPr>
          <w:p w14:paraId="2893621B">
            <w:pPr>
              <w:jc w:val="right"/>
            </w:pPr>
            <w:r>
              <w:rPr>
                <w:rFonts w:hint="eastAsia"/>
              </w:rPr>
              <w:t>4,776,227.66</w:t>
            </w:r>
          </w:p>
        </w:tc>
        <w:tc>
          <w:tcPr>
            <w:tcW w:w="1661" w:type="dxa"/>
            <w:vAlign w:val="center"/>
          </w:tcPr>
          <w:p w14:paraId="482F9EDB">
            <w:pPr>
              <w:jc w:val="right"/>
            </w:pPr>
            <w:r>
              <w:rPr>
                <w:rFonts w:hint="eastAsia"/>
              </w:rPr>
              <w:t>4,776,227.66</w:t>
            </w:r>
          </w:p>
        </w:tc>
      </w:tr>
      <w:tr w14:paraId="551F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81F24B">
            <w:r>
              <w:rPr>
                <w:rFonts w:hint="eastAsia"/>
              </w:rPr>
              <w:t>（一）、综合收益总额</w:t>
            </w:r>
          </w:p>
        </w:tc>
        <w:tc>
          <w:tcPr>
            <w:tcW w:w="1661" w:type="dxa"/>
            <w:vAlign w:val="center"/>
          </w:tcPr>
          <w:p w14:paraId="377AEF85">
            <w:pPr>
              <w:jc w:val="right"/>
            </w:pPr>
            <w:r>
              <w:rPr>
                <w:rFonts w:hint="eastAsia"/>
              </w:rPr>
              <w:t>-</w:t>
            </w:r>
          </w:p>
        </w:tc>
        <w:tc>
          <w:tcPr>
            <w:tcW w:w="1661" w:type="dxa"/>
            <w:vAlign w:val="center"/>
          </w:tcPr>
          <w:p w14:paraId="67A94A65">
            <w:pPr>
              <w:jc w:val="right"/>
            </w:pPr>
            <w:r>
              <w:rPr>
                <w:rFonts w:hint="eastAsia"/>
              </w:rPr>
              <w:t>-</w:t>
            </w:r>
          </w:p>
        </w:tc>
        <w:tc>
          <w:tcPr>
            <w:tcW w:w="1661" w:type="dxa"/>
            <w:vAlign w:val="center"/>
          </w:tcPr>
          <w:p w14:paraId="2BA7760D">
            <w:pPr>
              <w:jc w:val="right"/>
            </w:pPr>
            <w:r>
              <w:rPr>
                <w:rFonts w:hint="eastAsia"/>
              </w:rPr>
              <w:t>4,776,227.66</w:t>
            </w:r>
          </w:p>
        </w:tc>
        <w:tc>
          <w:tcPr>
            <w:tcW w:w="1661" w:type="dxa"/>
            <w:vAlign w:val="center"/>
          </w:tcPr>
          <w:p w14:paraId="4A1B0A21">
            <w:pPr>
              <w:jc w:val="right"/>
            </w:pPr>
            <w:r>
              <w:rPr>
                <w:rFonts w:hint="eastAsia"/>
              </w:rPr>
              <w:t>4,776,227.66</w:t>
            </w:r>
          </w:p>
        </w:tc>
      </w:tr>
      <w:tr w14:paraId="4A6B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168D27">
            <w:r>
              <w:rPr>
                <w:rFonts w:hint="eastAsia"/>
              </w:rPr>
              <w:t>（二）、本期基金份额交易产生的净资产变动数（净资产减少以“-”号填列）</w:t>
            </w:r>
          </w:p>
        </w:tc>
        <w:tc>
          <w:tcPr>
            <w:tcW w:w="1661" w:type="dxa"/>
            <w:vAlign w:val="center"/>
          </w:tcPr>
          <w:p w14:paraId="1477E20E">
            <w:pPr>
              <w:jc w:val="right"/>
            </w:pPr>
            <w:r>
              <w:rPr>
                <w:rFonts w:hint="eastAsia"/>
              </w:rPr>
              <w:t>-</w:t>
            </w:r>
          </w:p>
        </w:tc>
        <w:tc>
          <w:tcPr>
            <w:tcW w:w="1661" w:type="dxa"/>
            <w:vAlign w:val="center"/>
          </w:tcPr>
          <w:p w14:paraId="64A379A3">
            <w:pPr>
              <w:jc w:val="right"/>
            </w:pPr>
            <w:r>
              <w:rPr>
                <w:rFonts w:hint="eastAsia"/>
              </w:rPr>
              <w:t>-</w:t>
            </w:r>
          </w:p>
        </w:tc>
        <w:tc>
          <w:tcPr>
            <w:tcW w:w="1661" w:type="dxa"/>
            <w:vAlign w:val="center"/>
          </w:tcPr>
          <w:p w14:paraId="0859D01E">
            <w:pPr>
              <w:jc w:val="right"/>
            </w:pPr>
            <w:r>
              <w:rPr>
                <w:rFonts w:hint="eastAsia"/>
              </w:rPr>
              <w:t>-</w:t>
            </w:r>
          </w:p>
        </w:tc>
        <w:tc>
          <w:tcPr>
            <w:tcW w:w="1661" w:type="dxa"/>
            <w:vAlign w:val="center"/>
          </w:tcPr>
          <w:p w14:paraId="0074E947">
            <w:pPr>
              <w:jc w:val="right"/>
            </w:pPr>
            <w:r>
              <w:rPr>
                <w:rFonts w:hint="eastAsia"/>
              </w:rPr>
              <w:t>-</w:t>
            </w:r>
          </w:p>
        </w:tc>
      </w:tr>
      <w:tr w14:paraId="7031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385702">
            <w:r>
              <w:rPr>
                <w:rFonts w:hint="eastAsia"/>
              </w:rPr>
              <w:t>其中：1.基金申购款</w:t>
            </w:r>
          </w:p>
        </w:tc>
        <w:tc>
          <w:tcPr>
            <w:tcW w:w="1661" w:type="dxa"/>
            <w:vAlign w:val="center"/>
          </w:tcPr>
          <w:p w14:paraId="3D0DAA67">
            <w:pPr>
              <w:jc w:val="right"/>
            </w:pPr>
            <w:r>
              <w:rPr>
                <w:rFonts w:hint="eastAsia"/>
              </w:rPr>
              <w:t>-</w:t>
            </w:r>
          </w:p>
        </w:tc>
        <w:tc>
          <w:tcPr>
            <w:tcW w:w="1661" w:type="dxa"/>
            <w:vAlign w:val="center"/>
          </w:tcPr>
          <w:p w14:paraId="4433FB99">
            <w:pPr>
              <w:jc w:val="right"/>
            </w:pPr>
            <w:r>
              <w:rPr>
                <w:rFonts w:hint="eastAsia"/>
              </w:rPr>
              <w:t>-</w:t>
            </w:r>
          </w:p>
        </w:tc>
        <w:tc>
          <w:tcPr>
            <w:tcW w:w="1661" w:type="dxa"/>
            <w:vAlign w:val="center"/>
          </w:tcPr>
          <w:p w14:paraId="2EEC2F77">
            <w:pPr>
              <w:jc w:val="right"/>
            </w:pPr>
            <w:r>
              <w:rPr>
                <w:rFonts w:hint="eastAsia"/>
              </w:rPr>
              <w:t>-</w:t>
            </w:r>
          </w:p>
        </w:tc>
        <w:tc>
          <w:tcPr>
            <w:tcW w:w="1661" w:type="dxa"/>
            <w:vAlign w:val="center"/>
          </w:tcPr>
          <w:p w14:paraId="652776D6">
            <w:pPr>
              <w:jc w:val="right"/>
            </w:pPr>
            <w:r>
              <w:rPr>
                <w:rFonts w:hint="eastAsia"/>
              </w:rPr>
              <w:t>-</w:t>
            </w:r>
          </w:p>
        </w:tc>
      </w:tr>
      <w:tr w14:paraId="561B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ED907E">
            <w:r>
              <w:rPr>
                <w:rFonts w:hint="eastAsia"/>
              </w:rPr>
              <w:t xml:space="preserve">      2.基金赎回款</w:t>
            </w:r>
          </w:p>
        </w:tc>
        <w:tc>
          <w:tcPr>
            <w:tcW w:w="1661" w:type="dxa"/>
            <w:vAlign w:val="center"/>
          </w:tcPr>
          <w:p w14:paraId="08EE44FA">
            <w:pPr>
              <w:jc w:val="right"/>
            </w:pPr>
            <w:r>
              <w:rPr>
                <w:rFonts w:hint="eastAsia"/>
              </w:rPr>
              <w:t>-</w:t>
            </w:r>
          </w:p>
        </w:tc>
        <w:tc>
          <w:tcPr>
            <w:tcW w:w="1661" w:type="dxa"/>
            <w:vAlign w:val="center"/>
          </w:tcPr>
          <w:p w14:paraId="15682148">
            <w:pPr>
              <w:jc w:val="right"/>
            </w:pPr>
            <w:r>
              <w:rPr>
                <w:rFonts w:hint="eastAsia"/>
              </w:rPr>
              <w:t>-</w:t>
            </w:r>
          </w:p>
        </w:tc>
        <w:tc>
          <w:tcPr>
            <w:tcW w:w="1661" w:type="dxa"/>
            <w:vAlign w:val="center"/>
          </w:tcPr>
          <w:p w14:paraId="1B72DE36">
            <w:pPr>
              <w:jc w:val="right"/>
            </w:pPr>
            <w:r>
              <w:rPr>
                <w:rFonts w:hint="eastAsia"/>
              </w:rPr>
              <w:t>-</w:t>
            </w:r>
          </w:p>
        </w:tc>
        <w:tc>
          <w:tcPr>
            <w:tcW w:w="1661" w:type="dxa"/>
            <w:vAlign w:val="center"/>
          </w:tcPr>
          <w:p w14:paraId="2A9ED277">
            <w:pPr>
              <w:jc w:val="right"/>
            </w:pPr>
            <w:r>
              <w:rPr>
                <w:rFonts w:hint="eastAsia"/>
              </w:rPr>
              <w:t>-</w:t>
            </w:r>
          </w:p>
        </w:tc>
      </w:tr>
      <w:tr w14:paraId="2F03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9D040E">
            <w:r>
              <w:rPr>
                <w:rFonts w:hint="eastAsia"/>
              </w:rPr>
              <w:t>（三）、本期向基金份额持有人分配利润产生的净资产变动（净资产减少以“-”号填列）</w:t>
            </w:r>
          </w:p>
        </w:tc>
        <w:tc>
          <w:tcPr>
            <w:tcW w:w="1661" w:type="dxa"/>
            <w:vAlign w:val="center"/>
          </w:tcPr>
          <w:p w14:paraId="38E3A6FB">
            <w:pPr>
              <w:jc w:val="right"/>
            </w:pPr>
            <w:r>
              <w:rPr>
                <w:rFonts w:hint="eastAsia"/>
              </w:rPr>
              <w:t>-</w:t>
            </w:r>
          </w:p>
        </w:tc>
        <w:tc>
          <w:tcPr>
            <w:tcW w:w="1661" w:type="dxa"/>
            <w:vAlign w:val="center"/>
          </w:tcPr>
          <w:p w14:paraId="462377D2">
            <w:pPr>
              <w:jc w:val="right"/>
            </w:pPr>
            <w:r>
              <w:rPr>
                <w:rFonts w:hint="eastAsia"/>
              </w:rPr>
              <w:t>-</w:t>
            </w:r>
          </w:p>
        </w:tc>
        <w:tc>
          <w:tcPr>
            <w:tcW w:w="1661" w:type="dxa"/>
            <w:vAlign w:val="center"/>
          </w:tcPr>
          <w:p w14:paraId="492B6126">
            <w:pPr>
              <w:jc w:val="right"/>
            </w:pPr>
            <w:r>
              <w:rPr>
                <w:rFonts w:hint="eastAsia"/>
              </w:rPr>
              <w:t>-</w:t>
            </w:r>
          </w:p>
        </w:tc>
        <w:tc>
          <w:tcPr>
            <w:tcW w:w="1661" w:type="dxa"/>
            <w:vAlign w:val="center"/>
          </w:tcPr>
          <w:p w14:paraId="517BAB2A">
            <w:pPr>
              <w:jc w:val="right"/>
            </w:pPr>
            <w:r>
              <w:rPr>
                <w:rFonts w:hint="eastAsia"/>
              </w:rPr>
              <w:t>-</w:t>
            </w:r>
          </w:p>
        </w:tc>
      </w:tr>
      <w:tr w14:paraId="3BA4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0AE78A">
            <w:r>
              <w:rPr>
                <w:rFonts w:hint="eastAsia"/>
              </w:rPr>
              <w:t>（四）、其他综合收益结转留存收益</w:t>
            </w:r>
          </w:p>
        </w:tc>
        <w:tc>
          <w:tcPr>
            <w:tcW w:w="1661" w:type="dxa"/>
            <w:vAlign w:val="center"/>
          </w:tcPr>
          <w:p w14:paraId="1DA54493">
            <w:pPr>
              <w:jc w:val="right"/>
            </w:pPr>
            <w:r>
              <w:rPr>
                <w:rFonts w:hint="eastAsia"/>
              </w:rPr>
              <w:t>-</w:t>
            </w:r>
          </w:p>
        </w:tc>
        <w:tc>
          <w:tcPr>
            <w:tcW w:w="1661" w:type="dxa"/>
            <w:vAlign w:val="center"/>
          </w:tcPr>
          <w:p w14:paraId="05BFCA9E">
            <w:pPr>
              <w:jc w:val="right"/>
            </w:pPr>
            <w:r>
              <w:rPr>
                <w:rFonts w:hint="eastAsia"/>
              </w:rPr>
              <w:t>-</w:t>
            </w:r>
          </w:p>
        </w:tc>
        <w:tc>
          <w:tcPr>
            <w:tcW w:w="1661" w:type="dxa"/>
            <w:vAlign w:val="center"/>
          </w:tcPr>
          <w:p w14:paraId="2882054A">
            <w:pPr>
              <w:jc w:val="right"/>
            </w:pPr>
            <w:r>
              <w:rPr>
                <w:rFonts w:hint="eastAsia"/>
              </w:rPr>
              <w:t>-</w:t>
            </w:r>
          </w:p>
        </w:tc>
        <w:tc>
          <w:tcPr>
            <w:tcW w:w="1661" w:type="dxa"/>
            <w:vAlign w:val="center"/>
          </w:tcPr>
          <w:p w14:paraId="0C086A33">
            <w:pPr>
              <w:jc w:val="right"/>
            </w:pPr>
            <w:r>
              <w:rPr>
                <w:rFonts w:hint="eastAsia"/>
              </w:rPr>
              <w:t>-</w:t>
            </w:r>
          </w:p>
        </w:tc>
      </w:tr>
      <w:tr w14:paraId="294FF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6BF25F">
            <w:r>
              <w:rPr>
                <w:rFonts w:hint="eastAsia"/>
              </w:rPr>
              <w:t>四、本期期末净资产</w:t>
            </w:r>
          </w:p>
        </w:tc>
        <w:tc>
          <w:tcPr>
            <w:tcW w:w="1661" w:type="dxa"/>
            <w:vAlign w:val="center"/>
          </w:tcPr>
          <w:p w14:paraId="44136DE7">
            <w:pPr>
              <w:jc w:val="right"/>
            </w:pPr>
            <w:r>
              <w:rPr>
                <w:rFonts w:hint="eastAsia"/>
              </w:rPr>
              <w:t>2,055,520,849.67</w:t>
            </w:r>
          </w:p>
        </w:tc>
        <w:tc>
          <w:tcPr>
            <w:tcW w:w="1661" w:type="dxa"/>
            <w:vAlign w:val="center"/>
          </w:tcPr>
          <w:p w14:paraId="77E01079">
            <w:pPr>
              <w:jc w:val="right"/>
            </w:pPr>
            <w:r>
              <w:rPr>
                <w:rFonts w:hint="eastAsia"/>
              </w:rPr>
              <w:t>-</w:t>
            </w:r>
          </w:p>
        </w:tc>
        <w:tc>
          <w:tcPr>
            <w:tcW w:w="1661" w:type="dxa"/>
            <w:vAlign w:val="center"/>
          </w:tcPr>
          <w:p w14:paraId="4E7881FC">
            <w:pPr>
              <w:jc w:val="right"/>
            </w:pPr>
            <w:r>
              <w:rPr>
                <w:rFonts w:hint="eastAsia"/>
              </w:rPr>
              <w:t>4,776,227.66</w:t>
            </w:r>
          </w:p>
        </w:tc>
        <w:tc>
          <w:tcPr>
            <w:tcW w:w="1661" w:type="dxa"/>
            <w:vAlign w:val="center"/>
          </w:tcPr>
          <w:p w14:paraId="1DBFDD73">
            <w:pPr>
              <w:jc w:val="right"/>
            </w:pPr>
            <w:r>
              <w:rPr>
                <w:rFonts w:hint="eastAsia"/>
              </w:rPr>
              <w:t>2,060,297,077.33</w:t>
            </w:r>
          </w:p>
        </w:tc>
      </w:tr>
    </w:tbl>
    <w:p w14:paraId="587A215C">
      <w:pPr>
        <w:pStyle w:val="18"/>
        <w:rPr>
          <w:rFonts w:hint="eastAsia"/>
        </w:rPr>
      </w:pPr>
      <w:r>
        <w:rPr>
          <w:rFonts w:hint="eastAsia"/>
        </w:rPr>
        <w:t>报表附注为财务报表的组成部分。</w:t>
      </w:r>
    </w:p>
    <w:p w14:paraId="0402BE50">
      <w:pPr>
        <w:pStyle w:val="18"/>
        <w:rPr>
          <w:rFonts w:hint="eastAsia"/>
        </w:rPr>
      </w:pPr>
      <w:r>
        <w:rPr>
          <w:rFonts w:hint="eastAsia"/>
        </w:rPr>
        <w:t>本报告 7.1 至 7.4 财务报表由下列负责人签署：</w:t>
      </w:r>
    </w:p>
    <w:p w14:paraId="61D67E18">
      <w:pPr>
        <w:pStyle w:val="18"/>
        <w:rPr>
          <w:rFonts w:hint="eastAsia"/>
        </w:rPr>
      </w:pPr>
      <w:r>
        <w:rPr>
          <w:rFonts w:hint="eastAsia"/>
        </w:rPr>
        <w:t>____杨小松___           ____蔡忠评______          ____徐超____</w:t>
      </w:r>
    </w:p>
    <w:p w14:paraId="58E624A3">
      <w:pPr>
        <w:pStyle w:val="18"/>
        <w:rPr>
          <w:rFonts w:hint="eastAsia"/>
        </w:rPr>
      </w:pPr>
      <w:r>
        <w:rPr>
          <w:rFonts w:hint="eastAsia"/>
        </w:rPr>
        <w:t>基金管理人负责人     主管会计工作负责人         会计机构负责人</w:t>
      </w:r>
    </w:p>
    <w:p w14:paraId="06D8D39B">
      <w:pPr>
        <w:pStyle w:val="23"/>
      </w:pPr>
      <w:bookmarkStart w:id="48" w:name="_Toc7488"/>
      <w:r>
        <w:t>报表附注</w:t>
      </w:r>
      <w:bookmarkEnd w:id="48"/>
      <w:r>
        <w:t xml:space="preserve"> </w:t>
      </w:r>
    </w:p>
    <w:p w14:paraId="002DE339">
      <w:pPr>
        <w:pStyle w:val="28"/>
      </w:pPr>
      <w:bookmarkStart w:id="49" w:name="_Toc49"/>
      <w:r>
        <w:t>基金基本情况</w:t>
      </w:r>
      <w:bookmarkEnd w:id="49"/>
    </w:p>
    <w:p w14:paraId="6FAD7DFD">
      <w:pPr>
        <w:pStyle w:val="18"/>
        <w:rPr>
          <w:rFonts w:hint="eastAsia"/>
        </w:rPr>
      </w:pPr>
      <w:r>
        <w:rPr>
          <w:rFonts w:hint="eastAsia"/>
        </w:rPr>
        <w:t>南方稳航120天滚动持有债券型证券投资基金(以下简称“本基金”)经中国证券监督管理委员会(以下简称“中国证监会”)证监许可[2025]959号《关于准予南方稳航120天滚动持有债券型证券投资基金注册的批复》注册，由南方基金管理股份有限公司依照《中华人民共和国证券投资基金法》和《南方稳航120天滚动持有债券型证券投资基金基金合同》负责公开募集。本基金为契约型开放式，存续期限不定，首次设立募集不包括认购资金利息共募集人民币2,055,029,610.55元，业经容诚会计师事务所(特殊普通合伙)容诚验字[2025]200Z0146号验资报告予以验证。经向中国证监会备案，《南方稳航120天滚动持有债券型证券投资基金基金合同》于2025年9月16日正式生效，基金合同生效日的基金份额总额为2,055,520,849.67份，其中认购资金利息折合491,239.12份基金份额。本基金的基金管理人为南方基金管理股份有限公司，基金托管人为中国农业银行股份有限公司。</w:t>
      </w:r>
    </w:p>
    <w:p w14:paraId="1EA2F001">
      <w:pPr>
        <w:pStyle w:val="18"/>
        <w:rPr>
          <w:rFonts w:hint="eastAsia"/>
        </w:rPr>
      </w:pPr>
      <w:r>
        <w:rPr>
          <w:rFonts w:hint="eastAsia"/>
        </w:rPr>
        <w:t>本基金对于每份基金份额设定120天的滚动运作期，即基金合同生效日或基金份额申购申请日或基金份额转换转入申请日后的第120天。在每个运作期到期日前，基金份额持有人不能提出赎回申请。每个运作期到期日，基金份额持有人可提出赎回申请。</w:t>
      </w:r>
    </w:p>
    <w:p w14:paraId="03B4DC58">
      <w:pPr>
        <w:pStyle w:val="18"/>
        <w:rPr>
          <w:rFonts w:hint="eastAsia"/>
        </w:rPr>
      </w:pPr>
      <w:r>
        <w:rPr>
          <w:rFonts w:hint="eastAsia"/>
        </w:rPr>
        <w:t>本基金根据认购/申购费用和销售服务费收取方式、销售渠道的不同或其他条件，将基金份额分为不同的类别。在投资人认购/申购时收取前端认购/申购费用，且不从本类别基金资产净值中计提销售服务费的基金份额，称为A类基金份额；从本类别基金资产净值中计提销售服务费，且不收取认购/申购费用的基金份额，称为C类基金份额。本基金A类、C类基金份额分别设置代码。由于基金费用的不同，本基金各类基金份额将分别计算基金份额净值，计算公式为计算日各类别基金资产净值除以计算日发售在外的该类别基金份额总数。</w:t>
      </w:r>
    </w:p>
    <w:p w14:paraId="60ACB41F">
      <w:pPr>
        <w:pStyle w:val="18"/>
        <w:rPr>
          <w:rFonts w:hint="eastAsia"/>
        </w:rPr>
      </w:pPr>
      <w:r>
        <w:rPr>
          <w:rFonts w:hint="eastAsia"/>
        </w:rPr>
        <w:t>根据《中华人民共和国证券投资基金法》和《南方稳航120天滚动持有债券型证券投资基金基金合同》的有关规定，本基金的投资范围包括债券(包括国内依法发行和上市交易的国债、央行票据、金融债券、企业债券、公司债券、中期票据、短期融资券、超短期融资券、次级债券、政府机构债券、地方政府债券、可转换债券、可交换债券及其他经中国证监会允许投资的债券)、资产支持证券、债券回购、银行存款(包括协议存款、定期存款等)、同业存单、货币市场工具、国债期货、信用衍生品以及经中国证监会允许基金投资的其他金融工具，但须符合中国证监会的相关规定。本基金不投资于股票，但可持有因可转换债券转股、可交换债券换股所形成的股票，因所持可转换债券转股或可交换债券换股形成的股票，本基金将在其可交易之日起的10个交易日内卖出。基金的投资组合比例为：本基金投资于债券资产的比例不低于基金资产的80%；本基金投资可转换债券和可交换债券合计不超过基金资产的20%；每个交易日日终在扣除国债期货合约需缴纳的交易保证金后，本基金保留的现金或到期日在一年以内的政府债券的比例合计不低于基金资产净值的5%，其中现金不包括结算备付金、存出保证金和应收申购款等。本基金的业绩比较基准为：中债综合指数收益率×90%+银行活期存款利率(税后)×10%。</w:t>
      </w:r>
    </w:p>
    <w:p w14:paraId="0E33B21D">
      <w:pPr>
        <w:pStyle w:val="18"/>
        <w:rPr>
          <w:rFonts w:hint="eastAsia"/>
        </w:rPr>
      </w:pPr>
      <w:r>
        <w:rPr>
          <w:rFonts w:hint="eastAsia"/>
        </w:rPr>
        <w:t>本财务报表由本基金的基金管理人南方基金管理股份有限公司于2026年3月27日批准报出。</w:t>
      </w:r>
    </w:p>
    <w:p w14:paraId="16159668">
      <w:pPr>
        <w:pStyle w:val="28"/>
      </w:pPr>
      <w:bookmarkStart w:id="50" w:name="_Toc50"/>
      <w:r>
        <w:t xml:space="preserve"> 会计报表的编制基础 </w:t>
      </w:r>
      <w:bookmarkEnd w:id="50"/>
    </w:p>
    <w:p w14:paraId="2E18A495">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0A88B8B2">
      <w:pPr>
        <w:pStyle w:val="18"/>
        <w:rPr>
          <w:rFonts w:hint="eastAsia"/>
        </w:rPr>
      </w:pPr>
      <w:r>
        <w:rPr>
          <w:rFonts w:hint="eastAsia"/>
        </w:rPr>
        <w:t>本财务报表以持续经营为基础编制。</w:t>
      </w:r>
    </w:p>
    <w:p w14:paraId="1C83925D">
      <w:pPr>
        <w:pStyle w:val="28"/>
      </w:pPr>
      <w:bookmarkStart w:id="51" w:name="_Toc51"/>
      <w:r>
        <w:t xml:space="preserve"> 遵循企业会计准则及其他有关规定的声明</w:t>
      </w:r>
      <w:bookmarkEnd w:id="51"/>
    </w:p>
    <w:p w14:paraId="0EE96C6C">
      <w:pPr>
        <w:pStyle w:val="18"/>
        <w:rPr>
          <w:rFonts w:hint="eastAsia"/>
        </w:rPr>
      </w:pPr>
      <w:r>
        <w:rPr>
          <w:rFonts w:hint="eastAsia"/>
        </w:rPr>
        <w:t>本基金2025年9月16日(基金合同生效日)至2025年12月31日止期间的财务报表符合企业会计准则的要求，真实、完整地反映了本基金2025年12月31日的财务状况以及2025年9月16日(基金合同生效日)至2025年12月31日止期间的经营成果和净资产变动情况等有关信息。</w:t>
      </w:r>
    </w:p>
    <w:p w14:paraId="6403160F">
      <w:pPr>
        <w:pStyle w:val="28"/>
      </w:pPr>
      <w:bookmarkStart w:id="52" w:name="_Toc52"/>
      <w:r>
        <w:t xml:space="preserve">重要会计政策和会计估计 </w:t>
      </w:r>
      <w:bookmarkEnd w:id="52"/>
    </w:p>
    <w:p w14:paraId="61BBC65C">
      <w:pPr>
        <w:pStyle w:val="35"/>
      </w:pPr>
      <w:bookmarkStart w:id="53" w:name="_Toc53"/>
      <w:r>
        <w:t>会计年度</w:t>
      </w:r>
      <w:bookmarkEnd w:id="53"/>
    </w:p>
    <w:p w14:paraId="6BA6E382">
      <w:pPr>
        <w:pStyle w:val="18"/>
        <w:rPr>
          <w:rFonts w:hint="eastAsia"/>
        </w:rPr>
      </w:pPr>
      <w:r>
        <w:rPr>
          <w:rFonts w:hint="eastAsia"/>
        </w:rPr>
        <w:t>本基金会计年度为公历1月1日起至12月31日止。本期财务报表的实际编制期间为2025年9月16日(基金合同生效日)至2025年12月31日。</w:t>
      </w:r>
    </w:p>
    <w:p w14:paraId="1AABDFDE">
      <w:pPr>
        <w:pStyle w:val="35"/>
      </w:pPr>
      <w:bookmarkStart w:id="54" w:name="_Toc54"/>
      <w:r>
        <w:t>记账本位币</w:t>
      </w:r>
      <w:bookmarkEnd w:id="54"/>
    </w:p>
    <w:p w14:paraId="4E3C8152">
      <w:pPr>
        <w:pStyle w:val="18"/>
        <w:rPr>
          <w:rFonts w:hint="eastAsia"/>
        </w:rPr>
      </w:pPr>
      <w:r>
        <w:rPr>
          <w:rFonts w:hint="eastAsia"/>
        </w:rPr>
        <w:t>本基金的记账本位币为人民币。</w:t>
      </w:r>
    </w:p>
    <w:p w14:paraId="3CC7668B">
      <w:pPr>
        <w:pStyle w:val="35"/>
      </w:pPr>
      <w:bookmarkStart w:id="55" w:name="_Toc55"/>
      <w:r>
        <w:t>金融资产和金融负债的分类</w:t>
      </w:r>
      <w:bookmarkEnd w:id="55"/>
    </w:p>
    <w:p w14:paraId="32EB089F">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729988C4">
      <w:pPr>
        <w:pStyle w:val="18"/>
        <w:rPr>
          <w:rFonts w:hint="eastAsia"/>
        </w:rPr>
      </w:pPr>
      <w:r>
        <w:rPr>
          <w:rFonts w:hint="eastAsia"/>
        </w:rPr>
        <w:t>(1)金融资产</w:t>
      </w:r>
    </w:p>
    <w:p w14:paraId="643FE9A8">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1F5500B2">
      <w:pPr>
        <w:pStyle w:val="18"/>
        <w:rPr>
          <w:rFonts w:hint="eastAsia"/>
        </w:rPr>
      </w:pPr>
      <w:r>
        <w:rPr>
          <w:rFonts w:hint="eastAsia"/>
        </w:rPr>
        <w:t>债务工具</w:t>
      </w:r>
    </w:p>
    <w:p w14:paraId="513D2BAE">
      <w:pPr>
        <w:pStyle w:val="18"/>
        <w:rPr>
          <w:rFonts w:hint="eastAsia"/>
        </w:rPr>
      </w:pPr>
      <w:r>
        <w:rPr>
          <w:rFonts w:hint="eastAsia"/>
        </w:rPr>
        <w:t>本基金持有的债务工具是指从发行方角度分析符合金融负债定义的工具，分别采用以下两种方式进行计量：</w:t>
      </w:r>
    </w:p>
    <w:p w14:paraId="74E34CB8">
      <w:pPr>
        <w:pStyle w:val="18"/>
        <w:rPr>
          <w:rFonts w:hint="eastAsia"/>
        </w:rPr>
      </w:pPr>
      <w:r>
        <w:rPr>
          <w:rFonts w:hint="eastAsia"/>
        </w:rPr>
        <w:t>以摊余成本计量：</w:t>
      </w:r>
    </w:p>
    <w:p w14:paraId="50B2B849">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66C4B9B6">
      <w:pPr>
        <w:pStyle w:val="18"/>
        <w:rPr>
          <w:rFonts w:hint="eastAsia"/>
        </w:rPr>
      </w:pPr>
      <w:r>
        <w:rPr>
          <w:rFonts w:hint="eastAsia"/>
        </w:rPr>
        <w:t>以公允价值计量且其变动计入当期损益：</w:t>
      </w:r>
    </w:p>
    <w:p w14:paraId="1D747730">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0612A9CA">
      <w:pPr>
        <w:pStyle w:val="18"/>
        <w:rPr>
          <w:rFonts w:hint="eastAsia"/>
        </w:rPr>
      </w:pPr>
      <w:r>
        <w:rPr>
          <w:rFonts w:hint="eastAsia"/>
        </w:rPr>
        <w:t>权益工具</w:t>
      </w:r>
    </w:p>
    <w:p w14:paraId="791E5FC7">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529854F5">
      <w:pPr>
        <w:pStyle w:val="18"/>
        <w:rPr>
          <w:rFonts w:hint="eastAsia"/>
        </w:rPr>
      </w:pPr>
      <w:r>
        <w:rPr>
          <w:rFonts w:hint="eastAsia"/>
        </w:rPr>
        <w:t>(2)金融负债</w:t>
      </w:r>
    </w:p>
    <w:p w14:paraId="34879DE4">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27B7E7EC">
      <w:pPr>
        <w:pStyle w:val="18"/>
        <w:rPr>
          <w:rFonts w:hint="eastAsia"/>
        </w:rPr>
      </w:pPr>
      <w:r>
        <w:rPr>
          <w:rFonts w:hint="eastAsia"/>
        </w:rPr>
        <w:t>(3)衍生金融工具</w:t>
      </w:r>
    </w:p>
    <w:p w14:paraId="0265DA23">
      <w:pPr>
        <w:pStyle w:val="18"/>
        <w:rPr>
          <w:rFonts w:hint="eastAsia"/>
        </w:rPr>
      </w:pPr>
      <w:r>
        <w:rPr>
          <w:rFonts w:hint="eastAsia"/>
        </w:rPr>
        <w:t>本基金将持有的衍生金融工具以公允价值计量且其变动计入当期损益，在资产负债表中列示为衍生金融资产/负债。</w:t>
      </w:r>
    </w:p>
    <w:p w14:paraId="17D0A9DA">
      <w:pPr>
        <w:pStyle w:val="35"/>
      </w:pPr>
      <w:bookmarkStart w:id="56" w:name="_Toc56"/>
      <w:r>
        <w:t xml:space="preserve">金融资产和金融负债的初始确认、后续计量和终止确认 </w:t>
      </w:r>
      <w:bookmarkEnd w:id="56"/>
    </w:p>
    <w:p w14:paraId="417DCAC4">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4E6D27B4">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5498BC91">
      <w:pPr>
        <w:pStyle w:val="18"/>
        <w:rPr>
          <w:rFonts w:hint="eastAsia"/>
        </w:rPr>
      </w:pPr>
      <w:r>
        <w:rPr>
          <w:rFonts w:hint="eastAsia"/>
        </w:rPr>
        <w:t>本基金对于以摊余成本计量的金融资产，以预期信用损失为基础确认损失准备。</w:t>
      </w:r>
    </w:p>
    <w:p w14:paraId="18BB2F0B">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0084EE55">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62C11840">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7F413708">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4916DF1C">
      <w:pPr>
        <w:pStyle w:val="18"/>
        <w:rPr>
          <w:rFonts w:hint="eastAsia"/>
        </w:rPr>
      </w:pPr>
      <w:r>
        <w:rPr>
          <w:rFonts w:hint="eastAsia"/>
        </w:rPr>
        <w:t>本基金将计提或转回的损失准备计入当期损益。</w:t>
      </w:r>
    </w:p>
    <w:p w14:paraId="1F17EE05">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505249D6">
      <w:pPr>
        <w:pStyle w:val="18"/>
        <w:rPr>
          <w:rFonts w:hint="eastAsia"/>
        </w:rPr>
      </w:pPr>
      <w:r>
        <w:rPr>
          <w:rFonts w:hint="eastAsia"/>
        </w:rPr>
        <w:t>金融资产终止确认时，其账面价值与收到的对价的差额，计入当期损益。</w:t>
      </w:r>
    </w:p>
    <w:p w14:paraId="66C949D3">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17670B2F">
      <w:pPr>
        <w:pStyle w:val="35"/>
      </w:pPr>
      <w:bookmarkStart w:id="57" w:name="_Toc57"/>
      <w:r>
        <w:t>金融资产和金融负债的估值原则</w:t>
      </w:r>
      <w:bookmarkEnd w:id="57"/>
    </w:p>
    <w:p w14:paraId="6A0B6CB5">
      <w:pPr>
        <w:pStyle w:val="18"/>
        <w:rPr>
          <w:rFonts w:hint="eastAsia"/>
        </w:rPr>
      </w:pPr>
      <w:r>
        <w:rPr>
          <w:rFonts w:hint="eastAsia"/>
        </w:rPr>
        <w:t>本基金持有的以公允价值计量且其变动计入当期损益的金融资产按如下原则确定公允价值并进行估值：</w:t>
      </w:r>
    </w:p>
    <w:p w14:paraId="47C63A20">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53917A5">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4EDE9DC3">
      <w:pPr>
        <w:pStyle w:val="18"/>
        <w:rPr>
          <w:rFonts w:hint="eastAsia"/>
        </w:rPr>
      </w:pPr>
      <w:r>
        <w:rPr>
          <w:rFonts w:hint="eastAsia"/>
        </w:rPr>
        <w:t>(3)如经济环境发生重大变化或证券发行人发生影响金融工具价格的重大事件，应对估值进行调整并确定公允价值。</w:t>
      </w:r>
    </w:p>
    <w:p w14:paraId="05E5ABF4">
      <w:pPr>
        <w:pStyle w:val="35"/>
      </w:pPr>
      <w:bookmarkStart w:id="58" w:name="_Toc58"/>
      <w:r>
        <w:t>金融资产和金融负债的抵销</w:t>
      </w:r>
      <w:bookmarkEnd w:id="58"/>
    </w:p>
    <w:p w14:paraId="1EC48C4E">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27454C08">
      <w:pPr>
        <w:pStyle w:val="35"/>
      </w:pPr>
      <w:bookmarkStart w:id="59" w:name="_Toc59"/>
      <w:r>
        <w:t>实收基金</w:t>
      </w:r>
      <w:bookmarkEnd w:id="59"/>
    </w:p>
    <w:p w14:paraId="5FC958AC">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532DB83A">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3E957D61">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7B8A17F7">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00770191">
      <w:pPr>
        <w:pStyle w:val="18"/>
        <w:rPr>
          <w:rFonts w:hint="eastAsia"/>
        </w:rPr>
      </w:pPr>
      <w:r>
        <w:rPr>
          <w:rFonts w:hint="eastAsia"/>
        </w:rPr>
        <w:t>本基金将实收基金分类为权益工具，列报于净资产。</w:t>
      </w:r>
    </w:p>
    <w:p w14:paraId="1AA76797">
      <w:pPr>
        <w:pStyle w:val="35"/>
      </w:pPr>
      <w:bookmarkStart w:id="60" w:name="_Toc60"/>
      <w:r>
        <w:t>损益平准金</w:t>
      </w:r>
      <w:bookmarkEnd w:id="60"/>
    </w:p>
    <w:p w14:paraId="2D50AA4D">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3C56F4B2">
      <w:pPr>
        <w:pStyle w:val="35"/>
      </w:pPr>
      <w:bookmarkStart w:id="61" w:name="_Toc61"/>
      <w:r>
        <w:t>收入/（损失）的确认和计量</w:t>
      </w:r>
      <w:bookmarkEnd w:id="61"/>
    </w:p>
    <w:p w14:paraId="6E8AC3A2">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71E475E8">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31722683">
      <w:pPr>
        <w:pStyle w:val="18"/>
        <w:rPr>
          <w:rFonts w:hint="eastAsia"/>
        </w:rPr>
      </w:pPr>
      <w:r>
        <w:rPr>
          <w:rFonts w:hint="eastAsia"/>
        </w:rPr>
        <w:t>应收款项在持有期间确认的利息收入按实际利率法计算，实际利率法与直线法差异较小的则按直线法计算。</w:t>
      </w:r>
    </w:p>
    <w:p w14:paraId="79EAB7C6">
      <w:pPr>
        <w:pStyle w:val="35"/>
      </w:pPr>
      <w:bookmarkStart w:id="62" w:name="_Toc62"/>
      <w:r>
        <w:t>费用的确认和计量</w:t>
      </w:r>
      <w:bookmarkEnd w:id="62"/>
    </w:p>
    <w:p w14:paraId="53F374EB">
      <w:pPr>
        <w:pStyle w:val="18"/>
        <w:rPr>
          <w:rFonts w:hint="eastAsia"/>
        </w:rPr>
      </w:pPr>
      <w:r>
        <w:rPr>
          <w:rFonts w:hint="eastAsia"/>
        </w:rPr>
        <w:t>本基金的管理人报酬、托管费和销售服务费在费用涵盖期间按基金合同约定的费率和计算方法逐日确认。</w:t>
      </w:r>
    </w:p>
    <w:p w14:paraId="6C6BC537">
      <w:pPr>
        <w:pStyle w:val="18"/>
        <w:rPr>
          <w:rFonts w:hint="eastAsia"/>
        </w:rPr>
      </w:pPr>
      <w:r>
        <w:rPr>
          <w:rFonts w:hint="eastAsia"/>
        </w:rPr>
        <w:t>以摊余成本计量的金融负债在持有期间确认的利息支出按实际利率法计算，实际利率法与直线法差异较小的则按直线法计算。</w:t>
      </w:r>
    </w:p>
    <w:p w14:paraId="3518894D">
      <w:pPr>
        <w:pStyle w:val="35"/>
      </w:pPr>
      <w:bookmarkStart w:id="63" w:name="_Toc63"/>
      <w:r>
        <w:t>基金的收益分配政策</w:t>
      </w:r>
      <w:bookmarkEnd w:id="63"/>
    </w:p>
    <w:p w14:paraId="3101ED6D">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008C2018">
      <w:pPr>
        <w:pStyle w:val="18"/>
        <w:rPr>
          <w:rFonts w:hint="eastAsia"/>
        </w:rPr>
      </w:pPr>
      <w:r>
        <w:rPr>
          <w:rFonts w:hint="eastAsia"/>
        </w:rPr>
        <w:t>经宣告的拟分配基金收益于分红除权日从净资产转出。</w:t>
      </w:r>
    </w:p>
    <w:p w14:paraId="0BEC278C">
      <w:pPr>
        <w:pStyle w:val="35"/>
      </w:pPr>
      <w:bookmarkStart w:id="64" w:name="_Toc64"/>
      <w:r>
        <w:t xml:space="preserve"> 分部报告</w:t>
      </w:r>
      <w:bookmarkEnd w:id="64"/>
    </w:p>
    <w:p w14:paraId="12900475">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43D5DA0A">
      <w:pPr>
        <w:pStyle w:val="18"/>
        <w:rPr>
          <w:rFonts w:hint="eastAsia"/>
        </w:rPr>
      </w:pPr>
      <w:r>
        <w:rPr>
          <w:rFonts w:hint="eastAsia"/>
        </w:rPr>
        <w:t>本基金目前以一个单一的经营分部运作，不需要披露分部信息。</w:t>
      </w:r>
    </w:p>
    <w:p w14:paraId="10D6D786">
      <w:pPr>
        <w:pStyle w:val="35"/>
      </w:pPr>
      <w:bookmarkStart w:id="65" w:name="_Toc65"/>
      <w:r>
        <w:t>其他重要的会计政策和会计估计</w:t>
      </w:r>
      <w:bookmarkEnd w:id="65"/>
    </w:p>
    <w:p w14:paraId="79CECDCC">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4EB64EC">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0CC6FB48">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60A1B9C">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051DEB93">
      <w:pPr>
        <w:pStyle w:val="28"/>
      </w:pPr>
      <w:bookmarkStart w:id="66" w:name="_Toc66"/>
      <w:r>
        <w:t xml:space="preserve">会计政策和会计估计变更以及差错更正的说明 </w:t>
      </w:r>
      <w:bookmarkEnd w:id="66"/>
    </w:p>
    <w:p w14:paraId="4FE1AD14">
      <w:pPr>
        <w:pStyle w:val="35"/>
      </w:pPr>
      <w:bookmarkStart w:id="67" w:name="_Toc67"/>
      <w:r>
        <w:t xml:space="preserve">会计政策变更的说明 </w:t>
      </w:r>
      <w:bookmarkEnd w:id="67"/>
    </w:p>
    <w:p w14:paraId="5A9E3431">
      <w:pPr>
        <w:pStyle w:val="18"/>
        <w:rPr>
          <w:rFonts w:hint="eastAsia"/>
        </w:rPr>
      </w:pPr>
      <w:r>
        <w:rPr>
          <w:rFonts w:hint="eastAsia"/>
        </w:rPr>
        <w:t>本基金本报告期未发生会计政策变更。</w:t>
      </w:r>
    </w:p>
    <w:p w14:paraId="7D1DA057">
      <w:pPr>
        <w:pStyle w:val="35"/>
      </w:pPr>
      <w:bookmarkStart w:id="68" w:name="_Toc68"/>
      <w:r>
        <w:t>会计估计变更的说明</w:t>
      </w:r>
      <w:bookmarkEnd w:id="68"/>
    </w:p>
    <w:p w14:paraId="0F8E7298">
      <w:pPr>
        <w:pStyle w:val="18"/>
        <w:rPr>
          <w:rFonts w:hint="eastAsia"/>
        </w:rPr>
      </w:pPr>
      <w:r>
        <w:rPr>
          <w:rFonts w:hint="eastAsia"/>
        </w:rPr>
        <w:t>本基金本报告期未发生会计估计变更。</w:t>
      </w:r>
    </w:p>
    <w:p w14:paraId="470B5EC1">
      <w:pPr>
        <w:pStyle w:val="35"/>
      </w:pPr>
      <w:bookmarkStart w:id="69" w:name="_Toc69"/>
      <w:r>
        <w:t>差错更正的说明</w:t>
      </w:r>
      <w:bookmarkEnd w:id="69"/>
    </w:p>
    <w:p w14:paraId="2B29C7D8">
      <w:pPr>
        <w:pStyle w:val="18"/>
        <w:rPr>
          <w:rFonts w:hint="eastAsia"/>
        </w:rPr>
      </w:pPr>
      <w:r>
        <w:rPr>
          <w:rFonts w:hint="eastAsia"/>
        </w:rPr>
        <w:t>本基金在本报告期间无须说明的会计差错更正。</w:t>
      </w:r>
    </w:p>
    <w:p w14:paraId="0330712C">
      <w:pPr>
        <w:pStyle w:val="28"/>
      </w:pPr>
      <w:bookmarkStart w:id="70" w:name="_Toc70"/>
      <w:r>
        <w:t>税项</w:t>
      </w:r>
      <w:bookmarkEnd w:id="70"/>
    </w:p>
    <w:p w14:paraId="5D7BFB40">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34B6601E">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75B780D3">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6C648E42">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7A72B540">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4A0B4A2C">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20F1B9D9">
      <w:pPr>
        <w:pStyle w:val="18"/>
        <w:rPr>
          <w:rFonts w:hint="eastAsia"/>
        </w:rPr>
      </w:pPr>
      <w:r>
        <w:rPr>
          <w:rFonts w:hint="eastAsia"/>
        </w:rPr>
        <w:t>(5)本基金的城市维护建设税、教育费附加和地方教育附加等税费按照实际缴纳增值税额的适用比例计算缴纳。</w:t>
      </w:r>
    </w:p>
    <w:p w14:paraId="4F500B2C">
      <w:pPr>
        <w:pStyle w:val="28"/>
      </w:pPr>
      <w:bookmarkStart w:id="71" w:name="_Toc71"/>
      <w:r>
        <w:t xml:space="preserve">重要财务报表项目的说明 </w:t>
      </w:r>
      <w:bookmarkEnd w:id="71"/>
    </w:p>
    <w:p w14:paraId="68A180E5">
      <w:pPr>
        <w:pStyle w:val="35"/>
      </w:pPr>
      <w:bookmarkStart w:id="72" w:name="_Toc72"/>
      <w:r>
        <w:t>货币资金</w:t>
      </w:r>
      <w:bookmarkEnd w:id="72"/>
    </w:p>
    <w:p w14:paraId="3015616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F59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771B021">
            <w:pPr>
              <w:jc w:val="center"/>
            </w:pPr>
            <w:r>
              <w:rPr>
                <w:rFonts w:hint="eastAsia"/>
                <w:b/>
              </w:rPr>
              <w:t>项目</w:t>
            </w:r>
          </w:p>
        </w:tc>
        <w:tc>
          <w:tcPr>
            <w:tcW w:w="4153" w:type="dxa"/>
            <w:shd w:val="clear" w:color="auto" w:fill="BFBFBF"/>
            <w:vAlign w:val="center"/>
          </w:tcPr>
          <w:p w14:paraId="6B921586">
            <w:pPr>
              <w:jc w:val="center"/>
            </w:pPr>
            <w:r>
              <w:rPr>
                <w:rFonts w:hint="eastAsia"/>
                <w:b/>
              </w:rPr>
              <w:t>本期末2025年12月31日</w:t>
            </w:r>
          </w:p>
        </w:tc>
      </w:tr>
      <w:tr w14:paraId="799B4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BB577A">
            <w:r>
              <w:rPr>
                <w:rFonts w:hint="eastAsia"/>
              </w:rPr>
              <w:t>活期存款</w:t>
            </w:r>
          </w:p>
        </w:tc>
        <w:tc>
          <w:tcPr>
            <w:tcW w:w="4153" w:type="dxa"/>
            <w:vAlign w:val="center"/>
          </w:tcPr>
          <w:p w14:paraId="5D7A0553">
            <w:pPr>
              <w:jc w:val="right"/>
            </w:pPr>
            <w:r>
              <w:rPr>
                <w:rFonts w:hint="eastAsia"/>
              </w:rPr>
              <w:t>11,206,252.35</w:t>
            </w:r>
          </w:p>
        </w:tc>
      </w:tr>
      <w:tr w14:paraId="439E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B81EEB">
            <w:r>
              <w:rPr>
                <w:rFonts w:hint="eastAsia"/>
              </w:rPr>
              <w:t>等于：本金</w:t>
            </w:r>
          </w:p>
        </w:tc>
        <w:tc>
          <w:tcPr>
            <w:tcW w:w="4153" w:type="dxa"/>
            <w:vAlign w:val="center"/>
          </w:tcPr>
          <w:p w14:paraId="533A2721">
            <w:pPr>
              <w:jc w:val="right"/>
            </w:pPr>
            <w:r>
              <w:rPr>
                <w:rFonts w:hint="eastAsia"/>
              </w:rPr>
              <w:t>11,205,668.52</w:t>
            </w:r>
          </w:p>
        </w:tc>
      </w:tr>
      <w:tr w14:paraId="1A45A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17FB5B">
            <w:r>
              <w:rPr>
                <w:rFonts w:hint="eastAsia"/>
              </w:rPr>
              <w:t xml:space="preserve">      加：应计利息</w:t>
            </w:r>
          </w:p>
        </w:tc>
        <w:tc>
          <w:tcPr>
            <w:tcW w:w="4153" w:type="dxa"/>
            <w:vAlign w:val="center"/>
          </w:tcPr>
          <w:p w14:paraId="75DF5D2C">
            <w:pPr>
              <w:jc w:val="right"/>
            </w:pPr>
            <w:r>
              <w:rPr>
                <w:rFonts w:hint="eastAsia"/>
              </w:rPr>
              <w:t>583.83</w:t>
            </w:r>
          </w:p>
        </w:tc>
      </w:tr>
      <w:tr w14:paraId="357E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7BBC1D">
            <w:r>
              <w:rPr>
                <w:rFonts w:hint="eastAsia"/>
              </w:rPr>
              <w:t xml:space="preserve">      减：坏账准备</w:t>
            </w:r>
          </w:p>
        </w:tc>
        <w:tc>
          <w:tcPr>
            <w:tcW w:w="4153" w:type="dxa"/>
            <w:vAlign w:val="center"/>
          </w:tcPr>
          <w:p w14:paraId="4BA93CBF">
            <w:pPr>
              <w:jc w:val="right"/>
            </w:pPr>
            <w:r>
              <w:rPr>
                <w:rFonts w:hint="eastAsia"/>
              </w:rPr>
              <w:t>-</w:t>
            </w:r>
          </w:p>
        </w:tc>
      </w:tr>
      <w:tr w14:paraId="6BFD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EA2851">
            <w:r>
              <w:rPr>
                <w:rFonts w:hint="eastAsia"/>
              </w:rPr>
              <w:t>定期存款</w:t>
            </w:r>
          </w:p>
        </w:tc>
        <w:tc>
          <w:tcPr>
            <w:tcW w:w="4153" w:type="dxa"/>
            <w:vAlign w:val="center"/>
          </w:tcPr>
          <w:p w14:paraId="206E8C2A">
            <w:pPr>
              <w:jc w:val="right"/>
            </w:pPr>
            <w:r>
              <w:rPr>
                <w:rFonts w:hint="eastAsia"/>
              </w:rPr>
              <w:t>-</w:t>
            </w:r>
          </w:p>
        </w:tc>
      </w:tr>
      <w:tr w14:paraId="52E48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441CC0">
            <w:r>
              <w:rPr>
                <w:rFonts w:hint="eastAsia"/>
              </w:rPr>
              <w:t>等于：本金</w:t>
            </w:r>
          </w:p>
        </w:tc>
        <w:tc>
          <w:tcPr>
            <w:tcW w:w="4153" w:type="dxa"/>
            <w:vAlign w:val="center"/>
          </w:tcPr>
          <w:p w14:paraId="11A0CB49">
            <w:pPr>
              <w:jc w:val="right"/>
            </w:pPr>
            <w:r>
              <w:rPr>
                <w:rFonts w:hint="eastAsia"/>
              </w:rPr>
              <w:t>-</w:t>
            </w:r>
          </w:p>
        </w:tc>
      </w:tr>
      <w:tr w14:paraId="48B50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AE13AF">
            <w:r>
              <w:rPr>
                <w:rFonts w:hint="eastAsia"/>
              </w:rPr>
              <w:t xml:space="preserve">      加：应计利息</w:t>
            </w:r>
          </w:p>
        </w:tc>
        <w:tc>
          <w:tcPr>
            <w:tcW w:w="4153" w:type="dxa"/>
            <w:vAlign w:val="center"/>
          </w:tcPr>
          <w:p w14:paraId="6754B974">
            <w:pPr>
              <w:jc w:val="right"/>
            </w:pPr>
            <w:r>
              <w:rPr>
                <w:rFonts w:hint="eastAsia"/>
              </w:rPr>
              <w:t>-</w:t>
            </w:r>
          </w:p>
        </w:tc>
      </w:tr>
      <w:tr w14:paraId="2E57F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E6444F">
            <w:r>
              <w:rPr>
                <w:rFonts w:hint="eastAsia"/>
              </w:rPr>
              <w:t xml:space="preserve">      减：坏账准备</w:t>
            </w:r>
          </w:p>
        </w:tc>
        <w:tc>
          <w:tcPr>
            <w:tcW w:w="4153" w:type="dxa"/>
            <w:vAlign w:val="center"/>
          </w:tcPr>
          <w:p w14:paraId="6424B742">
            <w:pPr>
              <w:jc w:val="right"/>
            </w:pPr>
            <w:r>
              <w:rPr>
                <w:rFonts w:hint="eastAsia"/>
              </w:rPr>
              <w:t>-</w:t>
            </w:r>
          </w:p>
        </w:tc>
      </w:tr>
      <w:tr w14:paraId="47CEB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5CD18B">
            <w:r>
              <w:rPr>
                <w:rFonts w:hint="eastAsia"/>
              </w:rPr>
              <w:t>其中：存款期限1个月以内</w:t>
            </w:r>
          </w:p>
        </w:tc>
        <w:tc>
          <w:tcPr>
            <w:tcW w:w="4153" w:type="dxa"/>
            <w:vAlign w:val="center"/>
          </w:tcPr>
          <w:p w14:paraId="54D97A95">
            <w:pPr>
              <w:jc w:val="right"/>
            </w:pPr>
            <w:r>
              <w:rPr>
                <w:rFonts w:hint="eastAsia"/>
              </w:rPr>
              <w:t>-</w:t>
            </w:r>
          </w:p>
        </w:tc>
      </w:tr>
      <w:tr w14:paraId="3AAE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1AAF5E">
            <w:r>
              <w:rPr>
                <w:rFonts w:hint="eastAsia"/>
              </w:rPr>
              <w:t xml:space="preserve">      存款期限1-3个月</w:t>
            </w:r>
          </w:p>
        </w:tc>
        <w:tc>
          <w:tcPr>
            <w:tcW w:w="4153" w:type="dxa"/>
            <w:vAlign w:val="center"/>
          </w:tcPr>
          <w:p w14:paraId="3608F7AD">
            <w:pPr>
              <w:jc w:val="right"/>
            </w:pPr>
            <w:r>
              <w:rPr>
                <w:rFonts w:hint="eastAsia"/>
              </w:rPr>
              <w:t>-</w:t>
            </w:r>
          </w:p>
        </w:tc>
      </w:tr>
      <w:tr w14:paraId="0F725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934197">
            <w:r>
              <w:rPr>
                <w:rFonts w:hint="eastAsia"/>
              </w:rPr>
              <w:t xml:space="preserve">      存款期限3个月以上</w:t>
            </w:r>
          </w:p>
        </w:tc>
        <w:tc>
          <w:tcPr>
            <w:tcW w:w="4153" w:type="dxa"/>
            <w:vAlign w:val="center"/>
          </w:tcPr>
          <w:p w14:paraId="57F23071">
            <w:pPr>
              <w:jc w:val="right"/>
            </w:pPr>
            <w:r>
              <w:rPr>
                <w:rFonts w:hint="eastAsia"/>
              </w:rPr>
              <w:t>-</w:t>
            </w:r>
          </w:p>
        </w:tc>
      </w:tr>
      <w:tr w14:paraId="76DB8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160919">
            <w:r>
              <w:rPr>
                <w:rFonts w:hint="eastAsia"/>
              </w:rPr>
              <w:t>其他存款</w:t>
            </w:r>
          </w:p>
        </w:tc>
        <w:tc>
          <w:tcPr>
            <w:tcW w:w="4153" w:type="dxa"/>
            <w:vAlign w:val="center"/>
          </w:tcPr>
          <w:p w14:paraId="131B6914">
            <w:pPr>
              <w:jc w:val="right"/>
            </w:pPr>
            <w:r>
              <w:rPr>
                <w:rFonts w:hint="eastAsia"/>
              </w:rPr>
              <w:t>-</w:t>
            </w:r>
          </w:p>
        </w:tc>
      </w:tr>
      <w:tr w14:paraId="07C5E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415E3C">
            <w:r>
              <w:rPr>
                <w:rFonts w:hint="eastAsia"/>
              </w:rPr>
              <w:t>等于：本金</w:t>
            </w:r>
          </w:p>
        </w:tc>
        <w:tc>
          <w:tcPr>
            <w:tcW w:w="4153" w:type="dxa"/>
            <w:vAlign w:val="center"/>
          </w:tcPr>
          <w:p w14:paraId="15C06C04">
            <w:pPr>
              <w:jc w:val="right"/>
            </w:pPr>
            <w:r>
              <w:rPr>
                <w:rFonts w:hint="eastAsia"/>
              </w:rPr>
              <w:t>-</w:t>
            </w:r>
          </w:p>
        </w:tc>
      </w:tr>
      <w:tr w14:paraId="7C38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8634B2">
            <w:r>
              <w:rPr>
                <w:rFonts w:hint="eastAsia"/>
              </w:rPr>
              <w:t xml:space="preserve">      加：应计利息</w:t>
            </w:r>
          </w:p>
        </w:tc>
        <w:tc>
          <w:tcPr>
            <w:tcW w:w="4153" w:type="dxa"/>
            <w:vAlign w:val="center"/>
          </w:tcPr>
          <w:p w14:paraId="7618B082">
            <w:pPr>
              <w:jc w:val="right"/>
            </w:pPr>
            <w:r>
              <w:rPr>
                <w:rFonts w:hint="eastAsia"/>
              </w:rPr>
              <w:t>-</w:t>
            </w:r>
          </w:p>
        </w:tc>
      </w:tr>
      <w:tr w14:paraId="09EE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B4CFD3">
            <w:r>
              <w:rPr>
                <w:rFonts w:hint="eastAsia"/>
              </w:rPr>
              <w:t xml:space="preserve">      减：坏账准备</w:t>
            </w:r>
          </w:p>
        </w:tc>
        <w:tc>
          <w:tcPr>
            <w:tcW w:w="4153" w:type="dxa"/>
            <w:vAlign w:val="center"/>
          </w:tcPr>
          <w:p w14:paraId="24807044">
            <w:pPr>
              <w:jc w:val="right"/>
            </w:pPr>
            <w:r>
              <w:rPr>
                <w:rFonts w:hint="eastAsia"/>
              </w:rPr>
              <w:t>-</w:t>
            </w:r>
          </w:p>
        </w:tc>
      </w:tr>
      <w:tr w14:paraId="0339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769949">
            <w:r>
              <w:rPr>
                <w:rFonts w:hint="eastAsia"/>
              </w:rPr>
              <w:t>合计</w:t>
            </w:r>
          </w:p>
        </w:tc>
        <w:tc>
          <w:tcPr>
            <w:tcW w:w="4153" w:type="dxa"/>
            <w:vAlign w:val="center"/>
          </w:tcPr>
          <w:p w14:paraId="5A382057">
            <w:pPr>
              <w:jc w:val="right"/>
            </w:pPr>
            <w:r>
              <w:rPr>
                <w:rFonts w:hint="eastAsia"/>
              </w:rPr>
              <w:t>11,206,252.35</w:t>
            </w:r>
          </w:p>
        </w:tc>
      </w:tr>
    </w:tbl>
    <w:p w14:paraId="028F1C0A">
      <w:pPr>
        <w:pStyle w:val="35"/>
      </w:pPr>
      <w:bookmarkStart w:id="73" w:name="_Toc73"/>
      <w:r>
        <w:t>交易性金融资产</w:t>
      </w:r>
      <w:bookmarkEnd w:id="73"/>
    </w:p>
    <w:p w14:paraId="7586EC5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B8A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shd w:val="clear" w:color="auto" w:fill="BFBFBF"/>
            <w:vAlign w:val="center"/>
          </w:tcPr>
          <w:p w14:paraId="5758B28B">
            <w:pPr>
              <w:jc w:val="center"/>
            </w:pPr>
            <w:r>
              <w:rPr>
                <w:rFonts w:hint="eastAsia"/>
                <w:b/>
              </w:rPr>
              <w:t>项目</w:t>
            </w:r>
          </w:p>
        </w:tc>
        <w:tc>
          <w:tcPr>
            <w:tcW w:w="1860" w:type="dxa"/>
            <w:gridSpan w:val="4"/>
            <w:shd w:val="clear" w:color="auto" w:fill="BFBFBF"/>
            <w:vAlign w:val="center"/>
          </w:tcPr>
          <w:p w14:paraId="1CF29C76">
            <w:pPr>
              <w:jc w:val="center"/>
            </w:pPr>
            <w:r>
              <w:rPr>
                <w:rFonts w:hint="eastAsia"/>
                <w:b/>
              </w:rPr>
              <w:t>本期末2025年12月31日</w:t>
            </w:r>
          </w:p>
        </w:tc>
      </w:tr>
      <w:tr w14:paraId="0373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6E8305C"/>
        </w:tc>
        <w:tc>
          <w:tcPr>
            <w:tcW w:w="1860" w:type="dxa"/>
            <w:shd w:val="clear" w:color="auto" w:fill="BFBFBF"/>
            <w:vAlign w:val="center"/>
          </w:tcPr>
          <w:p w14:paraId="09DA8826">
            <w:pPr>
              <w:jc w:val="center"/>
            </w:pPr>
            <w:r>
              <w:rPr>
                <w:rFonts w:hint="eastAsia"/>
                <w:b/>
              </w:rPr>
              <w:t>成本</w:t>
            </w:r>
          </w:p>
        </w:tc>
        <w:tc>
          <w:tcPr>
            <w:tcW w:w="1517" w:type="dxa"/>
            <w:shd w:val="clear" w:color="auto" w:fill="BFBFBF"/>
            <w:vAlign w:val="center"/>
          </w:tcPr>
          <w:p w14:paraId="7E13555F">
            <w:pPr>
              <w:jc w:val="center"/>
            </w:pPr>
            <w:r>
              <w:rPr>
                <w:rFonts w:hint="eastAsia"/>
                <w:b/>
              </w:rPr>
              <w:t>应计利息</w:t>
            </w:r>
          </w:p>
        </w:tc>
        <w:tc>
          <w:tcPr>
            <w:tcW w:w="1860" w:type="dxa"/>
            <w:shd w:val="clear" w:color="auto" w:fill="BFBFBF"/>
            <w:vAlign w:val="center"/>
          </w:tcPr>
          <w:p w14:paraId="79E5A056">
            <w:pPr>
              <w:jc w:val="center"/>
            </w:pPr>
            <w:r>
              <w:rPr>
                <w:rFonts w:hint="eastAsia"/>
                <w:b/>
              </w:rPr>
              <w:t>公允价值</w:t>
            </w:r>
          </w:p>
        </w:tc>
        <w:tc>
          <w:tcPr>
            <w:tcW w:w="1517" w:type="dxa"/>
            <w:shd w:val="clear" w:color="auto" w:fill="BFBFBF"/>
            <w:vAlign w:val="center"/>
          </w:tcPr>
          <w:p w14:paraId="3B267F96">
            <w:pPr>
              <w:jc w:val="center"/>
            </w:pPr>
            <w:r>
              <w:rPr>
                <w:rFonts w:hint="eastAsia"/>
                <w:b/>
              </w:rPr>
              <w:t>公允价值变动</w:t>
            </w:r>
          </w:p>
        </w:tc>
      </w:tr>
      <w:tr w14:paraId="4B6C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F85828">
            <w:r>
              <w:rPr>
                <w:rFonts w:hint="eastAsia"/>
              </w:rPr>
              <w:t>股票</w:t>
            </w:r>
          </w:p>
        </w:tc>
        <w:tc>
          <w:tcPr>
            <w:tcW w:w="1860" w:type="dxa"/>
            <w:vAlign w:val="center"/>
          </w:tcPr>
          <w:p w14:paraId="69D2C582">
            <w:pPr>
              <w:jc w:val="right"/>
            </w:pPr>
            <w:r>
              <w:rPr>
                <w:rFonts w:hint="eastAsia"/>
              </w:rPr>
              <w:t>-</w:t>
            </w:r>
          </w:p>
        </w:tc>
        <w:tc>
          <w:tcPr>
            <w:tcW w:w="1517" w:type="dxa"/>
            <w:vAlign w:val="center"/>
          </w:tcPr>
          <w:p w14:paraId="5C2E3994">
            <w:pPr>
              <w:jc w:val="right"/>
            </w:pPr>
            <w:r>
              <w:rPr>
                <w:rFonts w:hint="eastAsia"/>
              </w:rPr>
              <w:t>-</w:t>
            </w:r>
          </w:p>
        </w:tc>
        <w:tc>
          <w:tcPr>
            <w:tcW w:w="1860" w:type="dxa"/>
            <w:vAlign w:val="center"/>
          </w:tcPr>
          <w:p w14:paraId="07F6A12B">
            <w:pPr>
              <w:jc w:val="right"/>
            </w:pPr>
            <w:r>
              <w:rPr>
                <w:rFonts w:hint="eastAsia"/>
              </w:rPr>
              <w:t>-</w:t>
            </w:r>
          </w:p>
        </w:tc>
        <w:tc>
          <w:tcPr>
            <w:tcW w:w="1517" w:type="dxa"/>
            <w:vAlign w:val="center"/>
          </w:tcPr>
          <w:p w14:paraId="003ECAE0">
            <w:pPr>
              <w:jc w:val="right"/>
            </w:pPr>
            <w:r>
              <w:rPr>
                <w:rFonts w:hint="eastAsia"/>
              </w:rPr>
              <w:t>-</w:t>
            </w:r>
          </w:p>
        </w:tc>
      </w:tr>
      <w:tr w14:paraId="03E6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FF6D69">
            <w:r>
              <w:rPr>
                <w:rFonts w:hint="eastAsia"/>
              </w:rPr>
              <w:t>贵金属投资-金交所黄金合约</w:t>
            </w:r>
          </w:p>
        </w:tc>
        <w:tc>
          <w:tcPr>
            <w:tcW w:w="1860" w:type="dxa"/>
            <w:vAlign w:val="center"/>
          </w:tcPr>
          <w:p w14:paraId="12779E34">
            <w:pPr>
              <w:jc w:val="right"/>
            </w:pPr>
            <w:r>
              <w:rPr>
                <w:rFonts w:hint="eastAsia"/>
              </w:rPr>
              <w:t>-</w:t>
            </w:r>
          </w:p>
        </w:tc>
        <w:tc>
          <w:tcPr>
            <w:tcW w:w="1517" w:type="dxa"/>
            <w:vAlign w:val="center"/>
          </w:tcPr>
          <w:p w14:paraId="2568A458">
            <w:pPr>
              <w:jc w:val="right"/>
            </w:pPr>
            <w:r>
              <w:rPr>
                <w:rFonts w:hint="eastAsia"/>
              </w:rPr>
              <w:t>-</w:t>
            </w:r>
          </w:p>
        </w:tc>
        <w:tc>
          <w:tcPr>
            <w:tcW w:w="1860" w:type="dxa"/>
            <w:vAlign w:val="center"/>
          </w:tcPr>
          <w:p w14:paraId="45A5BABD">
            <w:pPr>
              <w:jc w:val="right"/>
            </w:pPr>
            <w:r>
              <w:rPr>
                <w:rFonts w:hint="eastAsia"/>
              </w:rPr>
              <w:t>-</w:t>
            </w:r>
          </w:p>
        </w:tc>
        <w:tc>
          <w:tcPr>
            <w:tcW w:w="1517" w:type="dxa"/>
            <w:vAlign w:val="center"/>
          </w:tcPr>
          <w:p w14:paraId="61DD3181">
            <w:pPr>
              <w:jc w:val="right"/>
            </w:pPr>
            <w:r>
              <w:rPr>
                <w:rFonts w:hint="eastAsia"/>
              </w:rPr>
              <w:t>-</w:t>
            </w:r>
          </w:p>
        </w:tc>
      </w:tr>
      <w:tr w14:paraId="08669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A5D8317">
            <w:r>
              <w:rPr>
                <w:rFonts w:hint="eastAsia"/>
              </w:rPr>
              <w:t>债券</w:t>
            </w:r>
          </w:p>
        </w:tc>
        <w:tc>
          <w:tcPr>
            <w:tcW w:w="897" w:type="dxa"/>
            <w:vAlign w:val="center"/>
          </w:tcPr>
          <w:p w14:paraId="702F41BC">
            <w:r>
              <w:rPr>
                <w:rFonts w:hint="eastAsia"/>
              </w:rPr>
              <w:t>交易所市场</w:t>
            </w:r>
          </w:p>
        </w:tc>
        <w:tc>
          <w:tcPr>
            <w:tcW w:w="1860" w:type="dxa"/>
            <w:vAlign w:val="center"/>
          </w:tcPr>
          <w:p w14:paraId="3D740614">
            <w:pPr>
              <w:jc w:val="right"/>
            </w:pPr>
            <w:r>
              <w:rPr>
                <w:rFonts w:hint="eastAsia"/>
              </w:rPr>
              <w:t>854,387,814.98</w:t>
            </w:r>
          </w:p>
        </w:tc>
        <w:tc>
          <w:tcPr>
            <w:tcW w:w="1517" w:type="dxa"/>
            <w:vAlign w:val="center"/>
          </w:tcPr>
          <w:p w14:paraId="0B9706D1">
            <w:pPr>
              <w:jc w:val="right"/>
            </w:pPr>
            <w:r>
              <w:rPr>
                <w:rFonts w:hint="eastAsia"/>
              </w:rPr>
              <w:t>16,000,403.08</w:t>
            </w:r>
          </w:p>
        </w:tc>
        <w:tc>
          <w:tcPr>
            <w:tcW w:w="1860" w:type="dxa"/>
            <w:vAlign w:val="center"/>
          </w:tcPr>
          <w:p w14:paraId="51C9A5E5">
            <w:pPr>
              <w:jc w:val="right"/>
            </w:pPr>
            <w:r>
              <w:rPr>
                <w:rFonts w:hint="eastAsia"/>
              </w:rPr>
              <w:t>865,739,223.08</w:t>
            </w:r>
          </w:p>
        </w:tc>
        <w:tc>
          <w:tcPr>
            <w:tcW w:w="1517" w:type="dxa"/>
            <w:vAlign w:val="center"/>
          </w:tcPr>
          <w:p w14:paraId="159BBF5B">
            <w:pPr>
              <w:jc w:val="right"/>
            </w:pPr>
            <w:r>
              <w:rPr>
                <w:rFonts w:hint="eastAsia"/>
              </w:rPr>
              <w:t>-4,648,994.98</w:t>
            </w:r>
          </w:p>
        </w:tc>
      </w:tr>
      <w:tr w14:paraId="4234E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C846490"/>
        </w:tc>
        <w:tc>
          <w:tcPr>
            <w:tcW w:w="897" w:type="dxa"/>
            <w:vAlign w:val="center"/>
          </w:tcPr>
          <w:p w14:paraId="3AFBE166">
            <w:r>
              <w:rPr>
                <w:rFonts w:hint="eastAsia"/>
              </w:rPr>
              <w:t>银行间市场</w:t>
            </w:r>
          </w:p>
        </w:tc>
        <w:tc>
          <w:tcPr>
            <w:tcW w:w="1860" w:type="dxa"/>
            <w:vAlign w:val="center"/>
          </w:tcPr>
          <w:p w14:paraId="0FC6FABA">
            <w:pPr>
              <w:jc w:val="right"/>
            </w:pPr>
            <w:r>
              <w:rPr>
                <w:rFonts w:hint="eastAsia"/>
              </w:rPr>
              <w:t>1,556,708,186.33</w:t>
            </w:r>
          </w:p>
        </w:tc>
        <w:tc>
          <w:tcPr>
            <w:tcW w:w="1517" w:type="dxa"/>
            <w:vAlign w:val="center"/>
          </w:tcPr>
          <w:p w14:paraId="3E59B895">
            <w:pPr>
              <w:jc w:val="right"/>
            </w:pPr>
            <w:r>
              <w:rPr>
                <w:rFonts w:hint="eastAsia"/>
              </w:rPr>
              <w:t>18,943,664.01</w:t>
            </w:r>
          </w:p>
        </w:tc>
        <w:tc>
          <w:tcPr>
            <w:tcW w:w="1860" w:type="dxa"/>
            <w:vAlign w:val="center"/>
          </w:tcPr>
          <w:p w14:paraId="5204607B">
            <w:pPr>
              <w:jc w:val="right"/>
            </w:pPr>
            <w:r>
              <w:rPr>
                <w:rFonts w:hint="eastAsia"/>
              </w:rPr>
              <w:t>1,572,869,964.01</w:t>
            </w:r>
          </w:p>
        </w:tc>
        <w:tc>
          <w:tcPr>
            <w:tcW w:w="1517" w:type="dxa"/>
            <w:vAlign w:val="center"/>
          </w:tcPr>
          <w:p w14:paraId="54466DD2">
            <w:pPr>
              <w:jc w:val="right"/>
            </w:pPr>
            <w:r>
              <w:rPr>
                <w:rFonts w:hint="eastAsia"/>
              </w:rPr>
              <w:t>-2,781,886.33</w:t>
            </w:r>
          </w:p>
        </w:tc>
      </w:tr>
      <w:tr w14:paraId="7C71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E6CEE13"/>
        </w:tc>
        <w:tc>
          <w:tcPr>
            <w:tcW w:w="897" w:type="dxa"/>
            <w:vAlign w:val="center"/>
          </w:tcPr>
          <w:p w14:paraId="5E6569B0">
            <w:r>
              <w:rPr>
                <w:rFonts w:hint="eastAsia"/>
              </w:rPr>
              <w:t>合计</w:t>
            </w:r>
          </w:p>
        </w:tc>
        <w:tc>
          <w:tcPr>
            <w:tcW w:w="1860" w:type="dxa"/>
            <w:vAlign w:val="center"/>
          </w:tcPr>
          <w:p w14:paraId="07195D6D">
            <w:pPr>
              <w:jc w:val="right"/>
            </w:pPr>
            <w:r>
              <w:rPr>
                <w:rFonts w:hint="eastAsia"/>
              </w:rPr>
              <w:t>2,411,096,001.31</w:t>
            </w:r>
          </w:p>
        </w:tc>
        <w:tc>
          <w:tcPr>
            <w:tcW w:w="1517" w:type="dxa"/>
            <w:vAlign w:val="center"/>
          </w:tcPr>
          <w:p w14:paraId="2232EE10">
            <w:pPr>
              <w:jc w:val="right"/>
            </w:pPr>
            <w:r>
              <w:rPr>
                <w:rFonts w:hint="eastAsia"/>
              </w:rPr>
              <w:t>34,944,067.09</w:t>
            </w:r>
          </w:p>
        </w:tc>
        <w:tc>
          <w:tcPr>
            <w:tcW w:w="1860" w:type="dxa"/>
            <w:vAlign w:val="center"/>
          </w:tcPr>
          <w:p w14:paraId="2BE78FCE">
            <w:pPr>
              <w:jc w:val="right"/>
            </w:pPr>
            <w:r>
              <w:rPr>
                <w:rFonts w:hint="eastAsia"/>
              </w:rPr>
              <w:t>2,438,609,187.09</w:t>
            </w:r>
          </w:p>
        </w:tc>
        <w:tc>
          <w:tcPr>
            <w:tcW w:w="1517" w:type="dxa"/>
            <w:vAlign w:val="center"/>
          </w:tcPr>
          <w:p w14:paraId="77BD8C1E">
            <w:pPr>
              <w:jc w:val="right"/>
            </w:pPr>
            <w:r>
              <w:rPr>
                <w:rFonts w:hint="eastAsia"/>
              </w:rPr>
              <w:t>-7,430,881.31</w:t>
            </w:r>
          </w:p>
        </w:tc>
      </w:tr>
      <w:tr w14:paraId="1E073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15EDB9">
            <w:r>
              <w:rPr>
                <w:rFonts w:hint="eastAsia"/>
              </w:rPr>
              <w:t>资产支持证券</w:t>
            </w:r>
          </w:p>
        </w:tc>
        <w:tc>
          <w:tcPr>
            <w:tcW w:w="1860" w:type="dxa"/>
            <w:vAlign w:val="center"/>
          </w:tcPr>
          <w:p w14:paraId="27C4A9CF">
            <w:pPr>
              <w:jc w:val="right"/>
            </w:pPr>
            <w:r>
              <w:rPr>
                <w:rFonts w:hint="eastAsia"/>
              </w:rPr>
              <w:t>-</w:t>
            </w:r>
          </w:p>
        </w:tc>
        <w:tc>
          <w:tcPr>
            <w:tcW w:w="1517" w:type="dxa"/>
            <w:vAlign w:val="center"/>
          </w:tcPr>
          <w:p w14:paraId="0C441641">
            <w:pPr>
              <w:jc w:val="right"/>
            </w:pPr>
            <w:r>
              <w:rPr>
                <w:rFonts w:hint="eastAsia"/>
              </w:rPr>
              <w:t>-</w:t>
            </w:r>
          </w:p>
        </w:tc>
        <w:tc>
          <w:tcPr>
            <w:tcW w:w="1860" w:type="dxa"/>
            <w:vAlign w:val="center"/>
          </w:tcPr>
          <w:p w14:paraId="4FA9842B">
            <w:pPr>
              <w:jc w:val="right"/>
            </w:pPr>
            <w:r>
              <w:rPr>
                <w:rFonts w:hint="eastAsia"/>
              </w:rPr>
              <w:t>-</w:t>
            </w:r>
          </w:p>
        </w:tc>
        <w:tc>
          <w:tcPr>
            <w:tcW w:w="1517" w:type="dxa"/>
            <w:vAlign w:val="center"/>
          </w:tcPr>
          <w:p w14:paraId="23B70D53">
            <w:pPr>
              <w:jc w:val="right"/>
            </w:pPr>
            <w:r>
              <w:rPr>
                <w:rFonts w:hint="eastAsia"/>
              </w:rPr>
              <w:t>-</w:t>
            </w:r>
          </w:p>
        </w:tc>
      </w:tr>
      <w:tr w14:paraId="3ECE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C87222">
            <w:r>
              <w:rPr>
                <w:rFonts w:hint="eastAsia"/>
              </w:rPr>
              <w:t>基金</w:t>
            </w:r>
          </w:p>
        </w:tc>
        <w:tc>
          <w:tcPr>
            <w:tcW w:w="1860" w:type="dxa"/>
            <w:vAlign w:val="center"/>
          </w:tcPr>
          <w:p w14:paraId="233E9F2E">
            <w:pPr>
              <w:jc w:val="right"/>
            </w:pPr>
            <w:r>
              <w:rPr>
                <w:rFonts w:hint="eastAsia"/>
              </w:rPr>
              <w:t>-</w:t>
            </w:r>
          </w:p>
        </w:tc>
        <w:tc>
          <w:tcPr>
            <w:tcW w:w="1517" w:type="dxa"/>
            <w:vAlign w:val="center"/>
          </w:tcPr>
          <w:p w14:paraId="0402F10E">
            <w:pPr>
              <w:jc w:val="right"/>
            </w:pPr>
            <w:r>
              <w:rPr>
                <w:rFonts w:hint="eastAsia"/>
              </w:rPr>
              <w:t>-</w:t>
            </w:r>
          </w:p>
        </w:tc>
        <w:tc>
          <w:tcPr>
            <w:tcW w:w="1860" w:type="dxa"/>
            <w:vAlign w:val="center"/>
          </w:tcPr>
          <w:p w14:paraId="752D6229">
            <w:pPr>
              <w:jc w:val="right"/>
            </w:pPr>
            <w:r>
              <w:rPr>
                <w:rFonts w:hint="eastAsia"/>
              </w:rPr>
              <w:t>-</w:t>
            </w:r>
          </w:p>
        </w:tc>
        <w:tc>
          <w:tcPr>
            <w:tcW w:w="1517" w:type="dxa"/>
            <w:vAlign w:val="center"/>
          </w:tcPr>
          <w:p w14:paraId="17A16E28">
            <w:pPr>
              <w:jc w:val="right"/>
            </w:pPr>
            <w:r>
              <w:rPr>
                <w:rFonts w:hint="eastAsia"/>
              </w:rPr>
              <w:t>-</w:t>
            </w:r>
          </w:p>
        </w:tc>
      </w:tr>
      <w:tr w14:paraId="6AF8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4C5776F">
            <w:r>
              <w:rPr>
                <w:rFonts w:hint="eastAsia"/>
              </w:rPr>
              <w:t>其他</w:t>
            </w:r>
          </w:p>
        </w:tc>
        <w:tc>
          <w:tcPr>
            <w:tcW w:w="1860" w:type="dxa"/>
            <w:vAlign w:val="center"/>
          </w:tcPr>
          <w:p w14:paraId="18FF09F1">
            <w:pPr>
              <w:jc w:val="right"/>
            </w:pPr>
            <w:r>
              <w:rPr>
                <w:rFonts w:hint="eastAsia"/>
              </w:rPr>
              <w:t>-</w:t>
            </w:r>
          </w:p>
        </w:tc>
        <w:tc>
          <w:tcPr>
            <w:tcW w:w="1517" w:type="dxa"/>
            <w:vAlign w:val="center"/>
          </w:tcPr>
          <w:p w14:paraId="751F5358">
            <w:pPr>
              <w:jc w:val="right"/>
            </w:pPr>
            <w:r>
              <w:rPr>
                <w:rFonts w:hint="eastAsia"/>
              </w:rPr>
              <w:t>-</w:t>
            </w:r>
          </w:p>
        </w:tc>
        <w:tc>
          <w:tcPr>
            <w:tcW w:w="1860" w:type="dxa"/>
            <w:vAlign w:val="center"/>
          </w:tcPr>
          <w:p w14:paraId="2407D9DA">
            <w:pPr>
              <w:jc w:val="right"/>
            </w:pPr>
            <w:r>
              <w:rPr>
                <w:rFonts w:hint="eastAsia"/>
              </w:rPr>
              <w:t>-</w:t>
            </w:r>
          </w:p>
        </w:tc>
        <w:tc>
          <w:tcPr>
            <w:tcW w:w="1517" w:type="dxa"/>
            <w:vAlign w:val="center"/>
          </w:tcPr>
          <w:p w14:paraId="49D90758">
            <w:pPr>
              <w:jc w:val="right"/>
            </w:pPr>
            <w:r>
              <w:rPr>
                <w:rFonts w:hint="eastAsia"/>
              </w:rPr>
              <w:t>-</w:t>
            </w:r>
          </w:p>
        </w:tc>
      </w:tr>
      <w:tr w14:paraId="34B9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F4F3FB">
            <w:r>
              <w:rPr>
                <w:rFonts w:hint="eastAsia"/>
              </w:rPr>
              <w:t>合计</w:t>
            </w:r>
          </w:p>
        </w:tc>
        <w:tc>
          <w:tcPr>
            <w:tcW w:w="1860" w:type="dxa"/>
            <w:vAlign w:val="center"/>
          </w:tcPr>
          <w:p w14:paraId="75823814">
            <w:pPr>
              <w:jc w:val="right"/>
            </w:pPr>
            <w:r>
              <w:rPr>
                <w:rFonts w:hint="eastAsia"/>
              </w:rPr>
              <w:t>2,411,096,001.31</w:t>
            </w:r>
          </w:p>
        </w:tc>
        <w:tc>
          <w:tcPr>
            <w:tcW w:w="1517" w:type="dxa"/>
            <w:vAlign w:val="center"/>
          </w:tcPr>
          <w:p w14:paraId="41F3C4BD">
            <w:pPr>
              <w:jc w:val="right"/>
            </w:pPr>
            <w:r>
              <w:rPr>
                <w:rFonts w:hint="eastAsia"/>
              </w:rPr>
              <w:t>34,944,067.09</w:t>
            </w:r>
          </w:p>
        </w:tc>
        <w:tc>
          <w:tcPr>
            <w:tcW w:w="1860" w:type="dxa"/>
            <w:vAlign w:val="center"/>
          </w:tcPr>
          <w:p w14:paraId="7C286EC0">
            <w:pPr>
              <w:jc w:val="right"/>
            </w:pPr>
            <w:r>
              <w:rPr>
                <w:rFonts w:hint="eastAsia"/>
              </w:rPr>
              <w:t>2,438,609,187.09</w:t>
            </w:r>
          </w:p>
        </w:tc>
        <w:tc>
          <w:tcPr>
            <w:tcW w:w="1517" w:type="dxa"/>
            <w:vAlign w:val="center"/>
          </w:tcPr>
          <w:p w14:paraId="03BD647A">
            <w:pPr>
              <w:jc w:val="right"/>
            </w:pPr>
            <w:r>
              <w:rPr>
                <w:rFonts w:hint="eastAsia"/>
              </w:rPr>
              <w:t>-7,430,881.31</w:t>
            </w:r>
          </w:p>
        </w:tc>
      </w:tr>
    </w:tbl>
    <w:p w14:paraId="3CC2E47D">
      <w:pPr>
        <w:pStyle w:val="35"/>
      </w:pPr>
      <w:bookmarkStart w:id="74" w:name="_Toc74"/>
      <w:r>
        <w:t>衍生金融资产/负债</w:t>
      </w:r>
      <w:bookmarkEnd w:id="74"/>
    </w:p>
    <w:p w14:paraId="4A398250">
      <w:pPr>
        <w:pStyle w:val="36"/>
      </w:pPr>
      <w:bookmarkStart w:id="75" w:name="_Toc75"/>
      <w:r>
        <w:t>衍生金融资产/负债期末余额</w:t>
      </w:r>
      <w:bookmarkEnd w:id="75"/>
    </w:p>
    <w:p w14:paraId="33D94550">
      <w:pPr>
        <w:pStyle w:val="18"/>
        <w:rPr>
          <w:rFonts w:hint="eastAsia"/>
        </w:rPr>
      </w:pPr>
      <w:r>
        <w:rPr>
          <w:rFonts w:hint="eastAsia"/>
        </w:rPr>
        <w:t>无。</w:t>
      </w:r>
    </w:p>
    <w:p w14:paraId="09EE782F">
      <w:pPr>
        <w:pStyle w:val="35"/>
      </w:pPr>
      <w:bookmarkStart w:id="76" w:name="_Toc76"/>
      <w:r>
        <w:t xml:space="preserve"> 买入返售金融资产</w:t>
      </w:r>
      <w:bookmarkEnd w:id="76"/>
    </w:p>
    <w:p w14:paraId="42AEB2BE">
      <w:pPr>
        <w:pStyle w:val="36"/>
      </w:pPr>
      <w:bookmarkStart w:id="77" w:name="_Toc77"/>
      <w:r>
        <w:t>各项买入返售金融资产期末余额</w:t>
      </w:r>
      <w:bookmarkEnd w:id="77"/>
    </w:p>
    <w:p w14:paraId="7495E9D6">
      <w:pPr>
        <w:pStyle w:val="18"/>
        <w:rPr>
          <w:rFonts w:hint="eastAsia"/>
        </w:rPr>
      </w:pPr>
      <w:r>
        <w:rPr>
          <w:rFonts w:hint="eastAsia"/>
        </w:rPr>
        <w:t>无。</w:t>
      </w:r>
    </w:p>
    <w:p w14:paraId="7E05080F">
      <w:pPr>
        <w:pStyle w:val="36"/>
      </w:pPr>
      <w:bookmarkStart w:id="78" w:name="_Toc78"/>
      <w:r>
        <w:t xml:space="preserve"> 期末买断式逆回购交易中取得的债券</w:t>
      </w:r>
      <w:bookmarkEnd w:id="78"/>
    </w:p>
    <w:p w14:paraId="462AE6D0">
      <w:pPr>
        <w:pStyle w:val="18"/>
        <w:rPr>
          <w:rFonts w:hint="eastAsia"/>
        </w:rPr>
      </w:pPr>
      <w:r>
        <w:rPr>
          <w:rFonts w:hint="eastAsia"/>
        </w:rPr>
        <w:t>无。</w:t>
      </w:r>
    </w:p>
    <w:p w14:paraId="569FB87C">
      <w:pPr>
        <w:pStyle w:val="35"/>
      </w:pPr>
      <w:bookmarkStart w:id="79" w:name="_Toc79"/>
      <w:r>
        <w:t xml:space="preserve"> 其他资产</w:t>
      </w:r>
      <w:bookmarkEnd w:id="79"/>
    </w:p>
    <w:p w14:paraId="1BA75586">
      <w:pPr>
        <w:pStyle w:val="18"/>
        <w:rPr>
          <w:rFonts w:hint="eastAsia"/>
        </w:rPr>
      </w:pPr>
      <w:r>
        <w:rPr>
          <w:rFonts w:hint="eastAsia"/>
        </w:rPr>
        <w:t>无。</w:t>
      </w:r>
    </w:p>
    <w:p w14:paraId="04900DA2">
      <w:pPr>
        <w:pStyle w:val="35"/>
      </w:pPr>
      <w:bookmarkStart w:id="80" w:name="_Toc80"/>
      <w:r>
        <w:t>其他负债</w:t>
      </w:r>
      <w:bookmarkEnd w:id="80"/>
    </w:p>
    <w:p w14:paraId="6769E2B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9"/>
        <w:gridCol w:w="4706"/>
      </w:tblGrid>
      <w:tr w14:paraId="1B40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shd w:val="clear" w:color="auto" w:fill="BFBFBF"/>
            <w:vAlign w:val="center"/>
          </w:tcPr>
          <w:p w14:paraId="0019FEF4">
            <w:pPr>
              <w:jc w:val="center"/>
            </w:pPr>
            <w:r>
              <w:rPr>
                <w:rFonts w:hint="eastAsia"/>
                <w:b/>
              </w:rPr>
              <w:t>项目</w:t>
            </w:r>
          </w:p>
        </w:tc>
        <w:tc>
          <w:tcPr>
            <w:tcW w:w="4706" w:type="dxa"/>
            <w:shd w:val="clear" w:color="auto" w:fill="BFBFBF"/>
            <w:vAlign w:val="center"/>
          </w:tcPr>
          <w:p w14:paraId="28A19C06">
            <w:pPr>
              <w:jc w:val="center"/>
            </w:pPr>
            <w:r>
              <w:rPr>
                <w:rFonts w:hint="eastAsia"/>
                <w:b/>
              </w:rPr>
              <w:t>本期末2025年12月31日</w:t>
            </w:r>
          </w:p>
        </w:tc>
      </w:tr>
      <w:tr w14:paraId="4319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487FEAC">
            <w:r>
              <w:rPr>
                <w:rFonts w:hint="eastAsia"/>
              </w:rPr>
              <w:t>应付券商交易单元保证金</w:t>
            </w:r>
          </w:p>
        </w:tc>
        <w:tc>
          <w:tcPr>
            <w:tcW w:w="4706" w:type="dxa"/>
            <w:vAlign w:val="center"/>
          </w:tcPr>
          <w:p w14:paraId="24F7E26C">
            <w:pPr>
              <w:jc w:val="right"/>
            </w:pPr>
            <w:r>
              <w:rPr>
                <w:rFonts w:hint="eastAsia"/>
              </w:rPr>
              <w:t>-</w:t>
            </w:r>
          </w:p>
        </w:tc>
      </w:tr>
      <w:tr w14:paraId="33AB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215E906">
            <w:r>
              <w:rPr>
                <w:rFonts w:hint="eastAsia"/>
              </w:rPr>
              <w:t>应付赎回费</w:t>
            </w:r>
          </w:p>
        </w:tc>
        <w:tc>
          <w:tcPr>
            <w:tcW w:w="4706" w:type="dxa"/>
            <w:vAlign w:val="center"/>
          </w:tcPr>
          <w:p w14:paraId="095BFE96">
            <w:pPr>
              <w:jc w:val="right"/>
            </w:pPr>
            <w:r>
              <w:rPr>
                <w:rFonts w:hint="eastAsia"/>
              </w:rPr>
              <w:t>-</w:t>
            </w:r>
          </w:p>
        </w:tc>
      </w:tr>
      <w:tr w14:paraId="44B09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0A7C738">
            <w:r>
              <w:rPr>
                <w:rFonts w:hint="eastAsia"/>
              </w:rPr>
              <w:t>应付证券出借违约金</w:t>
            </w:r>
          </w:p>
        </w:tc>
        <w:tc>
          <w:tcPr>
            <w:tcW w:w="4706" w:type="dxa"/>
            <w:vAlign w:val="center"/>
          </w:tcPr>
          <w:p w14:paraId="1771C775">
            <w:pPr>
              <w:jc w:val="right"/>
            </w:pPr>
            <w:r>
              <w:rPr>
                <w:rFonts w:hint="eastAsia"/>
              </w:rPr>
              <w:t>-</w:t>
            </w:r>
          </w:p>
        </w:tc>
      </w:tr>
      <w:tr w14:paraId="22D4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1025317">
            <w:r>
              <w:rPr>
                <w:rFonts w:hint="eastAsia"/>
              </w:rPr>
              <w:t>应付交易费用</w:t>
            </w:r>
          </w:p>
        </w:tc>
        <w:tc>
          <w:tcPr>
            <w:tcW w:w="4706" w:type="dxa"/>
            <w:vAlign w:val="center"/>
          </w:tcPr>
          <w:p w14:paraId="269AEF57">
            <w:pPr>
              <w:jc w:val="right"/>
            </w:pPr>
            <w:r>
              <w:rPr>
                <w:rFonts w:hint="eastAsia"/>
              </w:rPr>
              <w:t>34,242.57</w:t>
            </w:r>
          </w:p>
        </w:tc>
      </w:tr>
      <w:tr w14:paraId="5B7D7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FF48ECD">
            <w:r>
              <w:rPr>
                <w:rFonts w:hint="eastAsia"/>
              </w:rPr>
              <w:t>其中：交易所市场</w:t>
            </w:r>
          </w:p>
        </w:tc>
        <w:tc>
          <w:tcPr>
            <w:tcW w:w="4706" w:type="dxa"/>
            <w:vAlign w:val="center"/>
          </w:tcPr>
          <w:p w14:paraId="31930A44">
            <w:pPr>
              <w:jc w:val="right"/>
            </w:pPr>
            <w:r>
              <w:rPr>
                <w:rFonts w:hint="eastAsia"/>
              </w:rPr>
              <w:t>-</w:t>
            </w:r>
          </w:p>
        </w:tc>
      </w:tr>
      <w:tr w14:paraId="58A1F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99E18A0">
            <w:r>
              <w:rPr>
                <w:rFonts w:hint="eastAsia"/>
              </w:rPr>
              <w:t xml:space="preserve">      银行间市场</w:t>
            </w:r>
          </w:p>
        </w:tc>
        <w:tc>
          <w:tcPr>
            <w:tcW w:w="4706" w:type="dxa"/>
            <w:vAlign w:val="center"/>
          </w:tcPr>
          <w:p w14:paraId="661F61D7">
            <w:pPr>
              <w:jc w:val="right"/>
            </w:pPr>
            <w:r>
              <w:rPr>
                <w:rFonts w:hint="eastAsia"/>
              </w:rPr>
              <w:t>34,242.57</w:t>
            </w:r>
          </w:p>
        </w:tc>
      </w:tr>
      <w:tr w14:paraId="6C43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934622E">
            <w:r>
              <w:rPr>
                <w:rFonts w:hint="eastAsia"/>
              </w:rPr>
              <w:t>应付利息</w:t>
            </w:r>
          </w:p>
        </w:tc>
        <w:tc>
          <w:tcPr>
            <w:tcW w:w="4706" w:type="dxa"/>
            <w:vAlign w:val="center"/>
          </w:tcPr>
          <w:p w14:paraId="161FFB06">
            <w:pPr>
              <w:jc w:val="right"/>
            </w:pPr>
            <w:r>
              <w:rPr>
                <w:rFonts w:hint="eastAsia"/>
              </w:rPr>
              <w:t>-</w:t>
            </w:r>
          </w:p>
        </w:tc>
      </w:tr>
      <w:tr w14:paraId="1C3A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E035A0E">
            <w:r>
              <w:rPr>
                <w:rFonts w:hint="eastAsia"/>
              </w:rPr>
              <w:t>预提费用</w:t>
            </w:r>
          </w:p>
        </w:tc>
        <w:tc>
          <w:tcPr>
            <w:tcW w:w="4706" w:type="dxa"/>
            <w:vAlign w:val="center"/>
          </w:tcPr>
          <w:p w14:paraId="5AD3ADA9">
            <w:pPr>
              <w:jc w:val="right"/>
            </w:pPr>
            <w:r>
              <w:rPr>
                <w:rFonts w:hint="eastAsia"/>
              </w:rPr>
              <w:t>64,000.00</w:t>
            </w:r>
          </w:p>
        </w:tc>
      </w:tr>
      <w:tr w14:paraId="37C8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A6F97C2">
            <w:r>
              <w:rPr>
                <w:rFonts w:hint="eastAsia"/>
              </w:rPr>
              <w:t>合计</w:t>
            </w:r>
          </w:p>
        </w:tc>
        <w:tc>
          <w:tcPr>
            <w:tcW w:w="4706" w:type="dxa"/>
            <w:vAlign w:val="center"/>
          </w:tcPr>
          <w:p w14:paraId="065F8F8D">
            <w:pPr>
              <w:jc w:val="right"/>
            </w:pPr>
            <w:r>
              <w:rPr>
                <w:rFonts w:hint="eastAsia"/>
              </w:rPr>
              <w:t>98,242.57</w:t>
            </w:r>
          </w:p>
        </w:tc>
      </w:tr>
    </w:tbl>
    <w:p w14:paraId="0641BD7A">
      <w:pPr>
        <w:pStyle w:val="35"/>
      </w:pPr>
      <w:bookmarkStart w:id="81" w:name="_Toc81"/>
      <w:r>
        <w:t xml:space="preserve">实收基金 </w:t>
      </w:r>
      <w:bookmarkEnd w:id="81"/>
    </w:p>
    <w:p w14:paraId="2A4FBB3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9712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5433C7F">
            <w:pPr>
              <w:jc w:val="center"/>
            </w:pPr>
            <w:r>
              <w:rPr>
                <w:rFonts w:hint="eastAsia"/>
                <w:b/>
              </w:rPr>
              <w:t>南方稳航120天滚动持有债券A</w:t>
            </w:r>
          </w:p>
        </w:tc>
      </w:tr>
      <w:tr w14:paraId="2A84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6163B8C">
            <w:pPr>
              <w:jc w:val="center"/>
            </w:pPr>
            <w:r>
              <w:rPr>
                <w:rFonts w:hint="eastAsia"/>
                <w:b/>
              </w:rPr>
              <w:t>项目</w:t>
            </w:r>
          </w:p>
        </w:tc>
        <w:tc>
          <w:tcPr>
            <w:tcW w:w="2491" w:type="dxa"/>
            <w:gridSpan w:val="2"/>
            <w:shd w:val="clear" w:color="auto" w:fill="BFBFBF"/>
            <w:vAlign w:val="center"/>
          </w:tcPr>
          <w:p w14:paraId="0D27CA33">
            <w:pPr>
              <w:jc w:val="center"/>
            </w:pPr>
            <w:r>
              <w:rPr>
                <w:rFonts w:hint="eastAsia"/>
                <w:b/>
              </w:rPr>
              <w:t>本期2025年9月16日（基金合同生效日）至2025年12月31日</w:t>
            </w:r>
          </w:p>
        </w:tc>
      </w:tr>
      <w:tr w14:paraId="76C9A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7858AEF"/>
        </w:tc>
        <w:tc>
          <w:tcPr>
            <w:tcW w:w="2491" w:type="dxa"/>
            <w:shd w:val="clear" w:color="auto" w:fill="BFBFBF"/>
            <w:vAlign w:val="center"/>
          </w:tcPr>
          <w:p w14:paraId="10FF62EE">
            <w:pPr>
              <w:jc w:val="center"/>
            </w:pPr>
            <w:r>
              <w:rPr>
                <w:rFonts w:hint="eastAsia"/>
                <w:b/>
              </w:rPr>
              <w:t>基金份额（份）</w:t>
            </w:r>
          </w:p>
        </w:tc>
        <w:tc>
          <w:tcPr>
            <w:tcW w:w="2907" w:type="dxa"/>
            <w:shd w:val="clear" w:color="auto" w:fill="BFBFBF"/>
            <w:vAlign w:val="center"/>
          </w:tcPr>
          <w:p w14:paraId="07739D43">
            <w:pPr>
              <w:jc w:val="center"/>
            </w:pPr>
            <w:r>
              <w:rPr>
                <w:rFonts w:hint="eastAsia"/>
                <w:b/>
              </w:rPr>
              <w:t>账面金额</w:t>
            </w:r>
          </w:p>
        </w:tc>
      </w:tr>
      <w:tr w14:paraId="70C92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246ED5">
            <w:r>
              <w:rPr>
                <w:rFonts w:hint="eastAsia"/>
              </w:rPr>
              <w:t>基金合同生效日</w:t>
            </w:r>
          </w:p>
        </w:tc>
        <w:tc>
          <w:tcPr>
            <w:tcW w:w="2491" w:type="dxa"/>
            <w:vAlign w:val="center"/>
          </w:tcPr>
          <w:p w14:paraId="22FA7665">
            <w:pPr>
              <w:jc w:val="right"/>
            </w:pPr>
            <w:r>
              <w:rPr>
                <w:rFonts w:hint="eastAsia"/>
              </w:rPr>
              <w:t>1,644,782,675.47</w:t>
            </w:r>
          </w:p>
        </w:tc>
        <w:tc>
          <w:tcPr>
            <w:tcW w:w="2907" w:type="dxa"/>
            <w:vAlign w:val="center"/>
          </w:tcPr>
          <w:p w14:paraId="6813E4B9">
            <w:pPr>
              <w:jc w:val="right"/>
            </w:pPr>
            <w:r>
              <w:rPr>
                <w:rFonts w:hint="eastAsia"/>
              </w:rPr>
              <w:t>1,644,782,675.47</w:t>
            </w:r>
          </w:p>
        </w:tc>
      </w:tr>
      <w:tr w14:paraId="40A11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486BEC">
            <w:r>
              <w:rPr>
                <w:rFonts w:hint="eastAsia"/>
              </w:rPr>
              <w:t>本期申购</w:t>
            </w:r>
          </w:p>
        </w:tc>
        <w:tc>
          <w:tcPr>
            <w:tcW w:w="2491" w:type="dxa"/>
            <w:vAlign w:val="center"/>
          </w:tcPr>
          <w:p w14:paraId="02C02D27">
            <w:pPr>
              <w:jc w:val="right"/>
            </w:pPr>
            <w:r>
              <w:rPr>
                <w:rFonts w:hint="eastAsia"/>
              </w:rPr>
              <w:t>-</w:t>
            </w:r>
          </w:p>
        </w:tc>
        <w:tc>
          <w:tcPr>
            <w:tcW w:w="2907" w:type="dxa"/>
            <w:vAlign w:val="center"/>
          </w:tcPr>
          <w:p w14:paraId="2B733D0D">
            <w:pPr>
              <w:jc w:val="right"/>
            </w:pPr>
            <w:r>
              <w:rPr>
                <w:rFonts w:hint="eastAsia"/>
              </w:rPr>
              <w:t>-</w:t>
            </w:r>
          </w:p>
        </w:tc>
      </w:tr>
      <w:tr w14:paraId="7327A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AEF9BF">
            <w:r>
              <w:rPr>
                <w:rFonts w:hint="eastAsia"/>
              </w:rPr>
              <w:t>本期赎回（以“-”号填列）</w:t>
            </w:r>
          </w:p>
        </w:tc>
        <w:tc>
          <w:tcPr>
            <w:tcW w:w="2491" w:type="dxa"/>
            <w:vAlign w:val="center"/>
          </w:tcPr>
          <w:p w14:paraId="17E1038E">
            <w:pPr>
              <w:jc w:val="right"/>
            </w:pPr>
            <w:r>
              <w:rPr>
                <w:rFonts w:hint="eastAsia"/>
              </w:rPr>
              <w:t>-</w:t>
            </w:r>
          </w:p>
        </w:tc>
        <w:tc>
          <w:tcPr>
            <w:tcW w:w="2907" w:type="dxa"/>
            <w:vAlign w:val="center"/>
          </w:tcPr>
          <w:p w14:paraId="385B1DEC">
            <w:pPr>
              <w:jc w:val="right"/>
            </w:pPr>
            <w:r>
              <w:rPr>
                <w:rFonts w:hint="eastAsia"/>
              </w:rPr>
              <w:t>-</w:t>
            </w:r>
          </w:p>
        </w:tc>
      </w:tr>
      <w:tr w14:paraId="5043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D3F331">
            <w:r>
              <w:rPr>
                <w:rFonts w:hint="eastAsia"/>
              </w:rPr>
              <w:t>基金拆分/份额折算前</w:t>
            </w:r>
          </w:p>
        </w:tc>
        <w:tc>
          <w:tcPr>
            <w:tcW w:w="2491" w:type="dxa"/>
            <w:vAlign w:val="center"/>
          </w:tcPr>
          <w:p w14:paraId="39EAD6C7">
            <w:pPr>
              <w:jc w:val="right"/>
            </w:pPr>
            <w:r>
              <w:rPr>
                <w:rFonts w:hint="eastAsia"/>
              </w:rPr>
              <w:t>-</w:t>
            </w:r>
          </w:p>
        </w:tc>
        <w:tc>
          <w:tcPr>
            <w:tcW w:w="2907" w:type="dxa"/>
            <w:vAlign w:val="center"/>
          </w:tcPr>
          <w:p w14:paraId="3F717FA4">
            <w:pPr>
              <w:jc w:val="right"/>
            </w:pPr>
            <w:r>
              <w:rPr>
                <w:rFonts w:hint="eastAsia"/>
              </w:rPr>
              <w:t>-</w:t>
            </w:r>
          </w:p>
        </w:tc>
      </w:tr>
      <w:tr w14:paraId="73187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49A647">
            <w:r>
              <w:rPr>
                <w:rFonts w:hint="eastAsia"/>
              </w:rPr>
              <w:t>基金拆分/份额折算调整</w:t>
            </w:r>
          </w:p>
        </w:tc>
        <w:tc>
          <w:tcPr>
            <w:tcW w:w="2491" w:type="dxa"/>
            <w:vAlign w:val="center"/>
          </w:tcPr>
          <w:p w14:paraId="61ED1B89">
            <w:pPr>
              <w:jc w:val="right"/>
            </w:pPr>
            <w:r>
              <w:rPr>
                <w:rFonts w:hint="eastAsia"/>
              </w:rPr>
              <w:t>-</w:t>
            </w:r>
          </w:p>
        </w:tc>
        <w:tc>
          <w:tcPr>
            <w:tcW w:w="2907" w:type="dxa"/>
            <w:vAlign w:val="center"/>
          </w:tcPr>
          <w:p w14:paraId="75BC36CD">
            <w:pPr>
              <w:jc w:val="right"/>
            </w:pPr>
            <w:r>
              <w:rPr>
                <w:rFonts w:hint="eastAsia"/>
              </w:rPr>
              <w:t>-</w:t>
            </w:r>
          </w:p>
        </w:tc>
      </w:tr>
      <w:tr w14:paraId="14D7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84FDA2">
            <w:r>
              <w:rPr>
                <w:rFonts w:hint="eastAsia"/>
              </w:rPr>
              <w:t>本期申购</w:t>
            </w:r>
          </w:p>
        </w:tc>
        <w:tc>
          <w:tcPr>
            <w:tcW w:w="2491" w:type="dxa"/>
            <w:vAlign w:val="center"/>
          </w:tcPr>
          <w:p w14:paraId="0173E2A1">
            <w:pPr>
              <w:jc w:val="right"/>
            </w:pPr>
            <w:r>
              <w:rPr>
                <w:rFonts w:hint="eastAsia"/>
              </w:rPr>
              <w:t>-</w:t>
            </w:r>
          </w:p>
        </w:tc>
        <w:tc>
          <w:tcPr>
            <w:tcW w:w="2907" w:type="dxa"/>
            <w:vAlign w:val="center"/>
          </w:tcPr>
          <w:p w14:paraId="43A0E7FA">
            <w:pPr>
              <w:jc w:val="right"/>
            </w:pPr>
            <w:r>
              <w:rPr>
                <w:rFonts w:hint="eastAsia"/>
              </w:rPr>
              <w:t>-</w:t>
            </w:r>
          </w:p>
        </w:tc>
      </w:tr>
      <w:tr w14:paraId="29AA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E4001D">
            <w:r>
              <w:rPr>
                <w:rFonts w:hint="eastAsia"/>
              </w:rPr>
              <w:t>本期赎回（以“-”号填列）</w:t>
            </w:r>
          </w:p>
        </w:tc>
        <w:tc>
          <w:tcPr>
            <w:tcW w:w="2491" w:type="dxa"/>
            <w:vAlign w:val="center"/>
          </w:tcPr>
          <w:p w14:paraId="048011EA">
            <w:pPr>
              <w:jc w:val="right"/>
            </w:pPr>
            <w:r>
              <w:rPr>
                <w:rFonts w:hint="eastAsia"/>
              </w:rPr>
              <w:t>-</w:t>
            </w:r>
          </w:p>
        </w:tc>
        <w:tc>
          <w:tcPr>
            <w:tcW w:w="2907" w:type="dxa"/>
            <w:vAlign w:val="center"/>
          </w:tcPr>
          <w:p w14:paraId="01743296">
            <w:pPr>
              <w:jc w:val="right"/>
            </w:pPr>
            <w:r>
              <w:rPr>
                <w:rFonts w:hint="eastAsia"/>
              </w:rPr>
              <w:t>-</w:t>
            </w:r>
          </w:p>
        </w:tc>
      </w:tr>
      <w:tr w14:paraId="26C3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54C90B">
            <w:r>
              <w:rPr>
                <w:rFonts w:hint="eastAsia"/>
              </w:rPr>
              <w:t>本期末</w:t>
            </w:r>
          </w:p>
        </w:tc>
        <w:tc>
          <w:tcPr>
            <w:tcW w:w="2491" w:type="dxa"/>
            <w:vAlign w:val="center"/>
          </w:tcPr>
          <w:p w14:paraId="08E3B6AE">
            <w:pPr>
              <w:jc w:val="right"/>
            </w:pPr>
            <w:r>
              <w:rPr>
                <w:rFonts w:hint="eastAsia"/>
              </w:rPr>
              <w:t>1,644,782,675.47</w:t>
            </w:r>
          </w:p>
        </w:tc>
        <w:tc>
          <w:tcPr>
            <w:tcW w:w="2907" w:type="dxa"/>
            <w:vAlign w:val="center"/>
          </w:tcPr>
          <w:p w14:paraId="4BC5634A">
            <w:pPr>
              <w:jc w:val="right"/>
            </w:pPr>
            <w:r>
              <w:rPr>
                <w:rFonts w:hint="eastAsia"/>
              </w:rPr>
              <w:t>1,644,782,675.47</w:t>
            </w:r>
          </w:p>
        </w:tc>
      </w:tr>
    </w:tbl>
    <w:p w14:paraId="7EAB52E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3A2A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623C290">
            <w:pPr>
              <w:jc w:val="center"/>
            </w:pPr>
            <w:r>
              <w:rPr>
                <w:rFonts w:hint="eastAsia"/>
                <w:b/>
              </w:rPr>
              <w:t>南方稳航120天滚动持有债券C</w:t>
            </w:r>
          </w:p>
        </w:tc>
      </w:tr>
      <w:tr w14:paraId="6A85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87EA1F7">
            <w:pPr>
              <w:jc w:val="center"/>
            </w:pPr>
            <w:r>
              <w:rPr>
                <w:rFonts w:hint="eastAsia"/>
                <w:b/>
              </w:rPr>
              <w:t>项目</w:t>
            </w:r>
          </w:p>
        </w:tc>
        <w:tc>
          <w:tcPr>
            <w:tcW w:w="2491" w:type="dxa"/>
            <w:gridSpan w:val="2"/>
            <w:shd w:val="clear" w:color="auto" w:fill="BFBFBF"/>
            <w:vAlign w:val="center"/>
          </w:tcPr>
          <w:p w14:paraId="4966D86F">
            <w:pPr>
              <w:jc w:val="center"/>
            </w:pPr>
            <w:r>
              <w:rPr>
                <w:rFonts w:hint="eastAsia"/>
                <w:b/>
              </w:rPr>
              <w:t>本期2025年9月16日（基金合同生效日）至2025年12月31日</w:t>
            </w:r>
          </w:p>
        </w:tc>
      </w:tr>
      <w:tr w14:paraId="4C12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08BFF0F"/>
        </w:tc>
        <w:tc>
          <w:tcPr>
            <w:tcW w:w="2491" w:type="dxa"/>
            <w:shd w:val="clear" w:color="auto" w:fill="BFBFBF"/>
            <w:vAlign w:val="center"/>
          </w:tcPr>
          <w:p w14:paraId="6CED4EF7">
            <w:pPr>
              <w:jc w:val="center"/>
            </w:pPr>
            <w:r>
              <w:rPr>
                <w:rFonts w:hint="eastAsia"/>
                <w:b/>
              </w:rPr>
              <w:t>基金份额（份）</w:t>
            </w:r>
          </w:p>
        </w:tc>
        <w:tc>
          <w:tcPr>
            <w:tcW w:w="2907" w:type="dxa"/>
            <w:shd w:val="clear" w:color="auto" w:fill="BFBFBF"/>
            <w:vAlign w:val="center"/>
          </w:tcPr>
          <w:p w14:paraId="6400B100">
            <w:pPr>
              <w:jc w:val="center"/>
            </w:pPr>
            <w:r>
              <w:rPr>
                <w:rFonts w:hint="eastAsia"/>
                <w:b/>
              </w:rPr>
              <w:t>账面金额</w:t>
            </w:r>
          </w:p>
        </w:tc>
      </w:tr>
      <w:tr w14:paraId="2D57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183B68">
            <w:r>
              <w:rPr>
                <w:rFonts w:hint="eastAsia"/>
              </w:rPr>
              <w:t>基金合同生效日</w:t>
            </w:r>
          </w:p>
        </w:tc>
        <w:tc>
          <w:tcPr>
            <w:tcW w:w="2491" w:type="dxa"/>
            <w:vAlign w:val="center"/>
          </w:tcPr>
          <w:p w14:paraId="18FA92F1">
            <w:pPr>
              <w:jc w:val="right"/>
            </w:pPr>
            <w:r>
              <w:rPr>
                <w:rFonts w:hint="eastAsia"/>
              </w:rPr>
              <w:t>410,738,174.20</w:t>
            </w:r>
          </w:p>
        </w:tc>
        <w:tc>
          <w:tcPr>
            <w:tcW w:w="2907" w:type="dxa"/>
            <w:vAlign w:val="center"/>
          </w:tcPr>
          <w:p w14:paraId="25CBF7A7">
            <w:pPr>
              <w:jc w:val="right"/>
            </w:pPr>
            <w:r>
              <w:rPr>
                <w:rFonts w:hint="eastAsia"/>
              </w:rPr>
              <w:t>410,738,174.20</w:t>
            </w:r>
          </w:p>
        </w:tc>
      </w:tr>
      <w:tr w14:paraId="319B0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7B7372">
            <w:r>
              <w:rPr>
                <w:rFonts w:hint="eastAsia"/>
              </w:rPr>
              <w:t>本期申购</w:t>
            </w:r>
          </w:p>
        </w:tc>
        <w:tc>
          <w:tcPr>
            <w:tcW w:w="2491" w:type="dxa"/>
            <w:vAlign w:val="center"/>
          </w:tcPr>
          <w:p w14:paraId="146A1E13">
            <w:pPr>
              <w:jc w:val="right"/>
            </w:pPr>
            <w:r>
              <w:rPr>
                <w:rFonts w:hint="eastAsia"/>
              </w:rPr>
              <w:t>-</w:t>
            </w:r>
          </w:p>
        </w:tc>
        <w:tc>
          <w:tcPr>
            <w:tcW w:w="2907" w:type="dxa"/>
            <w:vAlign w:val="center"/>
          </w:tcPr>
          <w:p w14:paraId="0F1F3235">
            <w:pPr>
              <w:jc w:val="right"/>
            </w:pPr>
            <w:r>
              <w:rPr>
                <w:rFonts w:hint="eastAsia"/>
              </w:rPr>
              <w:t>-</w:t>
            </w:r>
          </w:p>
        </w:tc>
      </w:tr>
      <w:tr w14:paraId="6A58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473F38">
            <w:r>
              <w:rPr>
                <w:rFonts w:hint="eastAsia"/>
              </w:rPr>
              <w:t>本期赎回（以“-”号填列）</w:t>
            </w:r>
          </w:p>
        </w:tc>
        <w:tc>
          <w:tcPr>
            <w:tcW w:w="2491" w:type="dxa"/>
            <w:vAlign w:val="center"/>
          </w:tcPr>
          <w:p w14:paraId="1031729F">
            <w:pPr>
              <w:jc w:val="right"/>
            </w:pPr>
            <w:r>
              <w:rPr>
                <w:rFonts w:hint="eastAsia"/>
              </w:rPr>
              <w:t>-</w:t>
            </w:r>
          </w:p>
        </w:tc>
        <w:tc>
          <w:tcPr>
            <w:tcW w:w="2907" w:type="dxa"/>
            <w:vAlign w:val="center"/>
          </w:tcPr>
          <w:p w14:paraId="3E7829D9">
            <w:pPr>
              <w:jc w:val="right"/>
            </w:pPr>
            <w:r>
              <w:rPr>
                <w:rFonts w:hint="eastAsia"/>
              </w:rPr>
              <w:t>-</w:t>
            </w:r>
          </w:p>
        </w:tc>
      </w:tr>
      <w:tr w14:paraId="5421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AA918E">
            <w:r>
              <w:rPr>
                <w:rFonts w:hint="eastAsia"/>
              </w:rPr>
              <w:t>基金拆分/份额折算前</w:t>
            </w:r>
          </w:p>
        </w:tc>
        <w:tc>
          <w:tcPr>
            <w:tcW w:w="2491" w:type="dxa"/>
            <w:vAlign w:val="center"/>
          </w:tcPr>
          <w:p w14:paraId="2172EA07">
            <w:pPr>
              <w:jc w:val="right"/>
            </w:pPr>
            <w:r>
              <w:rPr>
                <w:rFonts w:hint="eastAsia"/>
              </w:rPr>
              <w:t>-</w:t>
            </w:r>
          </w:p>
        </w:tc>
        <w:tc>
          <w:tcPr>
            <w:tcW w:w="2907" w:type="dxa"/>
            <w:vAlign w:val="center"/>
          </w:tcPr>
          <w:p w14:paraId="29A2A52C">
            <w:pPr>
              <w:jc w:val="right"/>
            </w:pPr>
            <w:r>
              <w:rPr>
                <w:rFonts w:hint="eastAsia"/>
              </w:rPr>
              <w:t>-</w:t>
            </w:r>
          </w:p>
        </w:tc>
      </w:tr>
      <w:tr w14:paraId="65A55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69BF71">
            <w:r>
              <w:rPr>
                <w:rFonts w:hint="eastAsia"/>
              </w:rPr>
              <w:t>基金拆分/份额折算调整</w:t>
            </w:r>
          </w:p>
        </w:tc>
        <w:tc>
          <w:tcPr>
            <w:tcW w:w="2491" w:type="dxa"/>
            <w:vAlign w:val="center"/>
          </w:tcPr>
          <w:p w14:paraId="332B5192">
            <w:pPr>
              <w:jc w:val="right"/>
            </w:pPr>
            <w:r>
              <w:rPr>
                <w:rFonts w:hint="eastAsia"/>
              </w:rPr>
              <w:t>-</w:t>
            </w:r>
          </w:p>
        </w:tc>
        <w:tc>
          <w:tcPr>
            <w:tcW w:w="2907" w:type="dxa"/>
            <w:vAlign w:val="center"/>
          </w:tcPr>
          <w:p w14:paraId="409E077F">
            <w:pPr>
              <w:jc w:val="right"/>
            </w:pPr>
            <w:r>
              <w:rPr>
                <w:rFonts w:hint="eastAsia"/>
              </w:rPr>
              <w:t>-</w:t>
            </w:r>
          </w:p>
        </w:tc>
      </w:tr>
      <w:tr w14:paraId="29C37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3630A8">
            <w:r>
              <w:rPr>
                <w:rFonts w:hint="eastAsia"/>
              </w:rPr>
              <w:t>本期申购</w:t>
            </w:r>
          </w:p>
        </w:tc>
        <w:tc>
          <w:tcPr>
            <w:tcW w:w="2491" w:type="dxa"/>
            <w:vAlign w:val="center"/>
          </w:tcPr>
          <w:p w14:paraId="0DF16217">
            <w:pPr>
              <w:jc w:val="right"/>
            </w:pPr>
            <w:r>
              <w:rPr>
                <w:rFonts w:hint="eastAsia"/>
              </w:rPr>
              <w:t>-</w:t>
            </w:r>
          </w:p>
        </w:tc>
        <w:tc>
          <w:tcPr>
            <w:tcW w:w="2907" w:type="dxa"/>
            <w:vAlign w:val="center"/>
          </w:tcPr>
          <w:p w14:paraId="4FEE2A59">
            <w:pPr>
              <w:jc w:val="right"/>
            </w:pPr>
            <w:r>
              <w:rPr>
                <w:rFonts w:hint="eastAsia"/>
              </w:rPr>
              <w:t>-</w:t>
            </w:r>
          </w:p>
        </w:tc>
      </w:tr>
      <w:tr w14:paraId="14B5E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1A9B88">
            <w:r>
              <w:rPr>
                <w:rFonts w:hint="eastAsia"/>
              </w:rPr>
              <w:t>本期赎回（以“-”号填列）</w:t>
            </w:r>
          </w:p>
        </w:tc>
        <w:tc>
          <w:tcPr>
            <w:tcW w:w="2491" w:type="dxa"/>
            <w:vAlign w:val="center"/>
          </w:tcPr>
          <w:p w14:paraId="64E75BE8">
            <w:pPr>
              <w:jc w:val="right"/>
            </w:pPr>
            <w:r>
              <w:rPr>
                <w:rFonts w:hint="eastAsia"/>
              </w:rPr>
              <w:t>-</w:t>
            </w:r>
          </w:p>
        </w:tc>
        <w:tc>
          <w:tcPr>
            <w:tcW w:w="2907" w:type="dxa"/>
            <w:vAlign w:val="center"/>
          </w:tcPr>
          <w:p w14:paraId="7530EC77">
            <w:pPr>
              <w:jc w:val="right"/>
            </w:pPr>
            <w:r>
              <w:rPr>
                <w:rFonts w:hint="eastAsia"/>
              </w:rPr>
              <w:t>-</w:t>
            </w:r>
          </w:p>
        </w:tc>
      </w:tr>
      <w:tr w14:paraId="22F8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9213A4">
            <w:r>
              <w:rPr>
                <w:rFonts w:hint="eastAsia"/>
              </w:rPr>
              <w:t>本期末</w:t>
            </w:r>
          </w:p>
        </w:tc>
        <w:tc>
          <w:tcPr>
            <w:tcW w:w="2491" w:type="dxa"/>
            <w:vAlign w:val="center"/>
          </w:tcPr>
          <w:p w14:paraId="58742C90">
            <w:pPr>
              <w:jc w:val="right"/>
            </w:pPr>
            <w:r>
              <w:rPr>
                <w:rFonts w:hint="eastAsia"/>
              </w:rPr>
              <w:t>410,738,174.20</w:t>
            </w:r>
          </w:p>
        </w:tc>
        <w:tc>
          <w:tcPr>
            <w:tcW w:w="2907" w:type="dxa"/>
            <w:vAlign w:val="center"/>
          </w:tcPr>
          <w:p w14:paraId="391F0CD8">
            <w:pPr>
              <w:jc w:val="right"/>
            </w:pPr>
            <w:r>
              <w:rPr>
                <w:rFonts w:hint="eastAsia"/>
              </w:rPr>
              <w:t>410,738,174.20</w:t>
            </w:r>
          </w:p>
        </w:tc>
      </w:tr>
    </w:tbl>
    <w:p w14:paraId="1EC98FD5">
      <w:pPr>
        <w:pStyle w:val="47"/>
        <w:rPr>
          <w:rFonts w:hint="eastAsia"/>
        </w:rPr>
      </w:pPr>
      <w:r>
        <w:rPr>
          <w:rFonts w:hint="eastAsia"/>
        </w:rPr>
        <w:t>注：1.本基金申购含红利再投份额（如有）、转换入份额（如有）；赎回含转出份额（如有）。</w:t>
      </w:r>
    </w:p>
    <w:p w14:paraId="4CE84C5A">
      <w:pPr>
        <w:pStyle w:val="47"/>
        <w:rPr>
          <w:rFonts w:hint="eastAsia"/>
        </w:rPr>
      </w:pPr>
      <w:r>
        <w:tab/>
      </w:r>
      <w:r>
        <w:rPr>
          <w:rFonts w:hint="eastAsia"/>
        </w:rPr>
        <w:t>2.本基金合同于2025年9月16日生效，基金合同生效日的基金份额总额为2,055,520,849.67份基金份额，其中认购资金利息折合491,239.12份基金份额。</w:t>
      </w:r>
    </w:p>
    <w:p w14:paraId="67E719A9">
      <w:pPr>
        <w:pStyle w:val="35"/>
      </w:pPr>
      <w:bookmarkStart w:id="82" w:name="_Toc82"/>
      <w:r>
        <w:t xml:space="preserve"> 未分配利润 </w:t>
      </w:r>
      <w:bookmarkEnd w:id="82"/>
    </w:p>
    <w:p w14:paraId="0E6F1D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54E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062163E">
            <w:pPr>
              <w:jc w:val="center"/>
            </w:pPr>
            <w:r>
              <w:rPr>
                <w:rFonts w:hint="eastAsia"/>
                <w:b/>
              </w:rPr>
              <w:t>南方稳航120天滚动持有债券A</w:t>
            </w:r>
          </w:p>
        </w:tc>
      </w:tr>
      <w:tr w14:paraId="5FAA1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94BA559">
            <w:pPr>
              <w:jc w:val="center"/>
            </w:pPr>
            <w:r>
              <w:rPr>
                <w:rFonts w:hint="eastAsia"/>
                <w:b/>
              </w:rPr>
              <w:t>项目</w:t>
            </w:r>
          </w:p>
        </w:tc>
        <w:tc>
          <w:tcPr>
            <w:tcW w:w="2076" w:type="dxa"/>
            <w:shd w:val="clear" w:color="auto" w:fill="BFBFBF"/>
            <w:vAlign w:val="center"/>
          </w:tcPr>
          <w:p w14:paraId="7E08F49F">
            <w:pPr>
              <w:jc w:val="center"/>
            </w:pPr>
            <w:r>
              <w:rPr>
                <w:rFonts w:hint="eastAsia"/>
                <w:b/>
              </w:rPr>
              <w:t>已实现部分</w:t>
            </w:r>
          </w:p>
        </w:tc>
        <w:tc>
          <w:tcPr>
            <w:tcW w:w="2076" w:type="dxa"/>
            <w:shd w:val="clear" w:color="auto" w:fill="BFBFBF"/>
            <w:vAlign w:val="center"/>
          </w:tcPr>
          <w:p w14:paraId="73DFEBD4">
            <w:pPr>
              <w:jc w:val="center"/>
            </w:pPr>
            <w:r>
              <w:rPr>
                <w:rFonts w:hint="eastAsia"/>
                <w:b/>
              </w:rPr>
              <w:t>未实现部分</w:t>
            </w:r>
          </w:p>
        </w:tc>
        <w:tc>
          <w:tcPr>
            <w:tcW w:w="2076" w:type="dxa"/>
            <w:shd w:val="clear" w:color="auto" w:fill="BFBFBF"/>
            <w:vAlign w:val="center"/>
          </w:tcPr>
          <w:p w14:paraId="59B07CB3">
            <w:pPr>
              <w:jc w:val="center"/>
            </w:pPr>
            <w:r>
              <w:rPr>
                <w:rFonts w:hint="eastAsia"/>
                <w:b/>
              </w:rPr>
              <w:t>未分配利润合计</w:t>
            </w:r>
          </w:p>
        </w:tc>
      </w:tr>
      <w:tr w14:paraId="4630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A436A6">
            <w:r>
              <w:rPr>
                <w:rFonts w:hint="eastAsia"/>
              </w:rPr>
              <w:t>基金合同生效日</w:t>
            </w:r>
          </w:p>
        </w:tc>
        <w:tc>
          <w:tcPr>
            <w:tcW w:w="2076" w:type="dxa"/>
            <w:vAlign w:val="center"/>
          </w:tcPr>
          <w:p w14:paraId="76B7EA6E">
            <w:pPr>
              <w:jc w:val="right"/>
            </w:pPr>
            <w:r>
              <w:rPr>
                <w:rFonts w:hint="eastAsia"/>
              </w:rPr>
              <w:t>-</w:t>
            </w:r>
          </w:p>
        </w:tc>
        <w:tc>
          <w:tcPr>
            <w:tcW w:w="2076" w:type="dxa"/>
            <w:vAlign w:val="center"/>
          </w:tcPr>
          <w:p w14:paraId="41C52393">
            <w:pPr>
              <w:jc w:val="right"/>
            </w:pPr>
            <w:r>
              <w:rPr>
                <w:rFonts w:hint="eastAsia"/>
              </w:rPr>
              <w:t>-</w:t>
            </w:r>
          </w:p>
        </w:tc>
        <w:tc>
          <w:tcPr>
            <w:tcW w:w="2076" w:type="dxa"/>
            <w:vAlign w:val="center"/>
          </w:tcPr>
          <w:p w14:paraId="1A4283B6">
            <w:pPr>
              <w:jc w:val="right"/>
            </w:pPr>
            <w:r>
              <w:rPr>
                <w:rFonts w:hint="eastAsia"/>
              </w:rPr>
              <w:t>-</w:t>
            </w:r>
          </w:p>
        </w:tc>
      </w:tr>
      <w:tr w14:paraId="3104E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7D6F36">
            <w:r>
              <w:rPr>
                <w:rFonts w:hint="eastAsia"/>
              </w:rPr>
              <w:t>加：会计政策变更</w:t>
            </w:r>
          </w:p>
        </w:tc>
        <w:tc>
          <w:tcPr>
            <w:tcW w:w="2076" w:type="dxa"/>
            <w:vAlign w:val="center"/>
          </w:tcPr>
          <w:p w14:paraId="3E00B73C">
            <w:pPr>
              <w:jc w:val="right"/>
            </w:pPr>
            <w:r>
              <w:rPr>
                <w:rFonts w:hint="eastAsia"/>
              </w:rPr>
              <w:t>-</w:t>
            </w:r>
          </w:p>
        </w:tc>
        <w:tc>
          <w:tcPr>
            <w:tcW w:w="2076" w:type="dxa"/>
            <w:vAlign w:val="center"/>
          </w:tcPr>
          <w:p w14:paraId="48DEB56E">
            <w:pPr>
              <w:jc w:val="right"/>
            </w:pPr>
            <w:r>
              <w:rPr>
                <w:rFonts w:hint="eastAsia"/>
              </w:rPr>
              <w:t>-</w:t>
            </w:r>
          </w:p>
        </w:tc>
        <w:tc>
          <w:tcPr>
            <w:tcW w:w="2076" w:type="dxa"/>
            <w:vAlign w:val="center"/>
          </w:tcPr>
          <w:p w14:paraId="4E843A49">
            <w:pPr>
              <w:jc w:val="right"/>
            </w:pPr>
            <w:r>
              <w:rPr>
                <w:rFonts w:hint="eastAsia"/>
              </w:rPr>
              <w:t>-</w:t>
            </w:r>
          </w:p>
        </w:tc>
      </w:tr>
      <w:tr w14:paraId="7EC5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5E4204">
            <w:r>
              <w:rPr>
                <w:rFonts w:hint="eastAsia"/>
              </w:rPr>
              <w:t xml:space="preserve">      前期差错更正</w:t>
            </w:r>
          </w:p>
        </w:tc>
        <w:tc>
          <w:tcPr>
            <w:tcW w:w="2076" w:type="dxa"/>
            <w:vAlign w:val="center"/>
          </w:tcPr>
          <w:p w14:paraId="286F751C">
            <w:pPr>
              <w:jc w:val="right"/>
            </w:pPr>
            <w:r>
              <w:rPr>
                <w:rFonts w:hint="eastAsia"/>
              </w:rPr>
              <w:t>-</w:t>
            </w:r>
          </w:p>
        </w:tc>
        <w:tc>
          <w:tcPr>
            <w:tcW w:w="2076" w:type="dxa"/>
            <w:vAlign w:val="center"/>
          </w:tcPr>
          <w:p w14:paraId="7FFD6202">
            <w:pPr>
              <w:jc w:val="right"/>
            </w:pPr>
            <w:r>
              <w:rPr>
                <w:rFonts w:hint="eastAsia"/>
              </w:rPr>
              <w:t>-</w:t>
            </w:r>
          </w:p>
        </w:tc>
        <w:tc>
          <w:tcPr>
            <w:tcW w:w="2076" w:type="dxa"/>
            <w:vAlign w:val="center"/>
          </w:tcPr>
          <w:p w14:paraId="51297AC4">
            <w:pPr>
              <w:jc w:val="right"/>
            </w:pPr>
            <w:r>
              <w:rPr>
                <w:rFonts w:hint="eastAsia"/>
              </w:rPr>
              <w:t>-</w:t>
            </w:r>
          </w:p>
        </w:tc>
      </w:tr>
      <w:tr w14:paraId="3AED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E11A00">
            <w:r>
              <w:rPr>
                <w:rFonts w:hint="eastAsia"/>
              </w:rPr>
              <w:t xml:space="preserve">      其他</w:t>
            </w:r>
          </w:p>
        </w:tc>
        <w:tc>
          <w:tcPr>
            <w:tcW w:w="2076" w:type="dxa"/>
            <w:vAlign w:val="center"/>
          </w:tcPr>
          <w:p w14:paraId="6B628A06">
            <w:pPr>
              <w:jc w:val="right"/>
            </w:pPr>
            <w:r>
              <w:rPr>
                <w:rFonts w:hint="eastAsia"/>
              </w:rPr>
              <w:t>-</w:t>
            </w:r>
          </w:p>
        </w:tc>
        <w:tc>
          <w:tcPr>
            <w:tcW w:w="2076" w:type="dxa"/>
            <w:vAlign w:val="center"/>
          </w:tcPr>
          <w:p w14:paraId="63921B00">
            <w:pPr>
              <w:jc w:val="right"/>
            </w:pPr>
            <w:r>
              <w:rPr>
                <w:rFonts w:hint="eastAsia"/>
              </w:rPr>
              <w:t>-</w:t>
            </w:r>
          </w:p>
        </w:tc>
        <w:tc>
          <w:tcPr>
            <w:tcW w:w="2076" w:type="dxa"/>
            <w:vAlign w:val="center"/>
          </w:tcPr>
          <w:p w14:paraId="78D1D250">
            <w:pPr>
              <w:jc w:val="right"/>
            </w:pPr>
            <w:r>
              <w:rPr>
                <w:rFonts w:hint="eastAsia"/>
              </w:rPr>
              <w:t>-</w:t>
            </w:r>
          </w:p>
        </w:tc>
      </w:tr>
      <w:tr w14:paraId="77E8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FD2A13">
            <w:r>
              <w:rPr>
                <w:rFonts w:hint="eastAsia"/>
              </w:rPr>
              <w:t>本期期初</w:t>
            </w:r>
          </w:p>
        </w:tc>
        <w:tc>
          <w:tcPr>
            <w:tcW w:w="2076" w:type="dxa"/>
            <w:vAlign w:val="center"/>
          </w:tcPr>
          <w:p w14:paraId="17A9AD50">
            <w:pPr>
              <w:jc w:val="right"/>
            </w:pPr>
            <w:r>
              <w:rPr>
                <w:rFonts w:hint="eastAsia"/>
              </w:rPr>
              <w:t>-</w:t>
            </w:r>
          </w:p>
        </w:tc>
        <w:tc>
          <w:tcPr>
            <w:tcW w:w="2076" w:type="dxa"/>
            <w:vAlign w:val="center"/>
          </w:tcPr>
          <w:p w14:paraId="7D891642">
            <w:pPr>
              <w:jc w:val="right"/>
            </w:pPr>
            <w:r>
              <w:rPr>
                <w:rFonts w:hint="eastAsia"/>
              </w:rPr>
              <w:t>-</w:t>
            </w:r>
          </w:p>
        </w:tc>
        <w:tc>
          <w:tcPr>
            <w:tcW w:w="2076" w:type="dxa"/>
            <w:vAlign w:val="center"/>
          </w:tcPr>
          <w:p w14:paraId="1A523584">
            <w:pPr>
              <w:jc w:val="right"/>
            </w:pPr>
            <w:r>
              <w:rPr>
                <w:rFonts w:hint="eastAsia"/>
              </w:rPr>
              <w:t>-</w:t>
            </w:r>
          </w:p>
        </w:tc>
      </w:tr>
      <w:tr w14:paraId="287C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5A4B12">
            <w:r>
              <w:rPr>
                <w:rFonts w:hint="eastAsia"/>
              </w:rPr>
              <w:t>本期利润</w:t>
            </w:r>
          </w:p>
        </w:tc>
        <w:tc>
          <w:tcPr>
            <w:tcW w:w="2076" w:type="dxa"/>
            <w:vAlign w:val="center"/>
          </w:tcPr>
          <w:p w14:paraId="2E100B3A">
            <w:pPr>
              <w:jc w:val="right"/>
            </w:pPr>
            <w:r>
              <w:rPr>
                <w:rFonts w:hint="eastAsia"/>
              </w:rPr>
              <w:t>9,959,575.38</w:t>
            </w:r>
          </w:p>
        </w:tc>
        <w:tc>
          <w:tcPr>
            <w:tcW w:w="2076" w:type="dxa"/>
            <w:vAlign w:val="center"/>
          </w:tcPr>
          <w:p w14:paraId="4A83A0A8">
            <w:pPr>
              <w:jc w:val="right"/>
            </w:pPr>
            <w:r>
              <w:rPr>
                <w:rFonts w:hint="eastAsia"/>
              </w:rPr>
              <w:t>-5,946,441.41</w:t>
            </w:r>
          </w:p>
        </w:tc>
        <w:tc>
          <w:tcPr>
            <w:tcW w:w="2076" w:type="dxa"/>
            <w:vAlign w:val="center"/>
          </w:tcPr>
          <w:p w14:paraId="638F4537">
            <w:pPr>
              <w:jc w:val="right"/>
            </w:pPr>
            <w:r>
              <w:rPr>
                <w:rFonts w:hint="eastAsia"/>
              </w:rPr>
              <w:t>4,013,133.97</w:t>
            </w:r>
          </w:p>
        </w:tc>
      </w:tr>
      <w:tr w14:paraId="6FF3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D1199B">
            <w:r>
              <w:rPr>
                <w:rFonts w:hint="eastAsia"/>
              </w:rPr>
              <w:t>本期基金份额交易产生的变动数</w:t>
            </w:r>
          </w:p>
        </w:tc>
        <w:tc>
          <w:tcPr>
            <w:tcW w:w="2076" w:type="dxa"/>
            <w:vAlign w:val="center"/>
          </w:tcPr>
          <w:p w14:paraId="013DD5E3">
            <w:pPr>
              <w:jc w:val="right"/>
            </w:pPr>
            <w:r>
              <w:rPr>
                <w:rFonts w:hint="eastAsia"/>
              </w:rPr>
              <w:t>-</w:t>
            </w:r>
          </w:p>
        </w:tc>
        <w:tc>
          <w:tcPr>
            <w:tcW w:w="2076" w:type="dxa"/>
            <w:vAlign w:val="center"/>
          </w:tcPr>
          <w:p w14:paraId="441EFFAB">
            <w:pPr>
              <w:jc w:val="right"/>
            </w:pPr>
            <w:r>
              <w:rPr>
                <w:rFonts w:hint="eastAsia"/>
              </w:rPr>
              <w:t>-</w:t>
            </w:r>
          </w:p>
        </w:tc>
        <w:tc>
          <w:tcPr>
            <w:tcW w:w="2076" w:type="dxa"/>
            <w:vAlign w:val="center"/>
          </w:tcPr>
          <w:p w14:paraId="7113B54A">
            <w:pPr>
              <w:jc w:val="right"/>
            </w:pPr>
            <w:r>
              <w:rPr>
                <w:rFonts w:hint="eastAsia"/>
              </w:rPr>
              <w:t>-</w:t>
            </w:r>
          </w:p>
        </w:tc>
      </w:tr>
      <w:tr w14:paraId="31944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978E89">
            <w:r>
              <w:rPr>
                <w:rFonts w:hint="eastAsia"/>
              </w:rPr>
              <w:t>其中：基金申购款</w:t>
            </w:r>
          </w:p>
        </w:tc>
        <w:tc>
          <w:tcPr>
            <w:tcW w:w="2076" w:type="dxa"/>
            <w:vAlign w:val="center"/>
          </w:tcPr>
          <w:p w14:paraId="0193F653">
            <w:pPr>
              <w:jc w:val="right"/>
            </w:pPr>
            <w:r>
              <w:rPr>
                <w:rFonts w:hint="eastAsia"/>
              </w:rPr>
              <w:t>-</w:t>
            </w:r>
          </w:p>
        </w:tc>
        <w:tc>
          <w:tcPr>
            <w:tcW w:w="2076" w:type="dxa"/>
            <w:vAlign w:val="center"/>
          </w:tcPr>
          <w:p w14:paraId="568524B9">
            <w:pPr>
              <w:jc w:val="right"/>
            </w:pPr>
            <w:r>
              <w:rPr>
                <w:rFonts w:hint="eastAsia"/>
              </w:rPr>
              <w:t>-</w:t>
            </w:r>
          </w:p>
        </w:tc>
        <w:tc>
          <w:tcPr>
            <w:tcW w:w="2076" w:type="dxa"/>
            <w:vAlign w:val="center"/>
          </w:tcPr>
          <w:p w14:paraId="30134680">
            <w:pPr>
              <w:jc w:val="right"/>
            </w:pPr>
            <w:r>
              <w:rPr>
                <w:rFonts w:hint="eastAsia"/>
              </w:rPr>
              <w:t>-</w:t>
            </w:r>
          </w:p>
        </w:tc>
      </w:tr>
      <w:tr w14:paraId="6D62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01D109">
            <w:r>
              <w:rPr>
                <w:rFonts w:hint="eastAsia"/>
              </w:rPr>
              <w:t xml:space="preserve">      基金赎回款</w:t>
            </w:r>
          </w:p>
        </w:tc>
        <w:tc>
          <w:tcPr>
            <w:tcW w:w="2076" w:type="dxa"/>
            <w:vAlign w:val="center"/>
          </w:tcPr>
          <w:p w14:paraId="52E8E77C">
            <w:pPr>
              <w:jc w:val="right"/>
            </w:pPr>
            <w:r>
              <w:rPr>
                <w:rFonts w:hint="eastAsia"/>
              </w:rPr>
              <w:t>-</w:t>
            </w:r>
          </w:p>
        </w:tc>
        <w:tc>
          <w:tcPr>
            <w:tcW w:w="2076" w:type="dxa"/>
            <w:vAlign w:val="center"/>
          </w:tcPr>
          <w:p w14:paraId="65BBD3A2">
            <w:pPr>
              <w:jc w:val="right"/>
            </w:pPr>
            <w:r>
              <w:rPr>
                <w:rFonts w:hint="eastAsia"/>
              </w:rPr>
              <w:t>-</w:t>
            </w:r>
          </w:p>
        </w:tc>
        <w:tc>
          <w:tcPr>
            <w:tcW w:w="2076" w:type="dxa"/>
            <w:vAlign w:val="center"/>
          </w:tcPr>
          <w:p w14:paraId="2C516FF3">
            <w:pPr>
              <w:jc w:val="right"/>
            </w:pPr>
            <w:r>
              <w:rPr>
                <w:rFonts w:hint="eastAsia"/>
              </w:rPr>
              <w:t>-</w:t>
            </w:r>
          </w:p>
        </w:tc>
      </w:tr>
      <w:tr w14:paraId="5BD62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7849C7">
            <w:r>
              <w:rPr>
                <w:rFonts w:hint="eastAsia"/>
              </w:rPr>
              <w:t>本期已分配利润</w:t>
            </w:r>
          </w:p>
        </w:tc>
        <w:tc>
          <w:tcPr>
            <w:tcW w:w="2076" w:type="dxa"/>
            <w:vAlign w:val="center"/>
          </w:tcPr>
          <w:p w14:paraId="724F72D0">
            <w:pPr>
              <w:jc w:val="right"/>
            </w:pPr>
            <w:r>
              <w:rPr>
                <w:rFonts w:hint="eastAsia"/>
              </w:rPr>
              <w:t>-</w:t>
            </w:r>
          </w:p>
        </w:tc>
        <w:tc>
          <w:tcPr>
            <w:tcW w:w="2076" w:type="dxa"/>
            <w:vAlign w:val="center"/>
          </w:tcPr>
          <w:p w14:paraId="22AB0A90">
            <w:pPr>
              <w:jc w:val="right"/>
            </w:pPr>
            <w:r>
              <w:rPr>
                <w:rFonts w:hint="eastAsia"/>
              </w:rPr>
              <w:t>-</w:t>
            </w:r>
          </w:p>
        </w:tc>
        <w:tc>
          <w:tcPr>
            <w:tcW w:w="2076" w:type="dxa"/>
            <w:vAlign w:val="center"/>
          </w:tcPr>
          <w:p w14:paraId="4C94C1B7">
            <w:pPr>
              <w:jc w:val="right"/>
            </w:pPr>
            <w:r>
              <w:rPr>
                <w:rFonts w:hint="eastAsia"/>
              </w:rPr>
              <w:t>-</w:t>
            </w:r>
          </w:p>
        </w:tc>
      </w:tr>
      <w:tr w14:paraId="59F7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D885DB">
            <w:r>
              <w:rPr>
                <w:rFonts w:hint="eastAsia"/>
              </w:rPr>
              <w:t>本期末</w:t>
            </w:r>
          </w:p>
        </w:tc>
        <w:tc>
          <w:tcPr>
            <w:tcW w:w="2076" w:type="dxa"/>
            <w:vAlign w:val="center"/>
          </w:tcPr>
          <w:p w14:paraId="521EDE18">
            <w:pPr>
              <w:jc w:val="right"/>
            </w:pPr>
            <w:r>
              <w:rPr>
                <w:rFonts w:hint="eastAsia"/>
              </w:rPr>
              <w:t>9,959,575.38</w:t>
            </w:r>
          </w:p>
        </w:tc>
        <w:tc>
          <w:tcPr>
            <w:tcW w:w="2076" w:type="dxa"/>
            <w:vAlign w:val="center"/>
          </w:tcPr>
          <w:p w14:paraId="4378A641">
            <w:pPr>
              <w:jc w:val="right"/>
            </w:pPr>
            <w:r>
              <w:rPr>
                <w:rFonts w:hint="eastAsia"/>
              </w:rPr>
              <w:t>-5,946,441.41</w:t>
            </w:r>
          </w:p>
        </w:tc>
        <w:tc>
          <w:tcPr>
            <w:tcW w:w="2076" w:type="dxa"/>
            <w:vAlign w:val="center"/>
          </w:tcPr>
          <w:p w14:paraId="0B3D8C16">
            <w:pPr>
              <w:jc w:val="right"/>
            </w:pPr>
            <w:r>
              <w:rPr>
                <w:rFonts w:hint="eastAsia"/>
              </w:rPr>
              <w:t>4,013,133.97</w:t>
            </w:r>
          </w:p>
        </w:tc>
      </w:tr>
    </w:tbl>
    <w:p w14:paraId="4684DA5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C62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60F40B4">
            <w:pPr>
              <w:jc w:val="center"/>
            </w:pPr>
            <w:r>
              <w:rPr>
                <w:rFonts w:hint="eastAsia"/>
                <w:b/>
              </w:rPr>
              <w:t>南方稳航120天滚动持有债券C</w:t>
            </w:r>
          </w:p>
        </w:tc>
      </w:tr>
      <w:tr w14:paraId="5EB4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E5B42D0">
            <w:pPr>
              <w:jc w:val="center"/>
            </w:pPr>
            <w:r>
              <w:rPr>
                <w:rFonts w:hint="eastAsia"/>
                <w:b/>
              </w:rPr>
              <w:t>项目</w:t>
            </w:r>
          </w:p>
        </w:tc>
        <w:tc>
          <w:tcPr>
            <w:tcW w:w="2076" w:type="dxa"/>
            <w:shd w:val="clear" w:color="auto" w:fill="BFBFBF"/>
            <w:vAlign w:val="center"/>
          </w:tcPr>
          <w:p w14:paraId="41053529">
            <w:pPr>
              <w:jc w:val="center"/>
            </w:pPr>
            <w:r>
              <w:rPr>
                <w:rFonts w:hint="eastAsia"/>
                <w:b/>
              </w:rPr>
              <w:t>已实现部分</w:t>
            </w:r>
          </w:p>
        </w:tc>
        <w:tc>
          <w:tcPr>
            <w:tcW w:w="2076" w:type="dxa"/>
            <w:shd w:val="clear" w:color="auto" w:fill="BFBFBF"/>
            <w:vAlign w:val="center"/>
          </w:tcPr>
          <w:p w14:paraId="17B4F164">
            <w:pPr>
              <w:jc w:val="center"/>
            </w:pPr>
            <w:r>
              <w:rPr>
                <w:rFonts w:hint="eastAsia"/>
                <w:b/>
              </w:rPr>
              <w:t>未实现部分</w:t>
            </w:r>
          </w:p>
        </w:tc>
        <w:tc>
          <w:tcPr>
            <w:tcW w:w="2076" w:type="dxa"/>
            <w:shd w:val="clear" w:color="auto" w:fill="BFBFBF"/>
            <w:vAlign w:val="center"/>
          </w:tcPr>
          <w:p w14:paraId="0D406484">
            <w:pPr>
              <w:jc w:val="center"/>
            </w:pPr>
            <w:r>
              <w:rPr>
                <w:rFonts w:hint="eastAsia"/>
                <w:b/>
              </w:rPr>
              <w:t>未分配利润合计</w:t>
            </w:r>
          </w:p>
        </w:tc>
      </w:tr>
      <w:tr w14:paraId="4291D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3D9148">
            <w:r>
              <w:rPr>
                <w:rFonts w:hint="eastAsia"/>
              </w:rPr>
              <w:t>基金合同生效日</w:t>
            </w:r>
          </w:p>
        </w:tc>
        <w:tc>
          <w:tcPr>
            <w:tcW w:w="2076" w:type="dxa"/>
            <w:vAlign w:val="center"/>
          </w:tcPr>
          <w:p w14:paraId="44B23B40">
            <w:pPr>
              <w:jc w:val="right"/>
            </w:pPr>
            <w:r>
              <w:rPr>
                <w:rFonts w:hint="eastAsia"/>
              </w:rPr>
              <w:t>-</w:t>
            </w:r>
          </w:p>
        </w:tc>
        <w:tc>
          <w:tcPr>
            <w:tcW w:w="2076" w:type="dxa"/>
            <w:vAlign w:val="center"/>
          </w:tcPr>
          <w:p w14:paraId="2471A3B0">
            <w:pPr>
              <w:jc w:val="right"/>
            </w:pPr>
            <w:r>
              <w:rPr>
                <w:rFonts w:hint="eastAsia"/>
              </w:rPr>
              <w:t>-</w:t>
            </w:r>
          </w:p>
        </w:tc>
        <w:tc>
          <w:tcPr>
            <w:tcW w:w="2076" w:type="dxa"/>
            <w:vAlign w:val="center"/>
          </w:tcPr>
          <w:p w14:paraId="09363E2C">
            <w:pPr>
              <w:jc w:val="right"/>
            </w:pPr>
            <w:r>
              <w:rPr>
                <w:rFonts w:hint="eastAsia"/>
              </w:rPr>
              <w:t>-</w:t>
            </w:r>
          </w:p>
        </w:tc>
      </w:tr>
      <w:tr w14:paraId="69B57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38E8EB">
            <w:r>
              <w:rPr>
                <w:rFonts w:hint="eastAsia"/>
              </w:rPr>
              <w:t>加：会计政策变更</w:t>
            </w:r>
          </w:p>
        </w:tc>
        <w:tc>
          <w:tcPr>
            <w:tcW w:w="2076" w:type="dxa"/>
            <w:vAlign w:val="center"/>
          </w:tcPr>
          <w:p w14:paraId="19EF9AE1">
            <w:pPr>
              <w:jc w:val="right"/>
            </w:pPr>
            <w:r>
              <w:rPr>
                <w:rFonts w:hint="eastAsia"/>
              </w:rPr>
              <w:t>-</w:t>
            </w:r>
          </w:p>
        </w:tc>
        <w:tc>
          <w:tcPr>
            <w:tcW w:w="2076" w:type="dxa"/>
            <w:vAlign w:val="center"/>
          </w:tcPr>
          <w:p w14:paraId="2A12A0A5">
            <w:pPr>
              <w:jc w:val="right"/>
            </w:pPr>
            <w:r>
              <w:rPr>
                <w:rFonts w:hint="eastAsia"/>
              </w:rPr>
              <w:t>-</w:t>
            </w:r>
          </w:p>
        </w:tc>
        <w:tc>
          <w:tcPr>
            <w:tcW w:w="2076" w:type="dxa"/>
            <w:vAlign w:val="center"/>
          </w:tcPr>
          <w:p w14:paraId="0C95B1DA">
            <w:pPr>
              <w:jc w:val="right"/>
            </w:pPr>
            <w:r>
              <w:rPr>
                <w:rFonts w:hint="eastAsia"/>
              </w:rPr>
              <w:t>-</w:t>
            </w:r>
          </w:p>
        </w:tc>
      </w:tr>
      <w:tr w14:paraId="21F5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CDB4F1">
            <w:r>
              <w:rPr>
                <w:rFonts w:hint="eastAsia"/>
              </w:rPr>
              <w:t xml:space="preserve">      前期差错更正</w:t>
            </w:r>
          </w:p>
        </w:tc>
        <w:tc>
          <w:tcPr>
            <w:tcW w:w="2076" w:type="dxa"/>
            <w:vAlign w:val="center"/>
          </w:tcPr>
          <w:p w14:paraId="6D5E39F5">
            <w:pPr>
              <w:jc w:val="right"/>
            </w:pPr>
            <w:r>
              <w:rPr>
                <w:rFonts w:hint="eastAsia"/>
              </w:rPr>
              <w:t>-</w:t>
            </w:r>
          </w:p>
        </w:tc>
        <w:tc>
          <w:tcPr>
            <w:tcW w:w="2076" w:type="dxa"/>
            <w:vAlign w:val="center"/>
          </w:tcPr>
          <w:p w14:paraId="573B643F">
            <w:pPr>
              <w:jc w:val="right"/>
            </w:pPr>
            <w:r>
              <w:rPr>
                <w:rFonts w:hint="eastAsia"/>
              </w:rPr>
              <w:t>-</w:t>
            </w:r>
          </w:p>
        </w:tc>
        <w:tc>
          <w:tcPr>
            <w:tcW w:w="2076" w:type="dxa"/>
            <w:vAlign w:val="center"/>
          </w:tcPr>
          <w:p w14:paraId="6D2D413C">
            <w:pPr>
              <w:jc w:val="right"/>
            </w:pPr>
            <w:r>
              <w:rPr>
                <w:rFonts w:hint="eastAsia"/>
              </w:rPr>
              <w:t>-</w:t>
            </w:r>
          </w:p>
        </w:tc>
      </w:tr>
      <w:tr w14:paraId="229A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3ABF07">
            <w:r>
              <w:rPr>
                <w:rFonts w:hint="eastAsia"/>
              </w:rPr>
              <w:t xml:space="preserve">      其他</w:t>
            </w:r>
          </w:p>
        </w:tc>
        <w:tc>
          <w:tcPr>
            <w:tcW w:w="2076" w:type="dxa"/>
            <w:vAlign w:val="center"/>
          </w:tcPr>
          <w:p w14:paraId="444D3378">
            <w:pPr>
              <w:jc w:val="right"/>
            </w:pPr>
            <w:r>
              <w:rPr>
                <w:rFonts w:hint="eastAsia"/>
              </w:rPr>
              <w:t>-</w:t>
            </w:r>
          </w:p>
        </w:tc>
        <w:tc>
          <w:tcPr>
            <w:tcW w:w="2076" w:type="dxa"/>
            <w:vAlign w:val="center"/>
          </w:tcPr>
          <w:p w14:paraId="392CA33C">
            <w:pPr>
              <w:jc w:val="right"/>
            </w:pPr>
            <w:r>
              <w:rPr>
                <w:rFonts w:hint="eastAsia"/>
              </w:rPr>
              <w:t>-</w:t>
            </w:r>
          </w:p>
        </w:tc>
        <w:tc>
          <w:tcPr>
            <w:tcW w:w="2076" w:type="dxa"/>
            <w:vAlign w:val="center"/>
          </w:tcPr>
          <w:p w14:paraId="40D890AE">
            <w:pPr>
              <w:jc w:val="right"/>
            </w:pPr>
            <w:r>
              <w:rPr>
                <w:rFonts w:hint="eastAsia"/>
              </w:rPr>
              <w:t>-</w:t>
            </w:r>
          </w:p>
        </w:tc>
      </w:tr>
      <w:tr w14:paraId="6B9C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D61669">
            <w:r>
              <w:rPr>
                <w:rFonts w:hint="eastAsia"/>
              </w:rPr>
              <w:t>本期期初</w:t>
            </w:r>
          </w:p>
        </w:tc>
        <w:tc>
          <w:tcPr>
            <w:tcW w:w="2076" w:type="dxa"/>
            <w:vAlign w:val="center"/>
          </w:tcPr>
          <w:p w14:paraId="6B61434E">
            <w:pPr>
              <w:jc w:val="right"/>
            </w:pPr>
            <w:r>
              <w:rPr>
                <w:rFonts w:hint="eastAsia"/>
              </w:rPr>
              <w:t>-</w:t>
            </w:r>
          </w:p>
        </w:tc>
        <w:tc>
          <w:tcPr>
            <w:tcW w:w="2076" w:type="dxa"/>
            <w:vAlign w:val="center"/>
          </w:tcPr>
          <w:p w14:paraId="24BB2FDB">
            <w:pPr>
              <w:jc w:val="right"/>
            </w:pPr>
            <w:r>
              <w:rPr>
                <w:rFonts w:hint="eastAsia"/>
              </w:rPr>
              <w:t>-</w:t>
            </w:r>
          </w:p>
        </w:tc>
        <w:tc>
          <w:tcPr>
            <w:tcW w:w="2076" w:type="dxa"/>
            <w:vAlign w:val="center"/>
          </w:tcPr>
          <w:p w14:paraId="24C5CE9B">
            <w:pPr>
              <w:jc w:val="right"/>
            </w:pPr>
            <w:r>
              <w:rPr>
                <w:rFonts w:hint="eastAsia"/>
              </w:rPr>
              <w:t>-</w:t>
            </w:r>
          </w:p>
        </w:tc>
      </w:tr>
      <w:tr w14:paraId="57762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1F7A51">
            <w:r>
              <w:rPr>
                <w:rFonts w:hint="eastAsia"/>
              </w:rPr>
              <w:t>本期利润</w:t>
            </w:r>
          </w:p>
        </w:tc>
        <w:tc>
          <w:tcPr>
            <w:tcW w:w="2076" w:type="dxa"/>
            <w:vAlign w:val="center"/>
          </w:tcPr>
          <w:p w14:paraId="07DD025D">
            <w:pPr>
              <w:jc w:val="right"/>
            </w:pPr>
            <w:r>
              <w:rPr>
                <w:rFonts w:hint="eastAsia"/>
              </w:rPr>
              <w:t>2,247,533.59</w:t>
            </w:r>
          </w:p>
        </w:tc>
        <w:tc>
          <w:tcPr>
            <w:tcW w:w="2076" w:type="dxa"/>
            <w:vAlign w:val="center"/>
          </w:tcPr>
          <w:p w14:paraId="237F8E66">
            <w:pPr>
              <w:jc w:val="right"/>
            </w:pPr>
            <w:r>
              <w:rPr>
                <w:rFonts w:hint="eastAsia"/>
              </w:rPr>
              <w:t>-1,484,439.90</w:t>
            </w:r>
          </w:p>
        </w:tc>
        <w:tc>
          <w:tcPr>
            <w:tcW w:w="2076" w:type="dxa"/>
            <w:vAlign w:val="center"/>
          </w:tcPr>
          <w:p w14:paraId="42A2381B">
            <w:pPr>
              <w:jc w:val="right"/>
            </w:pPr>
            <w:r>
              <w:rPr>
                <w:rFonts w:hint="eastAsia"/>
              </w:rPr>
              <w:t>763,093.69</w:t>
            </w:r>
          </w:p>
        </w:tc>
      </w:tr>
      <w:tr w14:paraId="149B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016E69">
            <w:r>
              <w:rPr>
                <w:rFonts w:hint="eastAsia"/>
              </w:rPr>
              <w:t>本期基金份额交易产生的变动数</w:t>
            </w:r>
          </w:p>
        </w:tc>
        <w:tc>
          <w:tcPr>
            <w:tcW w:w="2076" w:type="dxa"/>
            <w:vAlign w:val="center"/>
          </w:tcPr>
          <w:p w14:paraId="156CC6D3">
            <w:pPr>
              <w:jc w:val="right"/>
            </w:pPr>
            <w:r>
              <w:rPr>
                <w:rFonts w:hint="eastAsia"/>
              </w:rPr>
              <w:t>-</w:t>
            </w:r>
          </w:p>
        </w:tc>
        <w:tc>
          <w:tcPr>
            <w:tcW w:w="2076" w:type="dxa"/>
            <w:vAlign w:val="center"/>
          </w:tcPr>
          <w:p w14:paraId="0B7EA603">
            <w:pPr>
              <w:jc w:val="right"/>
            </w:pPr>
            <w:r>
              <w:rPr>
                <w:rFonts w:hint="eastAsia"/>
              </w:rPr>
              <w:t>-</w:t>
            </w:r>
          </w:p>
        </w:tc>
        <w:tc>
          <w:tcPr>
            <w:tcW w:w="2076" w:type="dxa"/>
            <w:vAlign w:val="center"/>
          </w:tcPr>
          <w:p w14:paraId="6C9E7ED0">
            <w:pPr>
              <w:jc w:val="right"/>
            </w:pPr>
            <w:r>
              <w:rPr>
                <w:rFonts w:hint="eastAsia"/>
              </w:rPr>
              <w:t>-</w:t>
            </w:r>
          </w:p>
        </w:tc>
      </w:tr>
      <w:tr w14:paraId="02C2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89492F">
            <w:r>
              <w:rPr>
                <w:rFonts w:hint="eastAsia"/>
              </w:rPr>
              <w:t>其中：基金申购款</w:t>
            </w:r>
          </w:p>
        </w:tc>
        <w:tc>
          <w:tcPr>
            <w:tcW w:w="2076" w:type="dxa"/>
            <w:vAlign w:val="center"/>
          </w:tcPr>
          <w:p w14:paraId="01F8B7D4">
            <w:pPr>
              <w:jc w:val="right"/>
            </w:pPr>
            <w:r>
              <w:rPr>
                <w:rFonts w:hint="eastAsia"/>
              </w:rPr>
              <w:t>-</w:t>
            </w:r>
          </w:p>
        </w:tc>
        <w:tc>
          <w:tcPr>
            <w:tcW w:w="2076" w:type="dxa"/>
            <w:vAlign w:val="center"/>
          </w:tcPr>
          <w:p w14:paraId="320E1CFD">
            <w:pPr>
              <w:jc w:val="right"/>
            </w:pPr>
            <w:r>
              <w:rPr>
                <w:rFonts w:hint="eastAsia"/>
              </w:rPr>
              <w:t>-</w:t>
            </w:r>
          </w:p>
        </w:tc>
        <w:tc>
          <w:tcPr>
            <w:tcW w:w="2076" w:type="dxa"/>
            <w:vAlign w:val="center"/>
          </w:tcPr>
          <w:p w14:paraId="373C737E">
            <w:pPr>
              <w:jc w:val="right"/>
            </w:pPr>
            <w:r>
              <w:rPr>
                <w:rFonts w:hint="eastAsia"/>
              </w:rPr>
              <w:t>-</w:t>
            </w:r>
          </w:p>
        </w:tc>
      </w:tr>
      <w:tr w14:paraId="62954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3D22BF">
            <w:r>
              <w:rPr>
                <w:rFonts w:hint="eastAsia"/>
              </w:rPr>
              <w:t xml:space="preserve">      基金赎回款</w:t>
            </w:r>
          </w:p>
        </w:tc>
        <w:tc>
          <w:tcPr>
            <w:tcW w:w="2076" w:type="dxa"/>
            <w:vAlign w:val="center"/>
          </w:tcPr>
          <w:p w14:paraId="4A202164">
            <w:pPr>
              <w:jc w:val="right"/>
            </w:pPr>
            <w:r>
              <w:rPr>
                <w:rFonts w:hint="eastAsia"/>
              </w:rPr>
              <w:t>-</w:t>
            </w:r>
          </w:p>
        </w:tc>
        <w:tc>
          <w:tcPr>
            <w:tcW w:w="2076" w:type="dxa"/>
            <w:vAlign w:val="center"/>
          </w:tcPr>
          <w:p w14:paraId="1317409C">
            <w:pPr>
              <w:jc w:val="right"/>
            </w:pPr>
            <w:r>
              <w:rPr>
                <w:rFonts w:hint="eastAsia"/>
              </w:rPr>
              <w:t>-</w:t>
            </w:r>
          </w:p>
        </w:tc>
        <w:tc>
          <w:tcPr>
            <w:tcW w:w="2076" w:type="dxa"/>
            <w:vAlign w:val="center"/>
          </w:tcPr>
          <w:p w14:paraId="23B99A77">
            <w:pPr>
              <w:jc w:val="right"/>
            </w:pPr>
            <w:r>
              <w:rPr>
                <w:rFonts w:hint="eastAsia"/>
              </w:rPr>
              <w:t>-</w:t>
            </w:r>
          </w:p>
        </w:tc>
      </w:tr>
      <w:tr w14:paraId="2F48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E0E476">
            <w:r>
              <w:rPr>
                <w:rFonts w:hint="eastAsia"/>
              </w:rPr>
              <w:t>本期已分配利润</w:t>
            </w:r>
          </w:p>
        </w:tc>
        <w:tc>
          <w:tcPr>
            <w:tcW w:w="2076" w:type="dxa"/>
            <w:vAlign w:val="center"/>
          </w:tcPr>
          <w:p w14:paraId="114AF233">
            <w:pPr>
              <w:jc w:val="right"/>
            </w:pPr>
            <w:r>
              <w:rPr>
                <w:rFonts w:hint="eastAsia"/>
              </w:rPr>
              <w:t>-</w:t>
            </w:r>
          </w:p>
        </w:tc>
        <w:tc>
          <w:tcPr>
            <w:tcW w:w="2076" w:type="dxa"/>
            <w:vAlign w:val="center"/>
          </w:tcPr>
          <w:p w14:paraId="3405835B">
            <w:pPr>
              <w:jc w:val="right"/>
            </w:pPr>
            <w:r>
              <w:rPr>
                <w:rFonts w:hint="eastAsia"/>
              </w:rPr>
              <w:t>-</w:t>
            </w:r>
          </w:p>
        </w:tc>
        <w:tc>
          <w:tcPr>
            <w:tcW w:w="2076" w:type="dxa"/>
            <w:vAlign w:val="center"/>
          </w:tcPr>
          <w:p w14:paraId="54ECC7EF">
            <w:pPr>
              <w:jc w:val="right"/>
            </w:pPr>
            <w:r>
              <w:rPr>
                <w:rFonts w:hint="eastAsia"/>
              </w:rPr>
              <w:t>-</w:t>
            </w:r>
          </w:p>
        </w:tc>
      </w:tr>
      <w:tr w14:paraId="249D3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0CC431">
            <w:r>
              <w:rPr>
                <w:rFonts w:hint="eastAsia"/>
              </w:rPr>
              <w:t>本期末</w:t>
            </w:r>
          </w:p>
        </w:tc>
        <w:tc>
          <w:tcPr>
            <w:tcW w:w="2076" w:type="dxa"/>
            <w:vAlign w:val="center"/>
          </w:tcPr>
          <w:p w14:paraId="6C1800AF">
            <w:pPr>
              <w:jc w:val="right"/>
            </w:pPr>
            <w:r>
              <w:rPr>
                <w:rFonts w:hint="eastAsia"/>
              </w:rPr>
              <w:t>2,247,533.59</w:t>
            </w:r>
          </w:p>
        </w:tc>
        <w:tc>
          <w:tcPr>
            <w:tcW w:w="2076" w:type="dxa"/>
            <w:vAlign w:val="center"/>
          </w:tcPr>
          <w:p w14:paraId="49C269C8">
            <w:pPr>
              <w:jc w:val="right"/>
            </w:pPr>
            <w:r>
              <w:rPr>
                <w:rFonts w:hint="eastAsia"/>
              </w:rPr>
              <w:t>-1,484,439.90</w:t>
            </w:r>
          </w:p>
        </w:tc>
        <w:tc>
          <w:tcPr>
            <w:tcW w:w="2076" w:type="dxa"/>
            <w:vAlign w:val="center"/>
          </w:tcPr>
          <w:p w14:paraId="6A75588A">
            <w:pPr>
              <w:jc w:val="right"/>
            </w:pPr>
            <w:r>
              <w:rPr>
                <w:rFonts w:hint="eastAsia"/>
              </w:rPr>
              <w:t>763,093.69</w:t>
            </w:r>
          </w:p>
        </w:tc>
      </w:tr>
    </w:tbl>
    <w:p w14:paraId="06539DB8">
      <w:pPr>
        <w:pStyle w:val="35"/>
      </w:pPr>
      <w:bookmarkStart w:id="83" w:name="_Toc83"/>
      <w:r>
        <w:t xml:space="preserve"> 存款利息收入</w:t>
      </w:r>
      <w:bookmarkEnd w:id="83"/>
    </w:p>
    <w:p w14:paraId="5799B1C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5814"/>
      </w:tblGrid>
      <w:tr w14:paraId="346D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shd w:val="clear" w:color="auto" w:fill="BFBFBF"/>
            <w:vAlign w:val="center"/>
          </w:tcPr>
          <w:p w14:paraId="6E2E404B">
            <w:pPr>
              <w:jc w:val="center"/>
            </w:pPr>
            <w:r>
              <w:rPr>
                <w:rFonts w:hint="eastAsia"/>
                <w:b/>
              </w:rPr>
              <w:t>项目</w:t>
            </w:r>
          </w:p>
        </w:tc>
        <w:tc>
          <w:tcPr>
            <w:tcW w:w="5814" w:type="dxa"/>
            <w:shd w:val="clear" w:color="auto" w:fill="BFBFBF"/>
            <w:vAlign w:val="center"/>
          </w:tcPr>
          <w:p w14:paraId="145AE4A6">
            <w:pPr>
              <w:jc w:val="center"/>
            </w:pPr>
            <w:r>
              <w:rPr>
                <w:rFonts w:hint="eastAsia"/>
                <w:b/>
              </w:rPr>
              <w:t>本期2025年9月16日（基金合同生效日）至2025年12月31日</w:t>
            </w:r>
          </w:p>
        </w:tc>
      </w:tr>
      <w:tr w14:paraId="7CEF2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0889A4AB">
            <w:r>
              <w:rPr>
                <w:rFonts w:hint="eastAsia"/>
              </w:rPr>
              <w:t>活期存款利息收入</w:t>
            </w:r>
          </w:p>
        </w:tc>
        <w:tc>
          <w:tcPr>
            <w:tcW w:w="5814" w:type="dxa"/>
            <w:vAlign w:val="center"/>
          </w:tcPr>
          <w:p w14:paraId="09937F22">
            <w:pPr>
              <w:jc w:val="right"/>
            </w:pPr>
            <w:r>
              <w:rPr>
                <w:rFonts w:hint="eastAsia"/>
              </w:rPr>
              <w:t>45,710.98</w:t>
            </w:r>
          </w:p>
        </w:tc>
      </w:tr>
      <w:tr w14:paraId="4753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503E2EB">
            <w:r>
              <w:rPr>
                <w:rFonts w:hint="eastAsia"/>
              </w:rPr>
              <w:t>定期存款利息收入</w:t>
            </w:r>
          </w:p>
        </w:tc>
        <w:tc>
          <w:tcPr>
            <w:tcW w:w="5814" w:type="dxa"/>
            <w:vAlign w:val="center"/>
          </w:tcPr>
          <w:p w14:paraId="460AC51C">
            <w:pPr>
              <w:jc w:val="right"/>
            </w:pPr>
            <w:r>
              <w:rPr>
                <w:rFonts w:hint="eastAsia"/>
              </w:rPr>
              <w:t>-</w:t>
            </w:r>
          </w:p>
        </w:tc>
      </w:tr>
      <w:tr w14:paraId="5AEE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08957768">
            <w:r>
              <w:rPr>
                <w:rFonts w:hint="eastAsia"/>
              </w:rPr>
              <w:t>其他存款利息收入</w:t>
            </w:r>
          </w:p>
        </w:tc>
        <w:tc>
          <w:tcPr>
            <w:tcW w:w="5814" w:type="dxa"/>
            <w:vAlign w:val="center"/>
          </w:tcPr>
          <w:p w14:paraId="240E6272">
            <w:pPr>
              <w:jc w:val="right"/>
            </w:pPr>
            <w:r>
              <w:rPr>
                <w:rFonts w:hint="eastAsia"/>
              </w:rPr>
              <w:t>-</w:t>
            </w:r>
          </w:p>
        </w:tc>
      </w:tr>
      <w:tr w14:paraId="2DC24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06735D04">
            <w:r>
              <w:rPr>
                <w:rFonts w:hint="eastAsia"/>
              </w:rPr>
              <w:t>结算备付金利息收入</w:t>
            </w:r>
          </w:p>
        </w:tc>
        <w:tc>
          <w:tcPr>
            <w:tcW w:w="5814" w:type="dxa"/>
            <w:vAlign w:val="center"/>
          </w:tcPr>
          <w:p w14:paraId="58369C24">
            <w:pPr>
              <w:jc w:val="right"/>
            </w:pPr>
            <w:r>
              <w:rPr>
                <w:rFonts w:hint="eastAsia"/>
              </w:rPr>
              <w:t>12,431.47</w:t>
            </w:r>
          </w:p>
        </w:tc>
      </w:tr>
      <w:tr w14:paraId="6670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34B9DEA0">
            <w:r>
              <w:rPr>
                <w:rFonts w:hint="eastAsia"/>
              </w:rPr>
              <w:t>其他</w:t>
            </w:r>
          </w:p>
        </w:tc>
        <w:tc>
          <w:tcPr>
            <w:tcW w:w="5814" w:type="dxa"/>
            <w:vAlign w:val="center"/>
          </w:tcPr>
          <w:p w14:paraId="6B4C1C6B">
            <w:pPr>
              <w:jc w:val="right"/>
            </w:pPr>
            <w:r>
              <w:rPr>
                <w:rFonts w:hint="eastAsia"/>
              </w:rPr>
              <w:t>90.58</w:t>
            </w:r>
          </w:p>
        </w:tc>
      </w:tr>
      <w:tr w14:paraId="3537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6BD7A70">
            <w:r>
              <w:rPr>
                <w:rFonts w:hint="eastAsia"/>
              </w:rPr>
              <w:t>合计</w:t>
            </w:r>
          </w:p>
        </w:tc>
        <w:tc>
          <w:tcPr>
            <w:tcW w:w="5814" w:type="dxa"/>
            <w:vAlign w:val="center"/>
          </w:tcPr>
          <w:p w14:paraId="7E49575C">
            <w:pPr>
              <w:jc w:val="right"/>
            </w:pPr>
            <w:r>
              <w:rPr>
                <w:rFonts w:hint="eastAsia"/>
              </w:rPr>
              <w:t>58,233.03</w:t>
            </w:r>
          </w:p>
        </w:tc>
      </w:tr>
    </w:tbl>
    <w:p w14:paraId="070A4C93">
      <w:pPr>
        <w:pStyle w:val="35"/>
      </w:pPr>
      <w:bookmarkStart w:id="84" w:name="_Toc84"/>
      <w:r>
        <w:t>股票投资收益</w:t>
      </w:r>
      <w:bookmarkEnd w:id="84"/>
    </w:p>
    <w:p w14:paraId="2CD4136B">
      <w:pPr>
        <w:pStyle w:val="36"/>
      </w:pPr>
      <w:bookmarkStart w:id="85" w:name="_Toc85"/>
      <w:r>
        <w:t>股票投资收益——买卖股票差价收入</w:t>
      </w:r>
      <w:bookmarkEnd w:id="85"/>
    </w:p>
    <w:p w14:paraId="39FAA6D9">
      <w:pPr>
        <w:pStyle w:val="18"/>
        <w:rPr>
          <w:rFonts w:hint="eastAsia"/>
        </w:rPr>
      </w:pPr>
      <w:r>
        <w:rPr>
          <w:rFonts w:hint="eastAsia"/>
        </w:rPr>
        <w:t>无。</w:t>
      </w:r>
    </w:p>
    <w:p w14:paraId="0E3CE879">
      <w:pPr>
        <w:pStyle w:val="35"/>
      </w:pPr>
      <w:bookmarkStart w:id="86" w:name="_Toc86"/>
      <w:r>
        <w:t>基金投资收益</w:t>
      </w:r>
      <w:bookmarkEnd w:id="86"/>
    </w:p>
    <w:p w14:paraId="51AB3504">
      <w:pPr>
        <w:pStyle w:val="18"/>
        <w:rPr>
          <w:rFonts w:hint="eastAsia"/>
        </w:rPr>
      </w:pPr>
      <w:r>
        <w:rPr>
          <w:rFonts w:hint="eastAsia"/>
        </w:rPr>
        <w:t>无。</w:t>
      </w:r>
    </w:p>
    <w:p w14:paraId="06B22FE1">
      <w:pPr>
        <w:pStyle w:val="35"/>
      </w:pPr>
      <w:bookmarkStart w:id="87" w:name="_Toc87"/>
      <w:r>
        <w:t>债券投资收益</w:t>
      </w:r>
      <w:bookmarkEnd w:id="87"/>
    </w:p>
    <w:p w14:paraId="63C70BFE">
      <w:pPr>
        <w:pStyle w:val="36"/>
      </w:pPr>
      <w:bookmarkStart w:id="88" w:name="_Toc88"/>
      <w:r>
        <w:t>债券投资收益项目构成</w:t>
      </w:r>
      <w:bookmarkEnd w:id="88"/>
    </w:p>
    <w:p w14:paraId="5E7C82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8673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729205D">
            <w:pPr>
              <w:jc w:val="center"/>
            </w:pPr>
            <w:r>
              <w:rPr>
                <w:rFonts w:hint="eastAsia"/>
                <w:b/>
              </w:rPr>
              <w:t>项目</w:t>
            </w:r>
          </w:p>
        </w:tc>
        <w:tc>
          <w:tcPr>
            <w:tcW w:w="4153" w:type="dxa"/>
            <w:shd w:val="clear" w:color="auto" w:fill="BFBFBF"/>
            <w:vAlign w:val="center"/>
          </w:tcPr>
          <w:p w14:paraId="16E48243">
            <w:pPr>
              <w:jc w:val="center"/>
            </w:pPr>
            <w:r>
              <w:rPr>
                <w:rFonts w:hint="eastAsia"/>
                <w:b/>
              </w:rPr>
              <w:t>本期2025年9月16日（基金合同生效日）至2025年12月31日</w:t>
            </w:r>
          </w:p>
        </w:tc>
      </w:tr>
      <w:tr w14:paraId="2C4FF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5D8A1F">
            <w:r>
              <w:rPr>
                <w:rFonts w:hint="eastAsia"/>
              </w:rPr>
              <w:t>债券投资收益——利息收入</w:t>
            </w:r>
          </w:p>
        </w:tc>
        <w:tc>
          <w:tcPr>
            <w:tcW w:w="4153" w:type="dxa"/>
            <w:vAlign w:val="center"/>
          </w:tcPr>
          <w:p w14:paraId="121D6EBE">
            <w:pPr>
              <w:jc w:val="right"/>
            </w:pPr>
            <w:r>
              <w:rPr>
                <w:rFonts w:hint="eastAsia"/>
              </w:rPr>
              <w:t>13,700,647.57</w:t>
            </w:r>
          </w:p>
        </w:tc>
      </w:tr>
      <w:tr w14:paraId="0823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B253A3">
            <w:r>
              <w:rPr>
                <w:rFonts w:hint="eastAsia"/>
              </w:rPr>
              <w:t>债券投资收益——买卖债券（债转股及债券到期兑付）差价收入</w:t>
            </w:r>
          </w:p>
        </w:tc>
        <w:tc>
          <w:tcPr>
            <w:tcW w:w="4153" w:type="dxa"/>
            <w:vAlign w:val="center"/>
          </w:tcPr>
          <w:p w14:paraId="4D458DF6">
            <w:pPr>
              <w:jc w:val="right"/>
            </w:pPr>
            <w:r>
              <w:rPr>
                <w:rFonts w:hint="eastAsia"/>
              </w:rPr>
              <w:t>-201,656.28</w:t>
            </w:r>
          </w:p>
        </w:tc>
      </w:tr>
      <w:tr w14:paraId="400A4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EEFB8D">
            <w:r>
              <w:rPr>
                <w:rFonts w:hint="eastAsia"/>
              </w:rPr>
              <w:t>债券投资收益——赎回差价收入</w:t>
            </w:r>
          </w:p>
        </w:tc>
        <w:tc>
          <w:tcPr>
            <w:tcW w:w="4153" w:type="dxa"/>
            <w:vAlign w:val="center"/>
          </w:tcPr>
          <w:p w14:paraId="74D566F5">
            <w:pPr>
              <w:jc w:val="right"/>
            </w:pPr>
            <w:r>
              <w:rPr>
                <w:rFonts w:hint="eastAsia"/>
              </w:rPr>
              <w:t>-</w:t>
            </w:r>
          </w:p>
        </w:tc>
      </w:tr>
      <w:tr w14:paraId="4F05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7DDF95">
            <w:r>
              <w:rPr>
                <w:rFonts w:hint="eastAsia"/>
              </w:rPr>
              <w:t>债券投资收益——申购差价收入</w:t>
            </w:r>
          </w:p>
        </w:tc>
        <w:tc>
          <w:tcPr>
            <w:tcW w:w="4153" w:type="dxa"/>
            <w:vAlign w:val="center"/>
          </w:tcPr>
          <w:p w14:paraId="3E81D88E">
            <w:pPr>
              <w:jc w:val="right"/>
            </w:pPr>
            <w:r>
              <w:rPr>
                <w:rFonts w:hint="eastAsia"/>
              </w:rPr>
              <w:t>-</w:t>
            </w:r>
          </w:p>
        </w:tc>
      </w:tr>
      <w:tr w14:paraId="2CD8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1819ED">
            <w:r>
              <w:rPr>
                <w:rFonts w:hint="eastAsia"/>
              </w:rPr>
              <w:t>合计</w:t>
            </w:r>
          </w:p>
        </w:tc>
        <w:tc>
          <w:tcPr>
            <w:tcW w:w="4153" w:type="dxa"/>
            <w:vAlign w:val="center"/>
          </w:tcPr>
          <w:p w14:paraId="43D51041">
            <w:pPr>
              <w:jc w:val="right"/>
            </w:pPr>
            <w:r>
              <w:rPr>
                <w:rFonts w:hint="eastAsia"/>
              </w:rPr>
              <w:t>13,498,991.29</w:t>
            </w:r>
          </w:p>
        </w:tc>
      </w:tr>
    </w:tbl>
    <w:p w14:paraId="25F0D563">
      <w:pPr>
        <w:pStyle w:val="36"/>
      </w:pPr>
      <w:bookmarkStart w:id="89" w:name="_Toc89"/>
      <w:r>
        <w:t>债券投资收益——买卖债券差价收入</w:t>
      </w:r>
      <w:bookmarkEnd w:id="89"/>
    </w:p>
    <w:p w14:paraId="1E5096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C7E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3BAB76F6">
            <w:pPr>
              <w:jc w:val="center"/>
            </w:pPr>
            <w:r>
              <w:rPr>
                <w:rFonts w:hint="eastAsia"/>
                <w:b/>
              </w:rPr>
              <w:t>项目</w:t>
            </w:r>
          </w:p>
        </w:tc>
        <w:tc>
          <w:tcPr>
            <w:tcW w:w="4983" w:type="dxa"/>
            <w:shd w:val="clear" w:color="auto" w:fill="BFBFBF"/>
            <w:vAlign w:val="center"/>
          </w:tcPr>
          <w:p w14:paraId="61934DC4">
            <w:pPr>
              <w:jc w:val="center"/>
            </w:pPr>
            <w:r>
              <w:rPr>
                <w:rFonts w:hint="eastAsia"/>
                <w:b/>
              </w:rPr>
              <w:t>本期2025年9月16日（基金合同生效日）至2025年12月31日</w:t>
            </w:r>
          </w:p>
        </w:tc>
      </w:tr>
      <w:tr w14:paraId="7BCDC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19E1CBB">
            <w:r>
              <w:rPr>
                <w:rFonts w:hint="eastAsia"/>
              </w:rPr>
              <w:t>卖出债券（债转股及债券到期兑付）成交总额</w:t>
            </w:r>
          </w:p>
        </w:tc>
        <w:tc>
          <w:tcPr>
            <w:tcW w:w="4983" w:type="dxa"/>
            <w:vAlign w:val="center"/>
          </w:tcPr>
          <w:p w14:paraId="7F860BAC">
            <w:pPr>
              <w:jc w:val="right"/>
            </w:pPr>
            <w:r>
              <w:rPr>
                <w:rFonts w:hint="eastAsia"/>
              </w:rPr>
              <w:t>359,688,996.32</w:t>
            </w:r>
          </w:p>
        </w:tc>
      </w:tr>
      <w:tr w14:paraId="1B6F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B350326">
            <w:r>
              <w:rPr>
                <w:rFonts w:hint="eastAsia"/>
              </w:rPr>
              <w:t>减：卖出债券（债转股及债券到期兑付）成本总额</w:t>
            </w:r>
          </w:p>
        </w:tc>
        <w:tc>
          <w:tcPr>
            <w:tcW w:w="4983" w:type="dxa"/>
            <w:vAlign w:val="center"/>
          </w:tcPr>
          <w:p w14:paraId="79C57EE5">
            <w:pPr>
              <w:jc w:val="right"/>
            </w:pPr>
            <w:r>
              <w:rPr>
                <w:rFonts w:hint="eastAsia"/>
              </w:rPr>
              <w:t>356,765,629.86</w:t>
            </w:r>
          </w:p>
        </w:tc>
      </w:tr>
      <w:tr w14:paraId="0E569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31A2524">
            <w:r>
              <w:rPr>
                <w:rFonts w:hint="eastAsia"/>
              </w:rPr>
              <w:t>减：应计利息总额</w:t>
            </w:r>
          </w:p>
        </w:tc>
        <w:tc>
          <w:tcPr>
            <w:tcW w:w="4983" w:type="dxa"/>
            <w:vAlign w:val="center"/>
          </w:tcPr>
          <w:p w14:paraId="0A618770">
            <w:pPr>
              <w:jc w:val="right"/>
            </w:pPr>
            <w:r>
              <w:rPr>
                <w:rFonts w:hint="eastAsia"/>
              </w:rPr>
              <w:t>3,110,102.74</w:t>
            </w:r>
          </w:p>
        </w:tc>
      </w:tr>
      <w:tr w14:paraId="75E7F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4520E9D">
            <w:r>
              <w:rPr>
                <w:rFonts w:hint="eastAsia"/>
              </w:rPr>
              <w:t>减：交易费用</w:t>
            </w:r>
          </w:p>
        </w:tc>
        <w:tc>
          <w:tcPr>
            <w:tcW w:w="4983" w:type="dxa"/>
            <w:vAlign w:val="center"/>
          </w:tcPr>
          <w:p w14:paraId="19217E1C">
            <w:pPr>
              <w:jc w:val="right"/>
            </w:pPr>
            <w:r>
              <w:rPr>
                <w:rFonts w:hint="eastAsia"/>
              </w:rPr>
              <w:t>14,920.00</w:t>
            </w:r>
          </w:p>
        </w:tc>
      </w:tr>
      <w:tr w14:paraId="2806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5F691AA">
            <w:r>
              <w:rPr>
                <w:rFonts w:hint="eastAsia"/>
              </w:rPr>
              <w:t>买卖债券差价收入</w:t>
            </w:r>
          </w:p>
        </w:tc>
        <w:tc>
          <w:tcPr>
            <w:tcW w:w="4983" w:type="dxa"/>
            <w:vAlign w:val="center"/>
          </w:tcPr>
          <w:p w14:paraId="3C59B00E">
            <w:pPr>
              <w:jc w:val="right"/>
            </w:pPr>
            <w:r>
              <w:rPr>
                <w:rFonts w:hint="eastAsia"/>
              </w:rPr>
              <w:t>-201,656.28</w:t>
            </w:r>
          </w:p>
        </w:tc>
      </w:tr>
    </w:tbl>
    <w:p w14:paraId="4AC24E15">
      <w:pPr>
        <w:pStyle w:val="47"/>
        <w:rPr>
          <w:rFonts w:hint="eastAsia"/>
        </w:rPr>
      </w:pPr>
      <w:r>
        <w:rPr>
          <w:rFonts w:hint="eastAsia"/>
        </w:rPr>
        <w:t>注：上述交易费用（如有）包含债券买卖产生的交易费用。</w:t>
      </w:r>
    </w:p>
    <w:p w14:paraId="408FB8EB">
      <w:pPr>
        <w:pStyle w:val="35"/>
      </w:pPr>
      <w:bookmarkStart w:id="90" w:name="_Toc90"/>
      <w:r>
        <w:t>资产支持证券投资收益</w:t>
      </w:r>
      <w:bookmarkEnd w:id="90"/>
    </w:p>
    <w:p w14:paraId="3F57B65E">
      <w:pPr>
        <w:pStyle w:val="36"/>
      </w:pPr>
      <w:bookmarkStart w:id="91" w:name="_Toc91"/>
      <w:r>
        <w:t>资产支持证券投资收益——买卖资产支持证券差价收入</w:t>
      </w:r>
      <w:bookmarkEnd w:id="91"/>
    </w:p>
    <w:p w14:paraId="6CB04F8E">
      <w:pPr>
        <w:pStyle w:val="18"/>
        <w:rPr>
          <w:rFonts w:hint="eastAsia"/>
        </w:rPr>
      </w:pPr>
      <w:r>
        <w:rPr>
          <w:rFonts w:hint="eastAsia"/>
        </w:rPr>
        <w:t>无。</w:t>
      </w:r>
    </w:p>
    <w:p w14:paraId="46581F51">
      <w:pPr>
        <w:pStyle w:val="35"/>
      </w:pPr>
      <w:bookmarkStart w:id="92" w:name="_Toc92"/>
      <w:r>
        <w:t>衍生工具收益</w:t>
      </w:r>
      <w:bookmarkEnd w:id="92"/>
    </w:p>
    <w:p w14:paraId="1E9D07D7">
      <w:pPr>
        <w:pStyle w:val="36"/>
      </w:pPr>
      <w:bookmarkStart w:id="93" w:name="_Toc93"/>
      <w:r>
        <w:t>衍生工具收益——买卖权证差价收入</w:t>
      </w:r>
      <w:bookmarkEnd w:id="93"/>
    </w:p>
    <w:p w14:paraId="3170EBEC">
      <w:pPr>
        <w:pStyle w:val="18"/>
        <w:rPr>
          <w:rFonts w:hint="eastAsia"/>
        </w:rPr>
      </w:pPr>
      <w:r>
        <w:rPr>
          <w:rFonts w:hint="eastAsia"/>
        </w:rPr>
        <w:t>无。</w:t>
      </w:r>
    </w:p>
    <w:p w14:paraId="0DD21010">
      <w:pPr>
        <w:pStyle w:val="36"/>
      </w:pPr>
      <w:bookmarkStart w:id="94" w:name="_Toc94"/>
      <w:r>
        <w:t>衍生工具收益——其他投资收益</w:t>
      </w:r>
      <w:bookmarkEnd w:id="94"/>
    </w:p>
    <w:p w14:paraId="63A7C56D">
      <w:pPr>
        <w:pStyle w:val="18"/>
        <w:rPr>
          <w:rFonts w:hint="eastAsia"/>
        </w:rPr>
      </w:pPr>
      <w:r>
        <w:rPr>
          <w:rFonts w:hint="eastAsia"/>
        </w:rPr>
        <w:t>无。</w:t>
      </w:r>
    </w:p>
    <w:p w14:paraId="3436BAD4">
      <w:pPr>
        <w:pStyle w:val="35"/>
      </w:pPr>
      <w:bookmarkStart w:id="95" w:name="_Toc95"/>
      <w:r>
        <w:t>股利收益</w:t>
      </w:r>
      <w:bookmarkEnd w:id="95"/>
    </w:p>
    <w:p w14:paraId="64D0CCBC">
      <w:pPr>
        <w:pStyle w:val="18"/>
        <w:rPr>
          <w:rFonts w:hint="eastAsia"/>
        </w:rPr>
      </w:pPr>
      <w:r>
        <w:rPr>
          <w:rFonts w:hint="eastAsia"/>
        </w:rPr>
        <w:t>无。</w:t>
      </w:r>
    </w:p>
    <w:p w14:paraId="0ECFADEF">
      <w:pPr>
        <w:pStyle w:val="35"/>
      </w:pPr>
      <w:bookmarkStart w:id="96" w:name="_Toc96"/>
      <w:r>
        <w:t>公允价值变动收益</w:t>
      </w:r>
      <w:bookmarkEnd w:id="96"/>
    </w:p>
    <w:p w14:paraId="59B0F0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1BB8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73A01DD7">
            <w:pPr>
              <w:jc w:val="center"/>
            </w:pPr>
            <w:r>
              <w:rPr>
                <w:rFonts w:hint="eastAsia"/>
                <w:b/>
              </w:rPr>
              <w:t>项目名称</w:t>
            </w:r>
          </w:p>
        </w:tc>
        <w:tc>
          <w:tcPr>
            <w:tcW w:w="4983" w:type="dxa"/>
            <w:shd w:val="clear" w:color="auto" w:fill="BFBFBF"/>
            <w:vAlign w:val="center"/>
          </w:tcPr>
          <w:p w14:paraId="2373A20B">
            <w:pPr>
              <w:jc w:val="center"/>
            </w:pPr>
            <w:r>
              <w:rPr>
                <w:rFonts w:hint="eastAsia"/>
                <w:b/>
              </w:rPr>
              <w:t>本期2025年9月16日（基金合同生效日）至2025年12月31日</w:t>
            </w:r>
          </w:p>
        </w:tc>
      </w:tr>
      <w:tr w14:paraId="1B09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E045989">
            <w:r>
              <w:rPr>
                <w:rFonts w:hint="eastAsia"/>
              </w:rPr>
              <w:t>1.交易性金融资产</w:t>
            </w:r>
          </w:p>
        </w:tc>
        <w:tc>
          <w:tcPr>
            <w:tcW w:w="4983" w:type="dxa"/>
            <w:vAlign w:val="center"/>
          </w:tcPr>
          <w:p w14:paraId="7852D8CF">
            <w:pPr>
              <w:jc w:val="right"/>
            </w:pPr>
            <w:r>
              <w:rPr>
                <w:rFonts w:hint="eastAsia"/>
              </w:rPr>
              <w:t>-7,430,881.31</w:t>
            </w:r>
          </w:p>
        </w:tc>
      </w:tr>
      <w:tr w14:paraId="723D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45CE64A">
            <w:r>
              <w:rPr>
                <w:rFonts w:hint="eastAsia"/>
              </w:rPr>
              <w:t>——股票投资</w:t>
            </w:r>
          </w:p>
        </w:tc>
        <w:tc>
          <w:tcPr>
            <w:tcW w:w="4983" w:type="dxa"/>
            <w:vAlign w:val="center"/>
          </w:tcPr>
          <w:p w14:paraId="4AC60BD7">
            <w:pPr>
              <w:jc w:val="right"/>
            </w:pPr>
            <w:r>
              <w:rPr>
                <w:rFonts w:hint="eastAsia"/>
              </w:rPr>
              <w:t>-</w:t>
            </w:r>
          </w:p>
        </w:tc>
      </w:tr>
      <w:tr w14:paraId="6090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8625F7B">
            <w:r>
              <w:rPr>
                <w:rFonts w:hint="eastAsia"/>
              </w:rPr>
              <w:t>——债券投资</w:t>
            </w:r>
          </w:p>
        </w:tc>
        <w:tc>
          <w:tcPr>
            <w:tcW w:w="4983" w:type="dxa"/>
            <w:vAlign w:val="center"/>
          </w:tcPr>
          <w:p w14:paraId="6EC5955F">
            <w:pPr>
              <w:jc w:val="right"/>
            </w:pPr>
            <w:r>
              <w:rPr>
                <w:rFonts w:hint="eastAsia"/>
              </w:rPr>
              <w:t>-7,430,881.31</w:t>
            </w:r>
          </w:p>
        </w:tc>
      </w:tr>
      <w:tr w14:paraId="26CC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A74E706">
            <w:r>
              <w:rPr>
                <w:rFonts w:hint="eastAsia"/>
              </w:rPr>
              <w:t>——资产支持证券投资</w:t>
            </w:r>
          </w:p>
        </w:tc>
        <w:tc>
          <w:tcPr>
            <w:tcW w:w="4983" w:type="dxa"/>
            <w:vAlign w:val="center"/>
          </w:tcPr>
          <w:p w14:paraId="7BF444DA">
            <w:pPr>
              <w:jc w:val="right"/>
            </w:pPr>
            <w:r>
              <w:rPr>
                <w:rFonts w:hint="eastAsia"/>
              </w:rPr>
              <w:t>-</w:t>
            </w:r>
          </w:p>
        </w:tc>
      </w:tr>
      <w:tr w14:paraId="62BA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6B6A2B1">
            <w:r>
              <w:rPr>
                <w:rFonts w:hint="eastAsia"/>
              </w:rPr>
              <w:t>——贵金属投资</w:t>
            </w:r>
          </w:p>
        </w:tc>
        <w:tc>
          <w:tcPr>
            <w:tcW w:w="4983" w:type="dxa"/>
            <w:vAlign w:val="center"/>
          </w:tcPr>
          <w:p w14:paraId="3A0EA16C">
            <w:pPr>
              <w:jc w:val="right"/>
            </w:pPr>
            <w:r>
              <w:rPr>
                <w:rFonts w:hint="eastAsia"/>
              </w:rPr>
              <w:t>-</w:t>
            </w:r>
          </w:p>
        </w:tc>
      </w:tr>
      <w:tr w14:paraId="1E29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37330AD">
            <w:r>
              <w:rPr>
                <w:rFonts w:hint="eastAsia"/>
              </w:rPr>
              <w:t>——其他</w:t>
            </w:r>
          </w:p>
        </w:tc>
        <w:tc>
          <w:tcPr>
            <w:tcW w:w="4983" w:type="dxa"/>
            <w:vAlign w:val="center"/>
          </w:tcPr>
          <w:p w14:paraId="232D0D8C">
            <w:pPr>
              <w:jc w:val="right"/>
            </w:pPr>
            <w:r>
              <w:rPr>
                <w:rFonts w:hint="eastAsia"/>
              </w:rPr>
              <w:t>-</w:t>
            </w:r>
          </w:p>
        </w:tc>
      </w:tr>
      <w:tr w14:paraId="52E8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7E34FE5">
            <w:r>
              <w:rPr>
                <w:rFonts w:hint="eastAsia"/>
              </w:rPr>
              <w:t>2.衍生工具</w:t>
            </w:r>
          </w:p>
        </w:tc>
        <w:tc>
          <w:tcPr>
            <w:tcW w:w="4983" w:type="dxa"/>
            <w:vAlign w:val="center"/>
          </w:tcPr>
          <w:p w14:paraId="156FD4BF">
            <w:pPr>
              <w:jc w:val="right"/>
            </w:pPr>
            <w:r>
              <w:rPr>
                <w:rFonts w:hint="eastAsia"/>
              </w:rPr>
              <w:t>-</w:t>
            </w:r>
          </w:p>
        </w:tc>
      </w:tr>
      <w:tr w14:paraId="233B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D96E60E">
            <w:r>
              <w:rPr>
                <w:rFonts w:hint="eastAsia"/>
              </w:rPr>
              <w:t>——权证投资</w:t>
            </w:r>
          </w:p>
        </w:tc>
        <w:tc>
          <w:tcPr>
            <w:tcW w:w="4983" w:type="dxa"/>
            <w:vAlign w:val="center"/>
          </w:tcPr>
          <w:p w14:paraId="5577F501">
            <w:pPr>
              <w:jc w:val="right"/>
            </w:pPr>
            <w:r>
              <w:rPr>
                <w:rFonts w:hint="eastAsia"/>
              </w:rPr>
              <w:t>-</w:t>
            </w:r>
          </w:p>
        </w:tc>
      </w:tr>
      <w:tr w14:paraId="48F9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C208FCE">
            <w:r>
              <w:rPr>
                <w:rFonts w:hint="eastAsia"/>
              </w:rPr>
              <w:t>——期货投资</w:t>
            </w:r>
          </w:p>
        </w:tc>
        <w:tc>
          <w:tcPr>
            <w:tcW w:w="4983" w:type="dxa"/>
            <w:vAlign w:val="center"/>
          </w:tcPr>
          <w:p w14:paraId="2272639B">
            <w:pPr>
              <w:jc w:val="right"/>
            </w:pPr>
            <w:r>
              <w:rPr>
                <w:rFonts w:hint="eastAsia"/>
              </w:rPr>
              <w:t>-</w:t>
            </w:r>
          </w:p>
        </w:tc>
      </w:tr>
      <w:tr w14:paraId="58E5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3BC5DC9">
            <w:r>
              <w:rPr>
                <w:rFonts w:hint="eastAsia"/>
              </w:rPr>
              <w:t>3.其他</w:t>
            </w:r>
          </w:p>
        </w:tc>
        <w:tc>
          <w:tcPr>
            <w:tcW w:w="4983" w:type="dxa"/>
            <w:vAlign w:val="center"/>
          </w:tcPr>
          <w:p w14:paraId="3DF42C47">
            <w:pPr>
              <w:jc w:val="right"/>
            </w:pPr>
            <w:r>
              <w:rPr>
                <w:rFonts w:hint="eastAsia"/>
              </w:rPr>
              <w:t>-</w:t>
            </w:r>
          </w:p>
        </w:tc>
      </w:tr>
      <w:tr w14:paraId="22E0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5469A00">
            <w:r>
              <w:rPr>
                <w:rFonts w:hint="eastAsia"/>
              </w:rPr>
              <w:t>减：应税金融商品公允价值变动产生的预估增值税</w:t>
            </w:r>
          </w:p>
        </w:tc>
        <w:tc>
          <w:tcPr>
            <w:tcW w:w="4983" w:type="dxa"/>
            <w:vAlign w:val="center"/>
          </w:tcPr>
          <w:p w14:paraId="4D2B725A">
            <w:pPr>
              <w:jc w:val="right"/>
            </w:pPr>
            <w:r>
              <w:rPr>
                <w:rFonts w:hint="eastAsia"/>
              </w:rPr>
              <w:t>-</w:t>
            </w:r>
          </w:p>
        </w:tc>
      </w:tr>
      <w:tr w14:paraId="5A28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FC75AAD">
            <w:r>
              <w:rPr>
                <w:rFonts w:hint="eastAsia"/>
              </w:rPr>
              <w:t>合计</w:t>
            </w:r>
          </w:p>
        </w:tc>
        <w:tc>
          <w:tcPr>
            <w:tcW w:w="4983" w:type="dxa"/>
            <w:vAlign w:val="center"/>
          </w:tcPr>
          <w:p w14:paraId="07A0042F">
            <w:pPr>
              <w:jc w:val="right"/>
            </w:pPr>
            <w:r>
              <w:rPr>
                <w:rFonts w:hint="eastAsia"/>
              </w:rPr>
              <w:t>-7,430,881.31</w:t>
            </w:r>
          </w:p>
        </w:tc>
      </w:tr>
    </w:tbl>
    <w:p w14:paraId="62FCEF09">
      <w:pPr>
        <w:pStyle w:val="35"/>
      </w:pPr>
      <w:bookmarkStart w:id="97" w:name="_Toc97"/>
      <w:r>
        <w:t>其他收入</w:t>
      </w:r>
      <w:bookmarkEnd w:id="97"/>
    </w:p>
    <w:p w14:paraId="0AA4C0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65E7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6508D34">
            <w:pPr>
              <w:jc w:val="center"/>
            </w:pPr>
            <w:r>
              <w:rPr>
                <w:rFonts w:hint="eastAsia"/>
                <w:b/>
              </w:rPr>
              <w:t>项目</w:t>
            </w:r>
          </w:p>
        </w:tc>
        <w:tc>
          <w:tcPr>
            <w:tcW w:w="4153" w:type="dxa"/>
            <w:shd w:val="clear" w:color="auto" w:fill="BFBFBF"/>
            <w:vAlign w:val="center"/>
          </w:tcPr>
          <w:p w14:paraId="3D6CE5DF">
            <w:pPr>
              <w:jc w:val="center"/>
            </w:pPr>
            <w:r>
              <w:rPr>
                <w:rFonts w:hint="eastAsia"/>
                <w:b/>
              </w:rPr>
              <w:t>本期2025年9月16日（基金合同生效日）至2025年12月31日</w:t>
            </w:r>
          </w:p>
        </w:tc>
      </w:tr>
      <w:tr w14:paraId="4D5FF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A40BEF">
            <w:r>
              <w:rPr>
                <w:rFonts w:hint="eastAsia"/>
              </w:rPr>
              <w:t>基金赎回费收入</w:t>
            </w:r>
          </w:p>
        </w:tc>
        <w:tc>
          <w:tcPr>
            <w:tcW w:w="4153" w:type="dxa"/>
            <w:vAlign w:val="center"/>
          </w:tcPr>
          <w:p w14:paraId="64DE85F4">
            <w:pPr>
              <w:jc w:val="right"/>
            </w:pPr>
            <w:r>
              <w:rPr>
                <w:rFonts w:hint="eastAsia"/>
              </w:rPr>
              <w:t>-</w:t>
            </w:r>
          </w:p>
        </w:tc>
      </w:tr>
      <w:tr w14:paraId="43BD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6EFA30">
            <w:r>
              <w:rPr>
                <w:rFonts w:hint="eastAsia"/>
              </w:rPr>
              <w:t>其他</w:t>
            </w:r>
          </w:p>
        </w:tc>
        <w:tc>
          <w:tcPr>
            <w:tcW w:w="4153" w:type="dxa"/>
            <w:vAlign w:val="center"/>
          </w:tcPr>
          <w:p w14:paraId="6B91B399">
            <w:pPr>
              <w:jc w:val="right"/>
            </w:pPr>
            <w:r>
              <w:rPr>
                <w:rFonts w:hint="eastAsia"/>
              </w:rPr>
              <w:t>2,762.90</w:t>
            </w:r>
          </w:p>
        </w:tc>
      </w:tr>
      <w:tr w14:paraId="2BA17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058401">
            <w:r>
              <w:rPr>
                <w:rFonts w:hint="eastAsia"/>
              </w:rPr>
              <w:t>合计</w:t>
            </w:r>
          </w:p>
        </w:tc>
        <w:tc>
          <w:tcPr>
            <w:tcW w:w="4153" w:type="dxa"/>
            <w:vAlign w:val="center"/>
          </w:tcPr>
          <w:p w14:paraId="36DCA958">
            <w:pPr>
              <w:jc w:val="right"/>
            </w:pPr>
            <w:r>
              <w:rPr>
                <w:rFonts w:hint="eastAsia"/>
              </w:rPr>
              <w:t>2,762.90</w:t>
            </w:r>
          </w:p>
        </w:tc>
      </w:tr>
    </w:tbl>
    <w:p w14:paraId="295AD47A">
      <w:pPr>
        <w:pStyle w:val="35"/>
      </w:pPr>
      <w:bookmarkStart w:id="98" w:name="_Toc98"/>
      <w:r>
        <w:t>其他费用</w:t>
      </w:r>
      <w:bookmarkEnd w:id="98"/>
    </w:p>
    <w:p w14:paraId="6B43C5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5537"/>
      </w:tblGrid>
      <w:tr w14:paraId="55CD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39B64F">
            <w:pPr>
              <w:jc w:val="center"/>
            </w:pPr>
            <w:r>
              <w:rPr>
                <w:rFonts w:hint="eastAsia"/>
                <w:b/>
              </w:rPr>
              <w:t>项目</w:t>
            </w:r>
          </w:p>
        </w:tc>
        <w:tc>
          <w:tcPr>
            <w:tcW w:w="5537" w:type="dxa"/>
            <w:shd w:val="clear" w:color="auto" w:fill="BFBFBF"/>
            <w:vAlign w:val="center"/>
          </w:tcPr>
          <w:p w14:paraId="3FD1A134">
            <w:pPr>
              <w:jc w:val="center"/>
            </w:pPr>
            <w:r>
              <w:rPr>
                <w:rFonts w:hint="eastAsia"/>
                <w:b/>
              </w:rPr>
              <w:t>本期2025年9月16日（基金合同生效日）至2025年12月31日</w:t>
            </w:r>
          </w:p>
        </w:tc>
      </w:tr>
      <w:tr w14:paraId="7820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57D2FD">
            <w:r>
              <w:rPr>
                <w:rFonts w:hint="eastAsia"/>
              </w:rPr>
              <w:t>审计费用</w:t>
            </w:r>
          </w:p>
        </w:tc>
        <w:tc>
          <w:tcPr>
            <w:tcW w:w="5537" w:type="dxa"/>
            <w:vAlign w:val="center"/>
          </w:tcPr>
          <w:p w14:paraId="512EF811">
            <w:pPr>
              <w:jc w:val="right"/>
            </w:pPr>
            <w:r>
              <w:rPr>
                <w:rFonts w:hint="eastAsia"/>
              </w:rPr>
              <w:t>64,000.00</w:t>
            </w:r>
          </w:p>
        </w:tc>
      </w:tr>
      <w:tr w14:paraId="68217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2399EB">
            <w:r>
              <w:rPr>
                <w:rFonts w:hint="eastAsia"/>
              </w:rPr>
              <w:t>信息披露费</w:t>
            </w:r>
          </w:p>
        </w:tc>
        <w:tc>
          <w:tcPr>
            <w:tcW w:w="5537" w:type="dxa"/>
            <w:vAlign w:val="center"/>
          </w:tcPr>
          <w:p w14:paraId="6F641F8F">
            <w:pPr>
              <w:jc w:val="right"/>
            </w:pPr>
            <w:r>
              <w:rPr>
                <w:rFonts w:hint="eastAsia"/>
              </w:rPr>
              <w:t>-</w:t>
            </w:r>
          </w:p>
        </w:tc>
      </w:tr>
      <w:tr w14:paraId="4AF8F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62F2B6">
            <w:r>
              <w:rPr>
                <w:rFonts w:hint="eastAsia"/>
              </w:rPr>
              <w:t>证券出借违约金</w:t>
            </w:r>
          </w:p>
        </w:tc>
        <w:tc>
          <w:tcPr>
            <w:tcW w:w="5537" w:type="dxa"/>
            <w:vAlign w:val="center"/>
          </w:tcPr>
          <w:p w14:paraId="34F9EB16">
            <w:pPr>
              <w:jc w:val="right"/>
            </w:pPr>
            <w:r>
              <w:rPr>
                <w:rFonts w:hint="eastAsia"/>
              </w:rPr>
              <w:t>-</w:t>
            </w:r>
          </w:p>
        </w:tc>
      </w:tr>
      <w:tr w14:paraId="1DFF5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57527C">
            <w:r>
              <w:rPr>
                <w:rFonts w:hint="eastAsia"/>
              </w:rPr>
              <w:t>银行费用</w:t>
            </w:r>
          </w:p>
        </w:tc>
        <w:tc>
          <w:tcPr>
            <w:tcW w:w="5537" w:type="dxa"/>
            <w:vAlign w:val="center"/>
          </w:tcPr>
          <w:p w14:paraId="22299FAB">
            <w:pPr>
              <w:jc w:val="right"/>
            </w:pPr>
            <w:r>
              <w:rPr>
                <w:rFonts w:hint="eastAsia"/>
              </w:rPr>
              <w:t>3,189.65</w:t>
            </w:r>
          </w:p>
        </w:tc>
      </w:tr>
      <w:tr w14:paraId="3D8B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221CEC">
            <w:r>
              <w:rPr>
                <w:rFonts w:hint="eastAsia"/>
              </w:rPr>
              <w:t>其他</w:t>
            </w:r>
          </w:p>
        </w:tc>
        <w:tc>
          <w:tcPr>
            <w:tcW w:w="5537" w:type="dxa"/>
            <w:vAlign w:val="center"/>
          </w:tcPr>
          <w:p w14:paraId="4618C6FC">
            <w:pPr>
              <w:jc w:val="right"/>
            </w:pPr>
            <w:r>
              <w:rPr>
                <w:rFonts w:hint="eastAsia"/>
              </w:rPr>
              <w:t>400.00</w:t>
            </w:r>
          </w:p>
        </w:tc>
      </w:tr>
      <w:tr w14:paraId="7DBD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B99730">
            <w:r>
              <w:rPr>
                <w:rFonts w:hint="eastAsia"/>
              </w:rPr>
              <w:t>合计</w:t>
            </w:r>
          </w:p>
        </w:tc>
        <w:tc>
          <w:tcPr>
            <w:tcW w:w="5537" w:type="dxa"/>
            <w:vAlign w:val="center"/>
          </w:tcPr>
          <w:p w14:paraId="654BF7E1">
            <w:pPr>
              <w:jc w:val="right"/>
            </w:pPr>
            <w:r>
              <w:rPr>
                <w:rFonts w:hint="eastAsia"/>
              </w:rPr>
              <w:t>67,589.65</w:t>
            </w:r>
          </w:p>
        </w:tc>
      </w:tr>
    </w:tbl>
    <w:p w14:paraId="3E5E8B62">
      <w:pPr>
        <w:pStyle w:val="28"/>
      </w:pPr>
      <w:bookmarkStart w:id="99" w:name="_Toc99"/>
      <w:r>
        <w:t>或有事项、资产负债表日后事项的说明</w:t>
      </w:r>
      <w:bookmarkEnd w:id="99"/>
    </w:p>
    <w:p w14:paraId="0C730CB8">
      <w:pPr>
        <w:pStyle w:val="35"/>
      </w:pPr>
      <w:bookmarkStart w:id="100" w:name="_Toc100"/>
      <w:r>
        <w:t>或有事项</w:t>
      </w:r>
      <w:bookmarkEnd w:id="100"/>
    </w:p>
    <w:p w14:paraId="79B60225">
      <w:pPr>
        <w:pStyle w:val="18"/>
        <w:rPr>
          <w:rFonts w:hint="eastAsia"/>
        </w:rPr>
      </w:pPr>
      <w:r>
        <w:rPr>
          <w:rFonts w:hint="eastAsia"/>
        </w:rPr>
        <w:t>无。</w:t>
      </w:r>
    </w:p>
    <w:p w14:paraId="5E6DE95D">
      <w:pPr>
        <w:pStyle w:val="35"/>
      </w:pPr>
      <w:bookmarkStart w:id="101" w:name="_Toc101"/>
      <w:r>
        <w:t>资产负债表日后事项</w:t>
      </w:r>
      <w:bookmarkEnd w:id="101"/>
    </w:p>
    <w:p w14:paraId="483AC214">
      <w:pPr>
        <w:pStyle w:val="18"/>
        <w:rPr>
          <w:rFonts w:hint="eastAsia"/>
        </w:rPr>
      </w:pPr>
      <w:r>
        <w:rPr>
          <w:rFonts w:hint="eastAsia"/>
        </w:rPr>
        <w:t>截至财务报告批准报出日，本基金无需要披露的资产负债表日后事项。</w:t>
      </w:r>
    </w:p>
    <w:p w14:paraId="527ABAD9">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4C89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F1EE141">
            <w:pPr>
              <w:jc w:val="center"/>
            </w:pPr>
            <w:r>
              <w:rPr>
                <w:rFonts w:hint="eastAsia"/>
                <w:b/>
              </w:rPr>
              <w:t>关联方名称</w:t>
            </w:r>
          </w:p>
        </w:tc>
        <w:tc>
          <w:tcPr>
            <w:tcW w:w="3322" w:type="dxa"/>
            <w:shd w:val="clear" w:color="auto" w:fill="BFBFBF"/>
            <w:vAlign w:val="center"/>
          </w:tcPr>
          <w:p w14:paraId="2E0A5B8A">
            <w:pPr>
              <w:jc w:val="center"/>
            </w:pPr>
            <w:r>
              <w:rPr>
                <w:rFonts w:hint="eastAsia"/>
                <w:b/>
              </w:rPr>
              <w:t>与本基金的关系</w:t>
            </w:r>
          </w:p>
        </w:tc>
      </w:tr>
      <w:tr w14:paraId="3D08A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43EC74">
            <w:r>
              <w:rPr>
                <w:rFonts w:hint="eastAsia"/>
              </w:rPr>
              <w:t>南方基金管理股份有限公司（“南方基金”）</w:t>
            </w:r>
          </w:p>
        </w:tc>
        <w:tc>
          <w:tcPr>
            <w:tcW w:w="3322" w:type="dxa"/>
            <w:vAlign w:val="center"/>
          </w:tcPr>
          <w:p w14:paraId="42694915">
            <w:r>
              <w:rPr>
                <w:rFonts w:hint="eastAsia"/>
              </w:rPr>
              <w:t>基金管理人、登记机构、基金销售机构</w:t>
            </w:r>
          </w:p>
        </w:tc>
      </w:tr>
      <w:tr w14:paraId="5A1B5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E52C28">
            <w:r>
              <w:rPr>
                <w:rFonts w:hint="eastAsia"/>
              </w:rPr>
              <w:t>中国农业银行股份有限公司（“中国农业银行”）</w:t>
            </w:r>
          </w:p>
        </w:tc>
        <w:tc>
          <w:tcPr>
            <w:tcW w:w="3322" w:type="dxa"/>
            <w:vAlign w:val="center"/>
          </w:tcPr>
          <w:p w14:paraId="42BA0BD2">
            <w:r>
              <w:rPr>
                <w:rFonts w:hint="eastAsia"/>
              </w:rPr>
              <w:t>基金托管人、基金销售机构</w:t>
            </w:r>
          </w:p>
        </w:tc>
      </w:tr>
      <w:tr w14:paraId="329D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B1519D">
            <w:r>
              <w:rPr>
                <w:rFonts w:hint="eastAsia"/>
              </w:rPr>
              <w:t>华泰证券股份有限公司（“华泰证券”）</w:t>
            </w:r>
          </w:p>
        </w:tc>
        <w:tc>
          <w:tcPr>
            <w:tcW w:w="3322" w:type="dxa"/>
            <w:vAlign w:val="center"/>
          </w:tcPr>
          <w:p w14:paraId="44045A36">
            <w:r>
              <w:rPr>
                <w:rFonts w:hint="eastAsia"/>
              </w:rPr>
              <w:t>基金管理人的股东、基金销售机构</w:t>
            </w:r>
          </w:p>
        </w:tc>
      </w:tr>
      <w:tr w14:paraId="6D7A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D03D35">
            <w:r>
              <w:rPr>
                <w:rFonts w:hint="eastAsia"/>
              </w:rPr>
              <w:t>兴业证券股份有限公司（“兴业证券”）</w:t>
            </w:r>
          </w:p>
        </w:tc>
        <w:tc>
          <w:tcPr>
            <w:tcW w:w="3322" w:type="dxa"/>
            <w:vAlign w:val="center"/>
          </w:tcPr>
          <w:p w14:paraId="244EE47E">
            <w:r>
              <w:rPr>
                <w:rFonts w:hint="eastAsia"/>
              </w:rPr>
              <w:t>基金管理人的股东</w:t>
            </w:r>
          </w:p>
        </w:tc>
      </w:tr>
      <w:tr w14:paraId="73387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1765A7">
            <w:r>
              <w:rPr>
                <w:rFonts w:hint="eastAsia"/>
              </w:rPr>
              <w:t>南方资本管理有限公司（“南方资本”）</w:t>
            </w:r>
          </w:p>
        </w:tc>
        <w:tc>
          <w:tcPr>
            <w:tcW w:w="3322" w:type="dxa"/>
            <w:vAlign w:val="center"/>
          </w:tcPr>
          <w:p w14:paraId="632D4864">
            <w:r>
              <w:rPr>
                <w:rFonts w:hint="eastAsia"/>
              </w:rPr>
              <w:t>基金管理人的子公司</w:t>
            </w:r>
          </w:p>
        </w:tc>
      </w:tr>
      <w:tr w14:paraId="7297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53DAEA">
            <w:r>
              <w:rPr>
                <w:rFonts w:hint="eastAsia"/>
              </w:rPr>
              <w:t>南方东英资产管理有限公司（“南方东英”）</w:t>
            </w:r>
          </w:p>
        </w:tc>
        <w:tc>
          <w:tcPr>
            <w:tcW w:w="3322" w:type="dxa"/>
            <w:vAlign w:val="center"/>
          </w:tcPr>
          <w:p w14:paraId="6558ABD1">
            <w:r>
              <w:rPr>
                <w:rFonts w:hint="eastAsia"/>
              </w:rPr>
              <w:t>基金管理人的子公司</w:t>
            </w:r>
          </w:p>
        </w:tc>
      </w:tr>
      <w:tr w14:paraId="0F2E6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6F5D12">
            <w:r>
              <w:rPr>
                <w:rFonts w:hint="eastAsia"/>
              </w:rPr>
              <w:t>厦门国际信托有限公司（“厦门国际信托”）</w:t>
            </w:r>
          </w:p>
        </w:tc>
        <w:tc>
          <w:tcPr>
            <w:tcW w:w="3322" w:type="dxa"/>
            <w:vAlign w:val="center"/>
          </w:tcPr>
          <w:p w14:paraId="7D460103">
            <w:r>
              <w:rPr>
                <w:rFonts w:hint="eastAsia"/>
              </w:rPr>
              <w:t>基金管理人的股东</w:t>
            </w:r>
          </w:p>
        </w:tc>
      </w:tr>
      <w:tr w14:paraId="5AD44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BC48A1">
            <w:r>
              <w:rPr>
                <w:rFonts w:hint="eastAsia"/>
              </w:rPr>
              <w:t>深圳市投资控股有限公司（“深圳投资控股”）</w:t>
            </w:r>
          </w:p>
        </w:tc>
        <w:tc>
          <w:tcPr>
            <w:tcW w:w="3322" w:type="dxa"/>
            <w:vAlign w:val="center"/>
          </w:tcPr>
          <w:p w14:paraId="75EDD775">
            <w:r>
              <w:rPr>
                <w:rFonts w:hint="eastAsia"/>
              </w:rPr>
              <w:t>基金管理人的股东</w:t>
            </w:r>
          </w:p>
        </w:tc>
      </w:tr>
      <w:tr w14:paraId="0E45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84F9D6">
            <w:r>
              <w:rPr>
                <w:rFonts w:hint="eastAsia"/>
              </w:rPr>
              <w:t>厦门合泽吉企业管理合伙企业（有限合伙）</w:t>
            </w:r>
          </w:p>
        </w:tc>
        <w:tc>
          <w:tcPr>
            <w:tcW w:w="3322" w:type="dxa"/>
            <w:vAlign w:val="center"/>
          </w:tcPr>
          <w:p w14:paraId="3AB0DE9F">
            <w:r>
              <w:rPr>
                <w:rFonts w:hint="eastAsia"/>
              </w:rPr>
              <w:t>基金管理人的股东</w:t>
            </w:r>
          </w:p>
        </w:tc>
      </w:tr>
      <w:tr w14:paraId="1342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7F39A0">
            <w:r>
              <w:rPr>
                <w:rFonts w:hint="eastAsia"/>
              </w:rPr>
              <w:t>厦门合泽祥企业管理合伙企业（有限合伙）</w:t>
            </w:r>
          </w:p>
        </w:tc>
        <w:tc>
          <w:tcPr>
            <w:tcW w:w="3322" w:type="dxa"/>
            <w:vAlign w:val="center"/>
          </w:tcPr>
          <w:p w14:paraId="0A7702E1">
            <w:r>
              <w:rPr>
                <w:rFonts w:hint="eastAsia"/>
              </w:rPr>
              <w:t>基金管理人的股东</w:t>
            </w:r>
          </w:p>
        </w:tc>
      </w:tr>
      <w:tr w14:paraId="23B8F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EB93F1">
            <w:r>
              <w:rPr>
                <w:rFonts w:hint="eastAsia"/>
              </w:rPr>
              <w:t>厦门合泽益企业管理合伙企业（有限合伙）</w:t>
            </w:r>
          </w:p>
        </w:tc>
        <w:tc>
          <w:tcPr>
            <w:tcW w:w="3322" w:type="dxa"/>
            <w:vAlign w:val="center"/>
          </w:tcPr>
          <w:p w14:paraId="1C2C2C52">
            <w:r>
              <w:rPr>
                <w:rFonts w:hint="eastAsia"/>
              </w:rPr>
              <w:t>基金管理人的股东</w:t>
            </w:r>
          </w:p>
        </w:tc>
      </w:tr>
      <w:tr w14:paraId="0FFAE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773E4B">
            <w:r>
              <w:rPr>
                <w:rFonts w:hint="eastAsia"/>
              </w:rPr>
              <w:t>厦门合泽盈企业管理合伙企业（有限合伙）</w:t>
            </w:r>
          </w:p>
        </w:tc>
        <w:tc>
          <w:tcPr>
            <w:tcW w:w="3322" w:type="dxa"/>
            <w:vAlign w:val="center"/>
          </w:tcPr>
          <w:p w14:paraId="229AAEA9">
            <w:r>
              <w:rPr>
                <w:rFonts w:hint="eastAsia"/>
              </w:rPr>
              <w:t>基金管理人的股东</w:t>
            </w:r>
          </w:p>
        </w:tc>
      </w:tr>
    </w:tbl>
    <w:p w14:paraId="27DB9BBD">
      <w:pPr>
        <w:pStyle w:val="47"/>
        <w:rPr>
          <w:rFonts w:hint="eastAsia"/>
        </w:rPr>
      </w:pPr>
      <w:r>
        <w:rPr>
          <w:rFonts w:hint="eastAsia"/>
        </w:rPr>
        <w:t>注：下述关联交易均在正常业务范围内按一般商业条款订立。</w:t>
      </w:r>
    </w:p>
    <w:p w14:paraId="77AB7F45">
      <w:pPr>
        <w:pStyle w:val="28"/>
      </w:pPr>
      <w:bookmarkStart w:id="103" w:name="_Toc103"/>
      <w:r>
        <w:t>本报告期及上年度可比期间的关联方交易</w:t>
      </w:r>
      <w:bookmarkEnd w:id="103"/>
    </w:p>
    <w:p w14:paraId="2BB25F40">
      <w:pPr>
        <w:pStyle w:val="35"/>
      </w:pPr>
      <w:bookmarkStart w:id="104" w:name="_Toc104"/>
      <w:r>
        <w:t>通过关联方交易单元进行的交易</w:t>
      </w:r>
      <w:bookmarkEnd w:id="104"/>
    </w:p>
    <w:p w14:paraId="3ADFCDBC">
      <w:pPr>
        <w:pStyle w:val="36"/>
      </w:pPr>
      <w:bookmarkStart w:id="105" w:name="_Toc105"/>
      <w:r>
        <w:t>股票交易</w:t>
      </w:r>
      <w:bookmarkEnd w:id="105"/>
    </w:p>
    <w:p w14:paraId="4102D441">
      <w:pPr>
        <w:pStyle w:val="18"/>
        <w:rPr>
          <w:rFonts w:hint="eastAsia"/>
        </w:rPr>
      </w:pPr>
      <w:r>
        <w:rPr>
          <w:rFonts w:hint="eastAsia"/>
        </w:rPr>
        <w:t>无。</w:t>
      </w:r>
    </w:p>
    <w:p w14:paraId="5E47BF59">
      <w:pPr>
        <w:pStyle w:val="36"/>
      </w:pPr>
      <w:bookmarkStart w:id="106" w:name="_Toc106"/>
      <w:r>
        <w:t>债券交易</w:t>
      </w:r>
      <w:bookmarkEnd w:id="106"/>
    </w:p>
    <w:p w14:paraId="1236EE6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3322"/>
        <w:gridCol w:w="3322"/>
      </w:tblGrid>
      <w:tr w14:paraId="7F82A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D1DE1F7">
            <w:pPr>
              <w:jc w:val="center"/>
            </w:pPr>
            <w:r>
              <w:rPr>
                <w:rFonts w:hint="eastAsia"/>
                <w:b/>
              </w:rPr>
              <w:t>关联方名称</w:t>
            </w:r>
          </w:p>
        </w:tc>
        <w:tc>
          <w:tcPr>
            <w:tcW w:w="3322" w:type="dxa"/>
            <w:gridSpan w:val="2"/>
            <w:shd w:val="clear" w:color="auto" w:fill="BFBFBF"/>
            <w:vAlign w:val="center"/>
          </w:tcPr>
          <w:p w14:paraId="3E6686E9">
            <w:pPr>
              <w:jc w:val="center"/>
            </w:pPr>
            <w:r>
              <w:rPr>
                <w:rFonts w:hint="eastAsia"/>
                <w:b/>
              </w:rPr>
              <w:t>本期2025年9月16日（基金合同生效日）至2025年12月31日</w:t>
            </w:r>
          </w:p>
        </w:tc>
      </w:tr>
      <w:tr w14:paraId="2F163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950293"/>
        </w:tc>
        <w:tc>
          <w:tcPr>
            <w:tcW w:w="3322" w:type="dxa"/>
            <w:shd w:val="clear" w:color="auto" w:fill="BFBFBF"/>
            <w:vAlign w:val="center"/>
          </w:tcPr>
          <w:p w14:paraId="56F4DD35">
            <w:pPr>
              <w:jc w:val="center"/>
            </w:pPr>
            <w:r>
              <w:rPr>
                <w:rFonts w:hint="eastAsia"/>
                <w:b/>
              </w:rPr>
              <w:t>成交金额</w:t>
            </w:r>
          </w:p>
        </w:tc>
        <w:tc>
          <w:tcPr>
            <w:tcW w:w="3322" w:type="dxa"/>
            <w:shd w:val="clear" w:color="auto" w:fill="BFBFBF"/>
            <w:vAlign w:val="center"/>
          </w:tcPr>
          <w:p w14:paraId="2C8AA1FA">
            <w:pPr>
              <w:jc w:val="center"/>
            </w:pPr>
            <w:r>
              <w:rPr>
                <w:rFonts w:hint="eastAsia"/>
                <w:b/>
              </w:rPr>
              <w:t>占当期债券成交总额的比例</w:t>
            </w:r>
          </w:p>
        </w:tc>
      </w:tr>
      <w:tr w14:paraId="3DBF4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6F1E9C">
            <w:r>
              <w:rPr>
                <w:rFonts w:hint="eastAsia"/>
              </w:rPr>
              <w:t>华泰证券</w:t>
            </w:r>
          </w:p>
        </w:tc>
        <w:tc>
          <w:tcPr>
            <w:tcW w:w="3322" w:type="dxa"/>
            <w:vAlign w:val="center"/>
          </w:tcPr>
          <w:p w14:paraId="7ABBACDC">
            <w:pPr>
              <w:jc w:val="right"/>
            </w:pPr>
            <w:r>
              <w:rPr>
                <w:rFonts w:hint="eastAsia"/>
              </w:rPr>
              <w:t>180,393,210.00</w:t>
            </w:r>
          </w:p>
        </w:tc>
        <w:tc>
          <w:tcPr>
            <w:tcW w:w="3322" w:type="dxa"/>
            <w:vAlign w:val="center"/>
          </w:tcPr>
          <w:p w14:paraId="67C9ABA6">
            <w:pPr>
              <w:jc w:val="right"/>
            </w:pPr>
            <w:r>
              <w:rPr>
                <w:rFonts w:hint="eastAsia"/>
              </w:rPr>
              <w:t>17.00%</w:t>
            </w:r>
          </w:p>
        </w:tc>
      </w:tr>
    </w:tbl>
    <w:p w14:paraId="38427BCF">
      <w:pPr>
        <w:pStyle w:val="36"/>
      </w:pPr>
      <w:bookmarkStart w:id="107" w:name="_Toc107"/>
      <w:r>
        <w:t>债券回购交易</w:t>
      </w:r>
      <w:bookmarkEnd w:id="107"/>
    </w:p>
    <w:p w14:paraId="3041C67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160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6DA7D047">
            <w:pPr>
              <w:jc w:val="center"/>
            </w:pPr>
            <w:r>
              <w:rPr>
                <w:rFonts w:hint="eastAsia"/>
                <w:b/>
              </w:rPr>
              <w:t>关联方名称</w:t>
            </w:r>
          </w:p>
        </w:tc>
        <w:tc>
          <w:tcPr>
            <w:tcW w:w="2768" w:type="dxa"/>
            <w:gridSpan w:val="2"/>
            <w:shd w:val="clear" w:color="auto" w:fill="BFBFBF"/>
            <w:vAlign w:val="center"/>
          </w:tcPr>
          <w:p w14:paraId="5CEAB328">
            <w:pPr>
              <w:jc w:val="center"/>
            </w:pPr>
            <w:r>
              <w:rPr>
                <w:rFonts w:hint="eastAsia"/>
                <w:b/>
              </w:rPr>
              <w:t>本期2025年9月16日（基金合同生效日）至2025年12月31日</w:t>
            </w:r>
          </w:p>
        </w:tc>
      </w:tr>
      <w:tr w14:paraId="1842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67D8F8B"/>
        </w:tc>
        <w:tc>
          <w:tcPr>
            <w:tcW w:w="2768" w:type="dxa"/>
            <w:shd w:val="clear" w:color="auto" w:fill="BFBFBF"/>
            <w:vAlign w:val="center"/>
          </w:tcPr>
          <w:p w14:paraId="21BDAFD5">
            <w:pPr>
              <w:jc w:val="center"/>
            </w:pPr>
            <w:r>
              <w:rPr>
                <w:rFonts w:hint="eastAsia"/>
                <w:b/>
              </w:rPr>
              <w:t>成交金额</w:t>
            </w:r>
          </w:p>
        </w:tc>
        <w:tc>
          <w:tcPr>
            <w:tcW w:w="2768" w:type="dxa"/>
            <w:shd w:val="clear" w:color="auto" w:fill="BFBFBF"/>
            <w:vAlign w:val="center"/>
          </w:tcPr>
          <w:p w14:paraId="5CD2DDF0">
            <w:pPr>
              <w:jc w:val="center"/>
            </w:pPr>
            <w:r>
              <w:rPr>
                <w:rFonts w:hint="eastAsia"/>
                <w:b/>
              </w:rPr>
              <w:t>占当期债券回购成交总额的比例</w:t>
            </w:r>
          </w:p>
        </w:tc>
      </w:tr>
      <w:tr w14:paraId="6B04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CDB848">
            <w:r>
              <w:rPr>
                <w:rFonts w:hint="eastAsia"/>
              </w:rPr>
              <w:t>华泰证券</w:t>
            </w:r>
          </w:p>
        </w:tc>
        <w:tc>
          <w:tcPr>
            <w:tcW w:w="2768" w:type="dxa"/>
            <w:vAlign w:val="center"/>
          </w:tcPr>
          <w:p w14:paraId="2C5E92BE">
            <w:pPr>
              <w:jc w:val="right"/>
            </w:pPr>
            <w:r>
              <w:rPr>
                <w:rFonts w:hint="eastAsia"/>
              </w:rPr>
              <w:t>1,607,800,000.00</w:t>
            </w:r>
          </w:p>
        </w:tc>
        <w:tc>
          <w:tcPr>
            <w:tcW w:w="2768" w:type="dxa"/>
            <w:vAlign w:val="center"/>
          </w:tcPr>
          <w:p w14:paraId="770FDE1C">
            <w:pPr>
              <w:jc w:val="right"/>
            </w:pPr>
            <w:r>
              <w:rPr>
                <w:rFonts w:hint="eastAsia"/>
              </w:rPr>
              <w:t>9.00%</w:t>
            </w:r>
          </w:p>
        </w:tc>
      </w:tr>
    </w:tbl>
    <w:p w14:paraId="315E6513">
      <w:pPr>
        <w:pStyle w:val="36"/>
      </w:pPr>
      <w:bookmarkStart w:id="108" w:name="_Toc108"/>
      <w:r>
        <w:t>基金交易</w:t>
      </w:r>
      <w:bookmarkEnd w:id="108"/>
    </w:p>
    <w:p w14:paraId="6B75C343">
      <w:pPr>
        <w:pStyle w:val="18"/>
        <w:rPr>
          <w:rFonts w:hint="eastAsia"/>
        </w:rPr>
      </w:pPr>
      <w:r>
        <w:rPr>
          <w:rFonts w:hint="eastAsia"/>
        </w:rPr>
        <w:t>无。</w:t>
      </w:r>
    </w:p>
    <w:p w14:paraId="1F877C22">
      <w:pPr>
        <w:pStyle w:val="36"/>
      </w:pPr>
      <w:bookmarkStart w:id="109" w:name="_Toc109"/>
      <w:r>
        <w:t>权证交易</w:t>
      </w:r>
      <w:bookmarkEnd w:id="109"/>
    </w:p>
    <w:p w14:paraId="5361802F">
      <w:pPr>
        <w:pStyle w:val="18"/>
        <w:rPr>
          <w:rFonts w:hint="eastAsia"/>
        </w:rPr>
      </w:pPr>
      <w:r>
        <w:rPr>
          <w:rFonts w:hint="eastAsia"/>
        </w:rPr>
        <w:t>无。</w:t>
      </w:r>
    </w:p>
    <w:p w14:paraId="705ABBC6">
      <w:pPr>
        <w:pStyle w:val="36"/>
      </w:pPr>
      <w:bookmarkStart w:id="110" w:name="_Toc110"/>
      <w:r>
        <w:t>应支付关联方的佣金</w:t>
      </w:r>
      <w:bookmarkEnd w:id="110"/>
    </w:p>
    <w:p w14:paraId="21945A63">
      <w:pPr>
        <w:pStyle w:val="18"/>
        <w:rPr>
          <w:rFonts w:hint="eastAsia"/>
        </w:rPr>
      </w:pPr>
      <w:r>
        <w:rPr>
          <w:rFonts w:hint="eastAsia"/>
        </w:rPr>
        <w:t>无。</w:t>
      </w:r>
    </w:p>
    <w:p w14:paraId="76F8E14D">
      <w:pPr>
        <w:pStyle w:val="35"/>
      </w:pPr>
      <w:bookmarkStart w:id="111" w:name="_Toc111"/>
      <w:r>
        <w:t>关联方报酬</w:t>
      </w:r>
      <w:bookmarkEnd w:id="111"/>
    </w:p>
    <w:p w14:paraId="691CA398">
      <w:pPr>
        <w:pStyle w:val="36"/>
      </w:pPr>
      <w:bookmarkStart w:id="112" w:name="_Toc112"/>
      <w:r>
        <w:t>基金管理费</w:t>
      </w:r>
      <w:bookmarkEnd w:id="112"/>
    </w:p>
    <w:p w14:paraId="6324A1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1D89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558FD7D6">
            <w:pPr>
              <w:jc w:val="center"/>
            </w:pPr>
            <w:r>
              <w:rPr>
                <w:rFonts w:hint="eastAsia"/>
                <w:b/>
              </w:rPr>
              <w:t>项目</w:t>
            </w:r>
          </w:p>
        </w:tc>
        <w:tc>
          <w:tcPr>
            <w:tcW w:w="3599" w:type="dxa"/>
            <w:shd w:val="clear" w:color="auto" w:fill="BFBFBF"/>
            <w:vAlign w:val="center"/>
          </w:tcPr>
          <w:p w14:paraId="3C8C25EA">
            <w:pPr>
              <w:jc w:val="center"/>
            </w:pPr>
            <w:r>
              <w:rPr>
                <w:rFonts w:hint="eastAsia"/>
                <w:b/>
              </w:rPr>
              <w:t>本期2025年9月16日（基金合同生效日）至2025年12月31日</w:t>
            </w:r>
          </w:p>
        </w:tc>
      </w:tr>
      <w:tr w14:paraId="6BA4D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2F0728F0">
            <w:r>
              <w:rPr>
                <w:rFonts w:hint="eastAsia"/>
              </w:rPr>
              <w:t>当期发生的基金应支付的管理费</w:t>
            </w:r>
          </w:p>
        </w:tc>
        <w:tc>
          <w:tcPr>
            <w:tcW w:w="3599" w:type="dxa"/>
            <w:vAlign w:val="center"/>
          </w:tcPr>
          <w:p w14:paraId="75E3F169">
            <w:pPr>
              <w:jc w:val="right"/>
            </w:pPr>
            <w:r>
              <w:rPr>
                <w:rFonts w:hint="eastAsia"/>
              </w:rPr>
              <w:t>1,195,434.83</w:t>
            </w:r>
          </w:p>
        </w:tc>
      </w:tr>
      <w:tr w14:paraId="7E75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391CBF9E">
            <w:r>
              <w:rPr>
                <w:rFonts w:hint="eastAsia"/>
              </w:rPr>
              <w:t>其中：应支付销售机构的客户维护费</w:t>
            </w:r>
          </w:p>
        </w:tc>
        <w:tc>
          <w:tcPr>
            <w:tcW w:w="3599" w:type="dxa"/>
            <w:vAlign w:val="center"/>
          </w:tcPr>
          <w:p w14:paraId="2B69B770">
            <w:pPr>
              <w:jc w:val="right"/>
            </w:pPr>
            <w:r>
              <w:rPr>
                <w:rFonts w:hint="eastAsia"/>
              </w:rPr>
              <w:t>569,815.92</w:t>
            </w:r>
          </w:p>
        </w:tc>
      </w:tr>
      <w:tr w14:paraId="7AC2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70CDA3D9">
            <w:r>
              <w:rPr>
                <w:rFonts w:hint="eastAsia"/>
              </w:rPr>
              <w:t xml:space="preserve">      应支付基金管理人的净管理费</w:t>
            </w:r>
          </w:p>
        </w:tc>
        <w:tc>
          <w:tcPr>
            <w:tcW w:w="3599" w:type="dxa"/>
            <w:vAlign w:val="center"/>
          </w:tcPr>
          <w:p w14:paraId="0EADB386">
            <w:pPr>
              <w:jc w:val="right"/>
            </w:pPr>
            <w:r>
              <w:rPr>
                <w:rFonts w:hint="eastAsia"/>
              </w:rPr>
              <w:t>625,618.91</w:t>
            </w:r>
          </w:p>
        </w:tc>
      </w:tr>
    </w:tbl>
    <w:p w14:paraId="59F34239">
      <w:pPr>
        <w:pStyle w:val="47"/>
        <w:rPr>
          <w:rFonts w:hint="eastAsia"/>
        </w:rPr>
      </w:pPr>
      <w:r>
        <w:rPr>
          <w:rFonts w:hint="eastAsia"/>
        </w:rPr>
        <w:t>注：支付基金管理人南方基金的管理人报酬按前一日基金资产净值0.20%的年费率计提，逐日累计至每月月底，按月支付。其计算公式为：</w:t>
      </w:r>
    </w:p>
    <w:p w14:paraId="17A4886C">
      <w:pPr>
        <w:pStyle w:val="47"/>
        <w:rPr>
          <w:rFonts w:hint="eastAsia"/>
        </w:rPr>
      </w:pPr>
      <w:r>
        <w:tab/>
      </w:r>
      <w:r>
        <w:rPr>
          <w:rFonts w:hint="eastAsia"/>
        </w:rPr>
        <w:t>日管理人报酬＝前一日基金资产净值×0.20%÷当年天数。</w:t>
      </w:r>
    </w:p>
    <w:p w14:paraId="31128AA7">
      <w:pPr>
        <w:pStyle w:val="36"/>
      </w:pPr>
      <w:bookmarkStart w:id="113" w:name="_Toc113"/>
      <w:r>
        <w:t>基金托管费</w:t>
      </w:r>
      <w:bookmarkEnd w:id="113"/>
    </w:p>
    <w:p w14:paraId="7D6917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6DC5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782BE5C8">
            <w:pPr>
              <w:jc w:val="center"/>
            </w:pPr>
            <w:r>
              <w:rPr>
                <w:rFonts w:hint="eastAsia"/>
                <w:b/>
              </w:rPr>
              <w:t>项目</w:t>
            </w:r>
          </w:p>
        </w:tc>
        <w:tc>
          <w:tcPr>
            <w:tcW w:w="3599" w:type="dxa"/>
            <w:shd w:val="clear" w:color="auto" w:fill="BFBFBF"/>
            <w:vAlign w:val="center"/>
          </w:tcPr>
          <w:p w14:paraId="261C05BE">
            <w:pPr>
              <w:jc w:val="center"/>
            </w:pPr>
            <w:r>
              <w:rPr>
                <w:rFonts w:hint="eastAsia"/>
                <w:b/>
              </w:rPr>
              <w:t>本期2025年9月16日（基金合同生效日）至2025年12月31日</w:t>
            </w:r>
          </w:p>
        </w:tc>
      </w:tr>
      <w:tr w14:paraId="738B8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6753CD31">
            <w:r>
              <w:rPr>
                <w:rFonts w:hint="eastAsia"/>
              </w:rPr>
              <w:t>当期发生的基金应支付的托管费</w:t>
            </w:r>
          </w:p>
        </w:tc>
        <w:tc>
          <w:tcPr>
            <w:tcW w:w="3599" w:type="dxa"/>
            <w:vAlign w:val="center"/>
          </w:tcPr>
          <w:p w14:paraId="094857D2">
            <w:pPr>
              <w:jc w:val="right"/>
            </w:pPr>
            <w:r>
              <w:rPr>
                <w:rFonts w:hint="eastAsia"/>
              </w:rPr>
              <w:t>298,858.70</w:t>
            </w:r>
          </w:p>
        </w:tc>
      </w:tr>
    </w:tbl>
    <w:p w14:paraId="08C01E5A">
      <w:pPr>
        <w:pStyle w:val="47"/>
        <w:rPr>
          <w:rFonts w:hint="eastAsia"/>
        </w:rPr>
      </w:pPr>
      <w:r>
        <w:rPr>
          <w:rFonts w:hint="eastAsia"/>
        </w:rPr>
        <w:t>注：支付基金托管人的托管费按前一日基金资产净值0.05%的年费率计提，逐日累计至每月月底，按月支付。其计算公式为：</w:t>
      </w:r>
    </w:p>
    <w:p w14:paraId="1F905F09">
      <w:pPr>
        <w:pStyle w:val="47"/>
        <w:rPr>
          <w:rFonts w:hint="eastAsia"/>
        </w:rPr>
      </w:pPr>
      <w:r>
        <w:tab/>
      </w:r>
      <w:r>
        <w:rPr>
          <w:rFonts w:hint="eastAsia"/>
        </w:rPr>
        <w:t>日托管费＝前一日基金资产净值×0.05%÷当年天数。</w:t>
      </w:r>
    </w:p>
    <w:p w14:paraId="0BAEA788">
      <w:pPr>
        <w:pStyle w:val="36"/>
      </w:pPr>
      <w:bookmarkStart w:id="114" w:name="_Toc114"/>
      <w:r>
        <w:t>销售服务费</w:t>
      </w:r>
      <w:bookmarkEnd w:id="114"/>
    </w:p>
    <w:p w14:paraId="278A50E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5C14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00E2E97">
            <w:r>
              <w:rPr>
                <w:rFonts w:hint="eastAsia"/>
              </w:rPr>
              <w:t>获得销售服务费的各关联方名称</w:t>
            </w:r>
          </w:p>
        </w:tc>
        <w:tc>
          <w:tcPr>
            <w:tcW w:w="2214" w:type="dxa"/>
            <w:gridSpan w:val="3"/>
            <w:vAlign w:val="center"/>
          </w:tcPr>
          <w:p w14:paraId="4CEBBE0D">
            <w:r>
              <w:rPr>
                <w:rFonts w:hint="eastAsia"/>
              </w:rPr>
              <w:t>本期2025年9月16日(基金合同生效日)至2025年12月31日</w:t>
            </w:r>
          </w:p>
        </w:tc>
      </w:tr>
      <w:tr w14:paraId="093E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72311AD"/>
        </w:tc>
        <w:tc>
          <w:tcPr>
            <w:tcW w:w="2214" w:type="dxa"/>
            <w:gridSpan w:val="3"/>
            <w:vAlign w:val="center"/>
          </w:tcPr>
          <w:p w14:paraId="78F871B7">
            <w:r>
              <w:rPr>
                <w:rFonts w:hint="eastAsia"/>
              </w:rPr>
              <w:t>当期发生的基金应支付的销售服务费</w:t>
            </w:r>
          </w:p>
        </w:tc>
      </w:tr>
      <w:tr w14:paraId="3B74F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1B53AE1"/>
        </w:tc>
        <w:tc>
          <w:tcPr>
            <w:tcW w:w="2214" w:type="dxa"/>
            <w:vAlign w:val="center"/>
          </w:tcPr>
          <w:p w14:paraId="562FF0B6">
            <w:r>
              <w:rPr>
                <w:rFonts w:hint="eastAsia"/>
              </w:rPr>
              <w:t>南方稳航120天滚动持有债券A</w:t>
            </w:r>
          </w:p>
        </w:tc>
        <w:tc>
          <w:tcPr>
            <w:tcW w:w="2214" w:type="dxa"/>
            <w:vAlign w:val="center"/>
          </w:tcPr>
          <w:p w14:paraId="6E99D991">
            <w:r>
              <w:rPr>
                <w:rFonts w:hint="eastAsia"/>
              </w:rPr>
              <w:t>南方稳航120天滚动持有债券C</w:t>
            </w:r>
          </w:p>
        </w:tc>
        <w:tc>
          <w:tcPr>
            <w:tcW w:w="1938" w:type="dxa"/>
            <w:vAlign w:val="center"/>
          </w:tcPr>
          <w:p w14:paraId="4C600C22">
            <w:r>
              <w:rPr>
                <w:rFonts w:hint="eastAsia"/>
              </w:rPr>
              <w:t>合计</w:t>
            </w:r>
          </w:p>
        </w:tc>
      </w:tr>
      <w:tr w14:paraId="352A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FCF7D31">
            <w:r>
              <w:rPr>
                <w:rFonts w:hint="eastAsia"/>
              </w:rPr>
              <w:t>华泰证券</w:t>
            </w:r>
          </w:p>
        </w:tc>
        <w:tc>
          <w:tcPr>
            <w:tcW w:w="2214" w:type="dxa"/>
            <w:vAlign w:val="center"/>
          </w:tcPr>
          <w:p w14:paraId="7DD2A2AE">
            <w:pPr>
              <w:jc w:val="right"/>
            </w:pPr>
            <w:r>
              <w:rPr>
                <w:rFonts w:hint="eastAsia"/>
              </w:rPr>
              <w:t>-</w:t>
            </w:r>
          </w:p>
        </w:tc>
        <w:tc>
          <w:tcPr>
            <w:tcW w:w="2214" w:type="dxa"/>
            <w:vAlign w:val="center"/>
          </w:tcPr>
          <w:p w14:paraId="3A6D9269">
            <w:pPr>
              <w:jc w:val="right"/>
            </w:pPr>
            <w:r>
              <w:rPr>
                <w:rFonts w:hint="eastAsia"/>
              </w:rPr>
              <w:t>7.42</w:t>
            </w:r>
          </w:p>
        </w:tc>
        <w:tc>
          <w:tcPr>
            <w:tcW w:w="1938" w:type="dxa"/>
            <w:vAlign w:val="center"/>
          </w:tcPr>
          <w:p w14:paraId="341C66EF">
            <w:pPr>
              <w:jc w:val="right"/>
            </w:pPr>
            <w:r>
              <w:rPr>
                <w:rFonts w:hint="eastAsia"/>
              </w:rPr>
              <w:t>7.42</w:t>
            </w:r>
          </w:p>
        </w:tc>
      </w:tr>
      <w:tr w14:paraId="43CB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B1E71E6">
            <w:r>
              <w:rPr>
                <w:rFonts w:hint="eastAsia"/>
              </w:rPr>
              <w:t>南方基金</w:t>
            </w:r>
          </w:p>
        </w:tc>
        <w:tc>
          <w:tcPr>
            <w:tcW w:w="2214" w:type="dxa"/>
            <w:vAlign w:val="center"/>
          </w:tcPr>
          <w:p w14:paraId="3CAF2078">
            <w:pPr>
              <w:jc w:val="right"/>
            </w:pPr>
            <w:r>
              <w:rPr>
                <w:rFonts w:hint="eastAsia"/>
              </w:rPr>
              <w:t>-</w:t>
            </w:r>
          </w:p>
        </w:tc>
        <w:tc>
          <w:tcPr>
            <w:tcW w:w="2214" w:type="dxa"/>
            <w:vAlign w:val="center"/>
          </w:tcPr>
          <w:p w14:paraId="36672181">
            <w:pPr>
              <w:jc w:val="right"/>
            </w:pPr>
            <w:r>
              <w:rPr>
                <w:rFonts w:hint="eastAsia"/>
              </w:rPr>
              <w:t>157.94</w:t>
            </w:r>
          </w:p>
        </w:tc>
        <w:tc>
          <w:tcPr>
            <w:tcW w:w="1938" w:type="dxa"/>
            <w:vAlign w:val="center"/>
          </w:tcPr>
          <w:p w14:paraId="1D74AB37">
            <w:pPr>
              <w:jc w:val="right"/>
            </w:pPr>
            <w:r>
              <w:rPr>
                <w:rFonts w:hint="eastAsia"/>
              </w:rPr>
              <w:t>157.94</w:t>
            </w:r>
          </w:p>
        </w:tc>
      </w:tr>
      <w:tr w14:paraId="20E13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2FFE814">
            <w:r>
              <w:rPr>
                <w:rFonts w:hint="eastAsia"/>
              </w:rPr>
              <w:t>农业银行</w:t>
            </w:r>
          </w:p>
        </w:tc>
        <w:tc>
          <w:tcPr>
            <w:tcW w:w="2214" w:type="dxa"/>
            <w:vAlign w:val="center"/>
          </w:tcPr>
          <w:p w14:paraId="2037B5EE">
            <w:pPr>
              <w:jc w:val="right"/>
            </w:pPr>
            <w:r>
              <w:rPr>
                <w:rFonts w:hint="eastAsia"/>
              </w:rPr>
              <w:t>-</w:t>
            </w:r>
          </w:p>
        </w:tc>
        <w:tc>
          <w:tcPr>
            <w:tcW w:w="2214" w:type="dxa"/>
            <w:vAlign w:val="center"/>
          </w:tcPr>
          <w:p w14:paraId="3408211E">
            <w:pPr>
              <w:jc w:val="right"/>
            </w:pPr>
            <w:r>
              <w:rPr>
                <w:rFonts w:hint="eastAsia"/>
              </w:rPr>
              <w:t>238,246.39</w:t>
            </w:r>
          </w:p>
        </w:tc>
        <w:tc>
          <w:tcPr>
            <w:tcW w:w="1938" w:type="dxa"/>
            <w:vAlign w:val="center"/>
          </w:tcPr>
          <w:p w14:paraId="7676B8CF">
            <w:pPr>
              <w:jc w:val="right"/>
            </w:pPr>
            <w:r>
              <w:rPr>
                <w:rFonts w:hint="eastAsia"/>
              </w:rPr>
              <w:t>238,246.39</w:t>
            </w:r>
          </w:p>
        </w:tc>
      </w:tr>
      <w:tr w14:paraId="2C08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775FE55">
            <w:r>
              <w:rPr>
                <w:rFonts w:hint="eastAsia"/>
              </w:rPr>
              <w:t>合计</w:t>
            </w:r>
          </w:p>
        </w:tc>
        <w:tc>
          <w:tcPr>
            <w:tcW w:w="2214" w:type="dxa"/>
            <w:vAlign w:val="center"/>
          </w:tcPr>
          <w:p w14:paraId="7CE1A5E5">
            <w:pPr>
              <w:jc w:val="right"/>
            </w:pPr>
            <w:r>
              <w:rPr>
                <w:rFonts w:hint="eastAsia"/>
              </w:rPr>
              <w:t>-</w:t>
            </w:r>
          </w:p>
        </w:tc>
        <w:tc>
          <w:tcPr>
            <w:tcW w:w="2214" w:type="dxa"/>
            <w:vAlign w:val="center"/>
          </w:tcPr>
          <w:p w14:paraId="5D9A1AD5">
            <w:pPr>
              <w:jc w:val="right"/>
            </w:pPr>
            <w:r>
              <w:rPr>
                <w:rFonts w:hint="eastAsia"/>
              </w:rPr>
              <w:t>238,411.75</w:t>
            </w:r>
          </w:p>
        </w:tc>
        <w:tc>
          <w:tcPr>
            <w:tcW w:w="1938" w:type="dxa"/>
            <w:vAlign w:val="center"/>
          </w:tcPr>
          <w:p w14:paraId="45C13847">
            <w:pPr>
              <w:jc w:val="right"/>
            </w:pPr>
            <w:r>
              <w:rPr>
                <w:rFonts w:hint="eastAsia"/>
              </w:rPr>
              <w:t>238,411.75</w:t>
            </w:r>
          </w:p>
        </w:tc>
      </w:tr>
    </w:tbl>
    <w:p w14:paraId="5A00DC35">
      <w:pPr>
        <w:pStyle w:val="47"/>
        <w:rPr>
          <w:rFonts w:hint="eastAsia"/>
        </w:rPr>
      </w:pPr>
      <w:r>
        <w:rPr>
          <w:rFonts w:hint="eastAsia"/>
        </w:rPr>
        <w:t>注：支付基金销售机构的销售服务费按前一日C类基金份额的基金资产净值0.20%的年费率计提，逐日累计至每月月底，按月支付给南方基金，再由南方基金计算并支付给各基金销售机构。其计算公式为：</w:t>
      </w:r>
    </w:p>
    <w:p w14:paraId="2B7C0C1D">
      <w:pPr>
        <w:pStyle w:val="47"/>
        <w:rPr>
          <w:rFonts w:hint="eastAsia"/>
        </w:rPr>
      </w:pPr>
      <w:r>
        <w:tab/>
      </w:r>
      <w:r>
        <w:rPr>
          <w:rFonts w:hint="eastAsia"/>
        </w:rPr>
        <w:t>日销售服务费＝前一日C类基金份额的基金资产净值×0.20%÷当年天数。</w:t>
      </w:r>
    </w:p>
    <w:p w14:paraId="2708E915">
      <w:pPr>
        <w:pStyle w:val="35"/>
      </w:pPr>
      <w:bookmarkStart w:id="115" w:name="_Toc115"/>
      <w:r>
        <w:t>与关联方进行银行间同业市场的债券（含回购）交易</w:t>
      </w:r>
      <w:bookmarkEnd w:id="115"/>
    </w:p>
    <w:p w14:paraId="19E37F47">
      <w:pPr>
        <w:pStyle w:val="18"/>
        <w:rPr>
          <w:rFonts w:hint="eastAsia"/>
        </w:rPr>
      </w:pPr>
      <w:r>
        <w:rPr>
          <w:rFonts w:hint="eastAsia"/>
        </w:rPr>
        <w:t>无。</w:t>
      </w:r>
    </w:p>
    <w:p w14:paraId="06A918D3">
      <w:pPr>
        <w:pStyle w:val="35"/>
      </w:pPr>
      <w:bookmarkStart w:id="116" w:name="_Toc116"/>
      <w:r>
        <w:t>报告期内转融通证券出借业务发生重大关联交易事项的说明</w:t>
      </w:r>
      <w:bookmarkEnd w:id="116"/>
    </w:p>
    <w:p w14:paraId="509DE85A">
      <w:pPr>
        <w:pStyle w:val="36"/>
      </w:pPr>
      <w:bookmarkStart w:id="117" w:name="_Toc117"/>
      <w:r>
        <w:t>与关联方通过约定申报方式进行的适用固定期限费率的证券出借业务的情况</w:t>
      </w:r>
      <w:bookmarkEnd w:id="117"/>
    </w:p>
    <w:p w14:paraId="3AD8F378">
      <w:pPr>
        <w:pStyle w:val="18"/>
        <w:rPr>
          <w:rFonts w:hint="eastAsia"/>
        </w:rPr>
      </w:pPr>
      <w:r>
        <w:rPr>
          <w:rFonts w:hint="eastAsia"/>
        </w:rPr>
        <w:t>无。</w:t>
      </w:r>
    </w:p>
    <w:p w14:paraId="1F597313">
      <w:pPr>
        <w:pStyle w:val="36"/>
      </w:pPr>
      <w:bookmarkStart w:id="118" w:name="_Toc118"/>
      <w:r>
        <w:t>与关联方通过约定申报方式进行的适用市场化期限费率的证券出借业务的情况</w:t>
      </w:r>
      <w:bookmarkEnd w:id="118"/>
    </w:p>
    <w:p w14:paraId="4AFBD027">
      <w:pPr>
        <w:pStyle w:val="18"/>
        <w:rPr>
          <w:rFonts w:hint="eastAsia"/>
        </w:rPr>
      </w:pPr>
      <w:r>
        <w:rPr>
          <w:rFonts w:hint="eastAsia"/>
        </w:rPr>
        <w:t>无。</w:t>
      </w:r>
    </w:p>
    <w:p w14:paraId="3D413B9D">
      <w:pPr>
        <w:pStyle w:val="35"/>
      </w:pPr>
      <w:bookmarkStart w:id="119" w:name="_Toc119"/>
      <w:r>
        <w:t>各关联方投资本基金的情况</w:t>
      </w:r>
      <w:bookmarkEnd w:id="119"/>
    </w:p>
    <w:p w14:paraId="21CD3C5C">
      <w:pPr>
        <w:pStyle w:val="36"/>
      </w:pPr>
      <w:bookmarkStart w:id="120" w:name="_Toc120"/>
      <w:r>
        <w:t>报告期内基金管理人运用固有资金投资本基金的情况</w:t>
      </w:r>
      <w:bookmarkEnd w:id="120"/>
    </w:p>
    <w:p w14:paraId="7D7E0ABD">
      <w:pPr>
        <w:pStyle w:val="18"/>
        <w:rPr>
          <w:rFonts w:hint="eastAsia"/>
        </w:rPr>
      </w:pPr>
      <w:r>
        <w:rPr>
          <w:rFonts w:hint="eastAsia"/>
        </w:rPr>
        <w:t>无。</w:t>
      </w:r>
    </w:p>
    <w:p w14:paraId="6C690F8D">
      <w:pPr>
        <w:pStyle w:val="36"/>
      </w:pPr>
      <w:bookmarkStart w:id="121" w:name="_Toc121"/>
      <w:r>
        <w:t>报告期末除基金管理人之外的其他关联方投资本基金的情况</w:t>
      </w:r>
      <w:bookmarkEnd w:id="121"/>
    </w:p>
    <w:p w14:paraId="62307891">
      <w:pPr>
        <w:pStyle w:val="18"/>
        <w:rPr>
          <w:rFonts w:hint="eastAsia"/>
        </w:rPr>
      </w:pPr>
      <w:r>
        <w:rPr>
          <w:rFonts w:hint="eastAsia"/>
        </w:rPr>
        <w:t>无。</w:t>
      </w:r>
    </w:p>
    <w:p w14:paraId="410C789F">
      <w:pPr>
        <w:pStyle w:val="35"/>
      </w:pPr>
      <w:bookmarkStart w:id="122" w:name="_Toc122"/>
      <w:r>
        <w:t>由关联方保管的银行存款余额及当期产生的利息收入</w:t>
      </w:r>
      <w:bookmarkEnd w:id="122"/>
    </w:p>
    <w:p w14:paraId="1472DE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3294"/>
        <w:gridCol w:w="3294"/>
      </w:tblGrid>
      <w:tr w14:paraId="666CD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shd w:val="clear" w:color="auto" w:fill="BFBFBF"/>
            <w:vAlign w:val="center"/>
          </w:tcPr>
          <w:p w14:paraId="5E19F5CA">
            <w:pPr>
              <w:jc w:val="center"/>
            </w:pPr>
            <w:r>
              <w:rPr>
                <w:rFonts w:hint="eastAsia"/>
                <w:b/>
              </w:rPr>
              <w:t>关联方名称</w:t>
            </w:r>
          </w:p>
        </w:tc>
        <w:tc>
          <w:tcPr>
            <w:tcW w:w="3294" w:type="dxa"/>
            <w:gridSpan w:val="2"/>
            <w:shd w:val="clear" w:color="auto" w:fill="BFBFBF"/>
            <w:vAlign w:val="center"/>
          </w:tcPr>
          <w:p w14:paraId="097B2166">
            <w:pPr>
              <w:jc w:val="center"/>
            </w:pPr>
            <w:r>
              <w:rPr>
                <w:rFonts w:hint="eastAsia"/>
                <w:b/>
              </w:rPr>
              <w:t>本期2025年9月16日（基金合同生效日）至2025年12月31日</w:t>
            </w:r>
          </w:p>
        </w:tc>
      </w:tr>
      <w:tr w14:paraId="655DA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vAlign w:val="center"/>
          </w:tcPr>
          <w:p w14:paraId="46F17F9E"/>
        </w:tc>
        <w:tc>
          <w:tcPr>
            <w:tcW w:w="3294" w:type="dxa"/>
            <w:shd w:val="clear" w:color="auto" w:fill="BFBFBF"/>
            <w:vAlign w:val="center"/>
          </w:tcPr>
          <w:p w14:paraId="2215FBD3">
            <w:pPr>
              <w:jc w:val="center"/>
            </w:pPr>
            <w:r>
              <w:rPr>
                <w:rFonts w:hint="eastAsia"/>
                <w:b/>
              </w:rPr>
              <w:t>期末余额</w:t>
            </w:r>
          </w:p>
        </w:tc>
        <w:tc>
          <w:tcPr>
            <w:tcW w:w="3294" w:type="dxa"/>
            <w:shd w:val="clear" w:color="auto" w:fill="BFBFBF"/>
            <w:vAlign w:val="center"/>
          </w:tcPr>
          <w:p w14:paraId="282DE882">
            <w:pPr>
              <w:jc w:val="center"/>
            </w:pPr>
            <w:r>
              <w:rPr>
                <w:rFonts w:hint="eastAsia"/>
                <w:b/>
              </w:rPr>
              <w:t>当期利息收入</w:t>
            </w:r>
          </w:p>
        </w:tc>
      </w:tr>
      <w:tr w14:paraId="387B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3B5EF32B">
            <w:r>
              <w:rPr>
                <w:rFonts w:hint="eastAsia"/>
              </w:rPr>
              <w:t>中国农业银行</w:t>
            </w:r>
          </w:p>
        </w:tc>
        <w:tc>
          <w:tcPr>
            <w:tcW w:w="3294" w:type="dxa"/>
            <w:vAlign w:val="center"/>
          </w:tcPr>
          <w:p w14:paraId="14994617">
            <w:pPr>
              <w:jc w:val="right"/>
            </w:pPr>
            <w:r>
              <w:rPr>
                <w:rFonts w:hint="eastAsia"/>
              </w:rPr>
              <w:t>11,206,252.35</w:t>
            </w:r>
          </w:p>
        </w:tc>
        <w:tc>
          <w:tcPr>
            <w:tcW w:w="3294" w:type="dxa"/>
            <w:vAlign w:val="center"/>
          </w:tcPr>
          <w:p w14:paraId="61423616">
            <w:pPr>
              <w:jc w:val="right"/>
            </w:pPr>
            <w:r>
              <w:rPr>
                <w:rFonts w:hint="eastAsia"/>
              </w:rPr>
              <w:t>45,710.98</w:t>
            </w:r>
          </w:p>
        </w:tc>
      </w:tr>
    </w:tbl>
    <w:p w14:paraId="22CEFE6D">
      <w:pPr>
        <w:pStyle w:val="47"/>
        <w:rPr>
          <w:rFonts w:hint="eastAsia"/>
        </w:rPr>
      </w:pPr>
      <w:r>
        <w:rPr>
          <w:rFonts w:hint="eastAsia"/>
        </w:rPr>
        <w:t>注：本基金的银行存款由基金托管人保管，按银行约定利率计息。</w:t>
      </w:r>
    </w:p>
    <w:p w14:paraId="2B13565E">
      <w:pPr>
        <w:pStyle w:val="35"/>
      </w:pPr>
      <w:bookmarkStart w:id="123" w:name="_Toc123"/>
      <w:r>
        <w:t>本基金在承销期内参与关联方承销证券的情况</w:t>
      </w:r>
      <w:bookmarkEnd w:id="123"/>
    </w:p>
    <w:p w14:paraId="45005093">
      <w:pPr>
        <w:pStyle w:val="18"/>
        <w:rPr>
          <w:rFonts w:hint="eastAsia"/>
        </w:rPr>
      </w:pPr>
      <w:r>
        <w:rPr>
          <w:rFonts w:hint="eastAsia"/>
        </w:rPr>
        <w:t>无。</w:t>
      </w:r>
    </w:p>
    <w:p w14:paraId="09AAE6F8">
      <w:pPr>
        <w:pStyle w:val="35"/>
      </w:pPr>
      <w:bookmarkStart w:id="124" w:name="_Toc124"/>
      <w:r>
        <w:t>其他关联交易事项的说明</w:t>
      </w:r>
      <w:bookmarkEnd w:id="124"/>
    </w:p>
    <w:p w14:paraId="0B17F969">
      <w:pPr>
        <w:pStyle w:val="18"/>
        <w:rPr>
          <w:rFonts w:hint="eastAsia"/>
        </w:rPr>
      </w:pPr>
      <w:r>
        <w:rPr>
          <w:rFonts w:hint="eastAsia"/>
        </w:rPr>
        <w:t>无。</w:t>
      </w:r>
    </w:p>
    <w:p w14:paraId="567CB8DB">
      <w:pPr>
        <w:pStyle w:val="28"/>
      </w:pPr>
      <w:bookmarkStart w:id="125" w:name="_Toc125"/>
      <w:r>
        <w:t>利润分配情况——固定净值型货币市场基金之外的基金</w:t>
      </w:r>
      <w:bookmarkEnd w:id="125"/>
    </w:p>
    <w:p w14:paraId="589D7396">
      <w:pPr>
        <w:pStyle w:val="47"/>
        <w:rPr>
          <w:rFonts w:hint="eastAsia"/>
        </w:rPr>
      </w:pPr>
      <w:r>
        <w:rPr>
          <w:rFonts w:hint="eastAsia"/>
        </w:rPr>
        <w:t>注：本期无。本基金报告期后分红情况（如有）详见本报告“资产负债表日后事项”部分内容。</w:t>
      </w:r>
    </w:p>
    <w:p w14:paraId="4E77A894">
      <w:pPr>
        <w:pStyle w:val="28"/>
      </w:pPr>
      <w:bookmarkStart w:id="126" w:name="_Toc126"/>
      <w:r>
        <w:t>期末（2025年12月31日）本基金持有的流通受限证券</w:t>
      </w:r>
      <w:bookmarkEnd w:id="126"/>
    </w:p>
    <w:p w14:paraId="44741497">
      <w:pPr>
        <w:pStyle w:val="35"/>
      </w:pPr>
      <w:bookmarkStart w:id="127" w:name="_Toc127"/>
      <w:r>
        <w:t>因认购新发/增发证券而于期末持有的流通受限证券</w:t>
      </w:r>
      <w:bookmarkEnd w:id="127"/>
    </w:p>
    <w:p w14:paraId="619C3647">
      <w:pPr>
        <w:pStyle w:val="18"/>
        <w:rPr>
          <w:rFonts w:hint="eastAsia"/>
        </w:rPr>
      </w:pPr>
      <w:r>
        <w:rPr>
          <w:rFonts w:hint="eastAsia"/>
        </w:rPr>
        <w:t>无。</w:t>
      </w:r>
    </w:p>
    <w:p w14:paraId="1DF4F680">
      <w:pPr>
        <w:pStyle w:val="35"/>
      </w:pPr>
      <w:bookmarkStart w:id="128" w:name="_Toc128"/>
      <w:r>
        <w:t>期末持有的暂时停牌等流通受限股票</w:t>
      </w:r>
      <w:bookmarkEnd w:id="128"/>
    </w:p>
    <w:p w14:paraId="113B2BA9">
      <w:pPr>
        <w:pStyle w:val="18"/>
        <w:rPr>
          <w:rFonts w:hint="eastAsia"/>
        </w:rPr>
      </w:pPr>
      <w:r>
        <w:rPr>
          <w:rFonts w:hint="eastAsia"/>
        </w:rPr>
        <w:t>无。</w:t>
      </w:r>
    </w:p>
    <w:p w14:paraId="65A16575">
      <w:pPr>
        <w:pStyle w:val="35"/>
      </w:pPr>
      <w:bookmarkStart w:id="129" w:name="_Toc129"/>
      <w:r>
        <w:t>期末债券正回购交易中作为抵押的债券</w:t>
      </w:r>
      <w:bookmarkEnd w:id="129"/>
    </w:p>
    <w:p w14:paraId="50B553DF">
      <w:pPr>
        <w:pStyle w:val="36"/>
      </w:pPr>
      <w:bookmarkStart w:id="130" w:name="_Toc130"/>
      <w:r>
        <w:t>银行间市场债券正回购</w:t>
      </w:r>
      <w:bookmarkEnd w:id="130"/>
    </w:p>
    <w:p w14:paraId="341F8407">
      <w:pPr>
        <w:pStyle w:val="18"/>
        <w:rPr>
          <w:rFonts w:hint="eastAsia"/>
        </w:rPr>
      </w:pPr>
      <w:r>
        <w:rPr>
          <w:rFonts w:hint="eastAsia"/>
        </w:rPr>
        <w:t>截至本报告期末2025年12月31日止，本基金从事银行间市场债券正回购交易形成的卖出回购证券款余额50,008,929.68元，是以如下债券作为质押：</w:t>
      </w:r>
    </w:p>
    <w:p w14:paraId="32AC74D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24AB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7" w:type="dxa"/>
            <w:shd w:val="clear" w:color="auto" w:fill="BFBFBF"/>
            <w:vAlign w:val="center"/>
          </w:tcPr>
          <w:p w14:paraId="0C1F2D1B">
            <w:pPr>
              <w:jc w:val="center"/>
            </w:pPr>
            <w:r>
              <w:rPr>
                <w:rFonts w:hint="eastAsia"/>
                <w:b/>
              </w:rPr>
              <w:t>债券代码</w:t>
            </w:r>
          </w:p>
        </w:tc>
        <w:tc>
          <w:tcPr>
            <w:tcW w:w="1218" w:type="dxa"/>
            <w:shd w:val="clear" w:color="auto" w:fill="BFBFBF"/>
            <w:vAlign w:val="center"/>
          </w:tcPr>
          <w:p w14:paraId="760E29BB">
            <w:pPr>
              <w:jc w:val="center"/>
            </w:pPr>
            <w:r>
              <w:rPr>
                <w:rFonts w:hint="eastAsia"/>
                <w:b/>
              </w:rPr>
              <w:t>债券名称</w:t>
            </w:r>
          </w:p>
        </w:tc>
        <w:tc>
          <w:tcPr>
            <w:tcW w:w="1328" w:type="dxa"/>
            <w:shd w:val="clear" w:color="auto" w:fill="BFBFBF"/>
            <w:vAlign w:val="center"/>
          </w:tcPr>
          <w:p w14:paraId="0DB0CE6F">
            <w:pPr>
              <w:jc w:val="center"/>
            </w:pPr>
            <w:r>
              <w:rPr>
                <w:rFonts w:hint="eastAsia"/>
                <w:b/>
              </w:rPr>
              <w:t>回购到期日</w:t>
            </w:r>
          </w:p>
        </w:tc>
        <w:tc>
          <w:tcPr>
            <w:tcW w:w="1328" w:type="dxa"/>
            <w:shd w:val="clear" w:color="auto" w:fill="BFBFBF"/>
            <w:vAlign w:val="center"/>
          </w:tcPr>
          <w:p w14:paraId="3DE7FA79">
            <w:pPr>
              <w:jc w:val="center"/>
            </w:pPr>
            <w:r>
              <w:rPr>
                <w:rFonts w:hint="eastAsia"/>
                <w:b/>
              </w:rPr>
              <w:t>期末估值单价</w:t>
            </w:r>
          </w:p>
        </w:tc>
        <w:tc>
          <w:tcPr>
            <w:tcW w:w="1495" w:type="dxa"/>
            <w:shd w:val="clear" w:color="auto" w:fill="BFBFBF"/>
            <w:vAlign w:val="center"/>
          </w:tcPr>
          <w:p w14:paraId="070424ED">
            <w:pPr>
              <w:jc w:val="center"/>
            </w:pPr>
            <w:r>
              <w:rPr>
                <w:rFonts w:hint="eastAsia"/>
                <w:b/>
              </w:rPr>
              <w:t>数量（张）</w:t>
            </w:r>
          </w:p>
        </w:tc>
        <w:tc>
          <w:tcPr>
            <w:tcW w:w="1827" w:type="dxa"/>
            <w:shd w:val="clear" w:color="auto" w:fill="BFBFBF"/>
            <w:vAlign w:val="center"/>
          </w:tcPr>
          <w:p w14:paraId="0649B3B4">
            <w:pPr>
              <w:jc w:val="center"/>
            </w:pPr>
            <w:r>
              <w:rPr>
                <w:rFonts w:hint="eastAsia"/>
                <w:b/>
              </w:rPr>
              <w:t>期末估值总额</w:t>
            </w:r>
          </w:p>
        </w:tc>
      </w:tr>
      <w:tr w14:paraId="0729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8A8DAC9">
            <w:r>
              <w:rPr>
                <w:rFonts w:hint="eastAsia"/>
              </w:rPr>
              <w:t>2128028</w:t>
            </w:r>
          </w:p>
        </w:tc>
        <w:tc>
          <w:tcPr>
            <w:tcW w:w="1218" w:type="dxa"/>
            <w:vAlign w:val="center"/>
          </w:tcPr>
          <w:p w14:paraId="3673EE60">
            <w:r>
              <w:rPr>
                <w:rFonts w:hint="eastAsia"/>
              </w:rPr>
              <w:t>21邮储银行二级01</w:t>
            </w:r>
          </w:p>
        </w:tc>
        <w:tc>
          <w:tcPr>
            <w:tcW w:w="1328" w:type="dxa"/>
            <w:vAlign w:val="center"/>
          </w:tcPr>
          <w:p w14:paraId="4F747356">
            <w:r>
              <w:rPr>
                <w:rFonts w:hint="eastAsia"/>
              </w:rPr>
              <w:t>2026年1月5日</w:t>
            </w:r>
          </w:p>
        </w:tc>
        <w:tc>
          <w:tcPr>
            <w:tcW w:w="1328" w:type="dxa"/>
            <w:vAlign w:val="center"/>
          </w:tcPr>
          <w:p w14:paraId="720DF75E">
            <w:pPr>
              <w:jc w:val="right"/>
            </w:pPr>
            <w:r>
              <w:rPr>
                <w:rFonts w:hint="eastAsia"/>
              </w:rPr>
              <w:t>102.32</w:t>
            </w:r>
          </w:p>
        </w:tc>
        <w:tc>
          <w:tcPr>
            <w:tcW w:w="1495" w:type="dxa"/>
            <w:vAlign w:val="center"/>
          </w:tcPr>
          <w:p w14:paraId="4FD872C0">
            <w:pPr>
              <w:jc w:val="right"/>
            </w:pPr>
            <w:r>
              <w:rPr>
                <w:rFonts w:hint="eastAsia"/>
              </w:rPr>
              <w:t>516,000</w:t>
            </w:r>
          </w:p>
        </w:tc>
        <w:tc>
          <w:tcPr>
            <w:tcW w:w="1827" w:type="dxa"/>
            <w:vAlign w:val="center"/>
          </w:tcPr>
          <w:p w14:paraId="2F5BE7BD">
            <w:pPr>
              <w:jc w:val="right"/>
            </w:pPr>
            <w:r>
              <w:rPr>
                <w:rFonts w:hint="eastAsia"/>
              </w:rPr>
              <w:t>52,795,935.32</w:t>
            </w:r>
          </w:p>
        </w:tc>
      </w:tr>
      <w:tr w14:paraId="58923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413AF0D">
            <w:r>
              <w:rPr>
                <w:rFonts w:hint="eastAsia"/>
              </w:rPr>
              <w:t>合计</w:t>
            </w:r>
          </w:p>
        </w:tc>
        <w:tc>
          <w:tcPr>
            <w:tcW w:w="1218" w:type="dxa"/>
            <w:vAlign w:val="center"/>
          </w:tcPr>
          <w:p w14:paraId="35D0709E">
            <w:pPr>
              <w:jc w:val="right"/>
            </w:pPr>
            <w:r>
              <w:rPr>
                <w:rFonts w:hint="eastAsia"/>
              </w:rPr>
              <w:t>-</w:t>
            </w:r>
          </w:p>
        </w:tc>
        <w:tc>
          <w:tcPr>
            <w:tcW w:w="1328" w:type="dxa"/>
            <w:vAlign w:val="center"/>
          </w:tcPr>
          <w:p w14:paraId="398E44BA">
            <w:pPr>
              <w:jc w:val="right"/>
            </w:pPr>
            <w:r>
              <w:rPr>
                <w:rFonts w:hint="eastAsia"/>
              </w:rPr>
              <w:t>-</w:t>
            </w:r>
          </w:p>
        </w:tc>
        <w:tc>
          <w:tcPr>
            <w:tcW w:w="1328" w:type="dxa"/>
            <w:vAlign w:val="center"/>
          </w:tcPr>
          <w:p w14:paraId="7CC7A63E">
            <w:pPr>
              <w:jc w:val="right"/>
            </w:pPr>
            <w:r>
              <w:rPr>
                <w:rFonts w:hint="eastAsia"/>
              </w:rPr>
              <w:t>-</w:t>
            </w:r>
          </w:p>
        </w:tc>
        <w:tc>
          <w:tcPr>
            <w:tcW w:w="1495" w:type="dxa"/>
            <w:vAlign w:val="center"/>
          </w:tcPr>
          <w:p w14:paraId="00E6A173">
            <w:pPr>
              <w:jc w:val="right"/>
            </w:pPr>
            <w:r>
              <w:rPr>
                <w:rFonts w:hint="eastAsia"/>
              </w:rPr>
              <w:t>516,000</w:t>
            </w:r>
          </w:p>
        </w:tc>
        <w:tc>
          <w:tcPr>
            <w:tcW w:w="1827" w:type="dxa"/>
            <w:vAlign w:val="center"/>
          </w:tcPr>
          <w:p w14:paraId="75CBD4F5">
            <w:pPr>
              <w:jc w:val="right"/>
            </w:pPr>
            <w:r>
              <w:rPr>
                <w:rFonts w:hint="eastAsia"/>
              </w:rPr>
              <w:t>52,795,935.32</w:t>
            </w:r>
          </w:p>
        </w:tc>
      </w:tr>
    </w:tbl>
    <w:p w14:paraId="0DCBC0B5">
      <w:pPr>
        <w:pStyle w:val="36"/>
      </w:pPr>
      <w:bookmarkStart w:id="131" w:name="_Toc131"/>
      <w:r>
        <w:t>交易所市场债券正回购</w:t>
      </w:r>
      <w:bookmarkEnd w:id="131"/>
    </w:p>
    <w:p w14:paraId="45B402D0">
      <w:pPr>
        <w:pStyle w:val="18"/>
        <w:rPr>
          <w:rFonts w:hint="eastAsia"/>
        </w:rPr>
      </w:pPr>
      <w:r>
        <w:rPr>
          <w:rFonts w:hint="eastAsia"/>
        </w:rPr>
        <w:t>截至本报告期末2025年12月31日止，基金从事证券交易所债券正回购交易形成的卖出回购证券款余额347,624,762.39元，于2026年1月5日（先后）到期。该类交易要求本基金在回购期内持有的证券交易所交易的债券和/或在新质押式回购下转入质押库的债券，按证券交易所规定的比例折算为标准券后，不低于债券回购交易的余额。</w:t>
      </w:r>
    </w:p>
    <w:p w14:paraId="5F0A7CFD">
      <w:pPr>
        <w:pStyle w:val="35"/>
      </w:pPr>
      <w:bookmarkStart w:id="132" w:name="_Toc132"/>
      <w:r>
        <w:t>期末参与转融通证券出借业务的证券</w:t>
      </w:r>
      <w:bookmarkEnd w:id="132"/>
    </w:p>
    <w:p w14:paraId="7B74E38F">
      <w:pPr>
        <w:pStyle w:val="18"/>
        <w:rPr>
          <w:rFonts w:hint="eastAsia"/>
        </w:rPr>
      </w:pPr>
      <w:r>
        <w:rPr>
          <w:rFonts w:hint="eastAsia"/>
        </w:rPr>
        <w:t>无。</w:t>
      </w:r>
    </w:p>
    <w:p w14:paraId="6BA64A0A">
      <w:pPr>
        <w:pStyle w:val="28"/>
      </w:pPr>
      <w:bookmarkStart w:id="133" w:name="_Toc133"/>
      <w:r>
        <w:t>金融工具风险及管理</w:t>
      </w:r>
      <w:bookmarkEnd w:id="133"/>
    </w:p>
    <w:p w14:paraId="5810A31A">
      <w:pPr>
        <w:pStyle w:val="35"/>
      </w:pPr>
      <w:bookmarkStart w:id="134" w:name="_Toc134"/>
      <w:r>
        <w:t>风险管理政策和组织架构</w:t>
      </w:r>
      <w:bookmarkEnd w:id="134"/>
    </w:p>
    <w:p w14:paraId="460382AE">
      <w:pPr>
        <w:pStyle w:val="18"/>
        <w:rPr>
          <w:rFonts w:hint="eastAsia"/>
        </w:rPr>
      </w:pPr>
      <w:r>
        <w:rPr>
          <w:rFonts w:hint="eastAsia"/>
        </w:rPr>
        <w:t>本基金为债券型基金，本基金投资的金融工具主要包括债券投资等。本基金在日常经营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32FC5B17">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1BD22D4">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E17C5FF">
      <w:pPr>
        <w:pStyle w:val="35"/>
      </w:pPr>
      <w:bookmarkStart w:id="135" w:name="_Toc135"/>
      <w:r>
        <w:t>信用风险</w:t>
      </w:r>
      <w:bookmarkEnd w:id="135"/>
    </w:p>
    <w:p w14:paraId="20275F14">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A3A414F">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2D0D0BE">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5268331">
      <w:pPr>
        <w:pStyle w:val="18"/>
        <w:rPr>
          <w:rFonts w:hint="eastAsia"/>
        </w:rPr>
      </w:pPr>
      <w:r>
        <w:rPr>
          <w:rFonts w:hint="eastAsia"/>
        </w:rPr>
        <w:t>于本期末，本基金持有的除国债、央行票据和政策性金融债以外的债券占净资产的比例为112.95%。</w:t>
      </w:r>
    </w:p>
    <w:p w14:paraId="38BCFC6E">
      <w:pPr>
        <w:pStyle w:val="35"/>
      </w:pPr>
      <w:bookmarkStart w:id="136" w:name="_Toc136"/>
      <w:r>
        <w:t>流动性风险</w:t>
      </w:r>
      <w:bookmarkEnd w:id="136"/>
    </w:p>
    <w:p w14:paraId="0AF7CF13">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8F93B6B">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FA74984">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7BE8AD62">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34A4882">
      <w:pPr>
        <w:pStyle w:val="36"/>
      </w:pPr>
      <w:bookmarkStart w:id="137" w:name="_Toc137"/>
      <w:r>
        <w:t>报告期内本基金组合资产的流动性风险分析</w:t>
      </w:r>
      <w:bookmarkEnd w:id="137"/>
    </w:p>
    <w:p w14:paraId="2D02705F">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59937A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2C3C6652">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w:t>
      </w:r>
    </w:p>
    <w:p w14:paraId="6E87EEA5">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2D6B3E5">
      <w:pPr>
        <w:pStyle w:val="35"/>
      </w:pPr>
      <w:bookmarkStart w:id="138" w:name="_Toc138"/>
      <w:r>
        <w:t>市场风险</w:t>
      </w:r>
      <w:bookmarkEnd w:id="138"/>
    </w:p>
    <w:p w14:paraId="3E6DC42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992AE01">
      <w:pPr>
        <w:pStyle w:val="36"/>
      </w:pPr>
      <w:bookmarkStart w:id="139" w:name="_Toc139"/>
      <w:r>
        <w:t>利率风险</w:t>
      </w:r>
      <w:bookmarkEnd w:id="139"/>
    </w:p>
    <w:p w14:paraId="4E1E98B7">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FB44B65">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98407CB">
      <w:pPr>
        <w:pStyle w:val="37"/>
      </w:pPr>
      <w:bookmarkStart w:id="140" w:name="_Toc140"/>
      <w:r>
        <w:t>利率风险敞口</w:t>
      </w:r>
      <w:bookmarkEnd w:id="140"/>
    </w:p>
    <w:p w14:paraId="4E7468A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B2A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F105EF">
            <w:r>
              <w:rPr>
                <w:rFonts w:hint="eastAsia"/>
              </w:rPr>
              <w:t>本期末2025年12月31日</w:t>
            </w:r>
          </w:p>
        </w:tc>
        <w:tc>
          <w:tcPr>
            <w:tcW w:w="1384" w:type="dxa"/>
            <w:vAlign w:val="center"/>
          </w:tcPr>
          <w:p w14:paraId="03EA80B4">
            <w:r>
              <w:rPr>
                <w:rFonts w:hint="eastAsia"/>
              </w:rPr>
              <w:t>1年以内</w:t>
            </w:r>
          </w:p>
        </w:tc>
        <w:tc>
          <w:tcPr>
            <w:tcW w:w="1384" w:type="dxa"/>
            <w:vAlign w:val="center"/>
          </w:tcPr>
          <w:p w14:paraId="61178237">
            <w:r>
              <w:rPr>
                <w:rFonts w:hint="eastAsia"/>
              </w:rPr>
              <w:t>1-5年</w:t>
            </w:r>
          </w:p>
        </w:tc>
        <w:tc>
          <w:tcPr>
            <w:tcW w:w="1384" w:type="dxa"/>
            <w:vAlign w:val="center"/>
          </w:tcPr>
          <w:p w14:paraId="7940A00A">
            <w:r>
              <w:rPr>
                <w:rFonts w:hint="eastAsia"/>
              </w:rPr>
              <w:t>5年以上</w:t>
            </w:r>
          </w:p>
        </w:tc>
        <w:tc>
          <w:tcPr>
            <w:tcW w:w="1384" w:type="dxa"/>
            <w:vAlign w:val="center"/>
          </w:tcPr>
          <w:p w14:paraId="2B256009">
            <w:r>
              <w:rPr>
                <w:rFonts w:hint="eastAsia"/>
              </w:rPr>
              <w:t>不计息</w:t>
            </w:r>
          </w:p>
        </w:tc>
        <w:tc>
          <w:tcPr>
            <w:tcW w:w="1384" w:type="dxa"/>
            <w:vAlign w:val="center"/>
          </w:tcPr>
          <w:p w14:paraId="38088F89">
            <w:r>
              <w:rPr>
                <w:rFonts w:hint="eastAsia"/>
              </w:rPr>
              <w:t>合计</w:t>
            </w:r>
          </w:p>
        </w:tc>
      </w:tr>
      <w:tr w14:paraId="7BDA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1E254C">
            <w:r>
              <w:rPr>
                <w:rFonts w:hint="eastAsia"/>
              </w:rPr>
              <w:t>资产</w:t>
            </w:r>
          </w:p>
        </w:tc>
        <w:tc>
          <w:tcPr>
            <w:tcW w:w="1384" w:type="dxa"/>
            <w:vAlign w:val="center"/>
          </w:tcPr>
          <w:p w14:paraId="5765E867"/>
        </w:tc>
        <w:tc>
          <w:tcPr>
            <w:tcW w:w="1384" w:type="dxa"/>
            <w:vAlign w:val="center"/>
          </w:tcPr>
          <w:p w14:paraId="134C06F7"/>
        </w:tc>
        <w:tc>
          <w:tcPr>
            <w:tcW w:w="1384" w:type="dxa"/>
            <w:vAlign w:val="center"/>
          </w:tcPr>
          <w:p w14:paraId="0ECF3D5D"/>
        </w:tc>
        <w:tc>
          <w:tcPr>
            <w:tcW w:w="1384" w:type="dxa"/>
            <w:vAlign w:val="center"/>
          </w:tcPr>
          <w:p w14:paraId="5E38BCE5"/>
        </w:tc>
        <w:tc>
          <w:tcPr>
            <w:tcW w:w="1384" w:type="dxa"/>
            <w:vAlign w:val="center"/>
          </w:tcPr>
          <w:p w14:paraId="67146218"/>
        </w:tc>
      </w:tr>
      <w:tr w14:paraId="3B1A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E0ADB6">
            <w:r>
              <w:rPr>
                <w:rFonts w:hint="eastAsia"/>
              </w:rPr>
              <w:t>货币资金</w:t>
            </w:r>
          </w:p>
        </w:tc>
        <w:tc>
          <w:tcPr>
            <w:tcW w:w="1384" w:type="dxa"/>
            <w:vAlign w:val="center"/>
          </w:tcPr>
          <w:p w14:paraId="66A13FA0">
            <w:pPr>
              <w:jc w:val="right"/>
            </w:pPr>
            <w:r>
              <w:rPr>
                <w:rFonts w:hint="eastAsia"/>
              </w:rPr>
              <w:t>11,206,252.35</w:t>
            </w:r>
          </w:p>
        </w:tc>
        <w:tc>
          <w:tcPr>
            <w:tcW w:w="1384" w:type="dxa"/>
            <w:vAlign w:val="center"/>
          </w:tcPr>
          <w:p w14:paraId="598370C6">
            <w:pPr>
              <w:jc w:val="right"/>
            </w:pPr>
            <w:r>
              <w:rPr>
                <w:rFonts w:hint="eastAsia"/>
              </w:rPr>
              <w:t>-</w:t>
            </w:r>
          </w:p>
        </w:tc>
        <w:tc>
          <w:tcPr>
            <w:tcW w:w="1384" w:type="dxa"/>
            <w:vAlign w:val="center"/>
          </w:tcPr>
          <w:p w14:paraId="33F5B8CF">
            <w:pPr>
              <w:jc w:val="right"/>
            </w:pPr>
            <w:r>
              <w:rPr>
                <w:rFonts w:hint="eastAsia"/>
              </w:rPr>
              <w:t>-</w:t>
            </w:r>
          </w:p>
        </w:tc>
        <w:tc>
          <w:tcPr>
            <w:tcW w:w="1384" w:type="dxa"/>
            <w:vAlign w:val="center"/>
          </w:tcPr>
          <w:p w14:paraId="0FFDF031">
            <w:pPr>
              <w:jc w:val="right"/>
            </w:pPr>
            <w:r>
              <w:rPr>
                <w:rFonts w:hint="eastAsia"/>
              </w:rPr>
              <w:t>-</w:t>
            </w:r>
          </w:p>
        </w:tc>
        <w:tc>
          <w:tcPr>
            <w:tcW w:w="1384" w:type="dxa"/>
            <w:vAlign w:val="center"/>
          </w:tcPr>
          <w:p w14:paraId="6402ECA9">
            <w:pPr>
              <w:jc w:val="right"/>
            </w:pPr>
            <w:r>
              <w:rPr>
                <w:rFonts w:hint="eastAsia"/>
              </w:rPr>
              <w:t>11,206,252.35</w:t>
            </w:r>
          </w:p>
        </w:tc>
      </w:tr>
      <w:tr w14:paraId="03FD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602BFD">
            <w:r>
              <w:rPr>
                <w:rFonts w:hint="eastAsia"/>
              </w:rPr>
              <w:t>结算备付金</w:t>
            </w:r>
          </w:p>
        </w:tc>
        <w:tc>
          <w:tcPr>
            <w:tcW w:w="1384" w:type="dxa"/>
            <w:vAlign w:val="center"/>
          </w:tcPr>
          <w:p w14:paraId="2DD2B1D4">
            <w:pPr>
              <w:jc w:val="right"/>
            </w:pPr>
            <w:r>
              <w:rPr>
                <w:rFonts w:hint="eastAsia"/>
              </w:rPr>
              <w:t>18,788,189.14</w:t>
            </w:r>
          </w:p>
        </w:tc>
        <w:tc>
          <w:tcPr>
            <w:tcW w:w="1384" w:type="dxa"/>
            <w:vAlign w:val="center"/>
          </w:tcPr>
          <w:p w14:paraId="61C63D61">
            <w:pPr>
              <w:jc w:val="right"/>
            </w:pPr>
            <w:r>
              <w:rPr>
                <w:rFonts w:hint="eastAsia"/>
              </w:rPr>
              <w:t>-</w:t>
            </w:r>
          </w:p>
        </w:tc>
        <w:tc>
          <w:tcPr>
            <w:tcW w:w="1384" w:type="dxa"/>
            <w:vAlign w:val="center"/>
          </w:tcPr>
          <w:p w14:paraId="0560806E">
            <w:pPr>
              <w:jc w:val="right"/>
            </w:pPr>
            <w:r>
              <w:rPr>
                <w:rFonts w:hint="eastAsia"/>
              </w:rPr>
              <w:t>-</w:t>
            </w:r>
          </w:p>
        </w:tc>
        <w:tc>
          <w:tcPr>
            <w:tcW w:w="1384" w:type="dxa"/>
            <w:vAlign w:val="center"/>
          </w:tcPr>
          <w:p w14:paraId="66296C45">
            <w:pPr>
              <w:jc w:val="right"/>
            </w:pPr>
            <w:r>
              <w:rPr>
                <w:rFonts w:hint="eastAsia"/>
              </w:rPr>
              <w:t>-</w:t>
            </w:r>
          </w:p>
        </w:tc>
        <w:tc>
          <w:tcPr>
            <w:tcW w:w="1384" w:type="dxa"/>
            <w:vAlign w:val="center"/>
          </w:tcPr>
          <w:p w14:paraId="7001E848">
            <w:pPr>
              <w:jc w:val="right"/>
            </w:pPr>
            <w:r>
              <w:rPr>
                <w:rFonts w:hint="eastAsia"/>
              </w:rPr>
              <w:t>18,788,189.14</w:t>
            </w:r>
          </w:p>
        </w:tc>
      </w:tr>
      <w:tr w14:paraId="7FBE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597B4">
            <w:r>
              <w:rPr>
                <w:rFonts w:hint="eastAsia"/>
              </w:rPr>
              <w:t>存出保证金</w:t>
            </w:r>
          </w:p>
        </w:tc>
        <w:tc>
          <w:tcPr>
            <w:tcW w:w="1384" w:type="dxa"/>
            <w:vAlign w:val="center"/>
          </w:tcPr>
          <w:p w14:paraId="387A8ED0">
            <w:pPr>
              <w:jc w:val="right"/>
            </w:pPr>
            <w:r>
              <w:rPr>
                <w:rFonts w:hint="eastAsia"/>
              </w:rPr>
              <w:t>85,237.88</w:t>
            </w:r>
          </w:p>
        </w:tc>
        <w:tc>
          <w:tcPr>
            <w:tcW w:w="1384" w:type="dxa"/>
            <w:vAlign w:val="center"/>
          </w:tcPr>
          <w:p w14:paraId="4762F55A">
            <w:pPr>
              <w:jc w:val="right"/>
            </w:pPr>
            <w:r>
              <w:rPr>
                <w:rFonts w:hint="eastAsia"/>
              </w:rPr>
              <w:t>-</w:t>
            </w:r>
          </w:p>
        </w:tc>
        <w:tc>
          <w:tcPr>
            <w:tcW w:w="1384" w:type="dxa"/>
            <w:vAlign w:val="center"/>
          </w:tcPr>
          <w:p w14:paraId="43079895">
            <w:pPr>
              <w:jc w:val="right"/>
            </w:pPr>
            <w:r>
              <w:rPr>
                <w:rFonts w:hint="eastAsia"/>
              </w:rPr>
              <w:t>-</w:t>
            </w:r>
          </w:p>
        </w:tc>
        <w:tc>
          <w:tcPr>
            <w:tcW w:w="1384" w:type="dxa"/>
            <w:vAlign w:val="center"/>
          </w:tcPr>
          <w:p w14:paraId="39377D0C">
            <w:pPr>
              <w:jc w:val="right"/>
            </w:pPr>
            <w:r>
              <w:rPr>
                <w:rFonts w:hint="eastAsia"/>
              </w:rPr>
              <w:t>-</w:t>
            </w:r>
          </w:p>
        </w:tc>
        <w:tc>
          <w:tcPr>
            <w:tcW w:w="1384" w:type="dxa"/>
            <w:vAlign w:val="center"/>
          </w:tcPr>
          <w:p w14:paraId="1FEDA8B4">
            <w:pPr>
              <w:jc w:val="right"/>
            </w:pPr>
            <w:r>
              <w:rPr>
                <w:rFonts w:hint="eastAsia"/>
              </w:rPr>
              <w:t>85,237.88</w:t>
            </w:r>
          </w:p>
        </w:tc>
      </w:tr>
      <w:tr w14:paraId="0F6A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AFA78">
            <w:r>
              <w:rPr>
                <w:rFonts w:hint="eastAsia"/>
              </w:rPr>
              <w:t>交易性金融资产</w:t>
            </w:r>
          </w:p>
        </w:tc>
        <w:tc>
          <w:tcPr>
            <w:tcW w:w="1384" w:type="dxa"/>
            <w:vAlign w:val="center"/>
          </w:tcPr>
          <w:p w14:paraId="6332D20E">
            <w:pPr>
              <w:jc w:val="right"/>
            </w:pPr>
            <w:r>
              <w:rPr>
                <w:rFonts w:hint="eastAsia"/>
              </w:rPr>
              <w:t>2,302,368,413.94</w:t>
            </w:r>
          </w:p>
        </w:tc>
        <w:tc>
          <w:tcPr>
            <w:tcW w:w="1384" w:type="dxa"/>
            <w:vAlign w:val="center"/>
          </w:tcPr>
          <w:p w14:paraId="77D69859">
            <w:pPr>
              <w:jc w:val="right"/>
            </w:pPr>
            <w:r>
              <w:rPr>
                <w:rFonts w:hint="eastAsia"/>
              </w:rPr>
              <w:t>136,240,773.15</w:t>
            </w:r>
          </w:p>
        </w:tc>
        <w:tc>
          <w:tcPr>
            <w:tcW w:w="1384" w:type="dxa"/>
            <w:vAlign w:val="center"/>
          </w:tcPr>
          <w:p w14:paraId="4E787706">
            <w:pPr>
              <w:jc w:val="right"/>
            </w:pPr>
            <w:r>
              <w:rPr>
                <w:rFonts w:hint="eastAsia"/>
              </w:rPr>
              <w:t>-</w:t>
            </w:r>
          </w:p>
        </w:tc>
        <w:tc>
          <w:tcPr>
            <w:tcW w:w="1384" w:type="dxa"/>
            <w:vAlign w:val="center"/>
          </w:tcPr>
          <w:p w14:paraId="02ED7938">
            <w:pPr>
              <w:jc w:val="right"/>
            </w:pPr>
            <w:r>
              <w:rPr>
                <w:rFonts w:hint="eastAsia"/>
              </w:rPr>
              <w:t>-</w:t>
            </w:r>
          </w:p>
        </w:tc>
        <w:tc>
          <w:tcPr>
            <w:tcW w:w="1384" w:type="dxa"/>
            <w:vAlign w:val="center"/>
          </w:tcPr>
          <w:p w14:paraId="75A93463">
            <w:pPr>
              <w:jc w:val="right"/>
            </w:pPr>
            <w:r>
              <w:rPr>
                <w:rFonts w:hint="eastAsia"/>
              </w:rPr>
              <w:t>2,438,609,187.09</w:t>
            </w:r>
          </w:p>
        </w:tc>
      </w:tr>
      <w:tr w14:paraId="4FD3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A37EF">
            <w:r>
              <w:rPr>
                <w:rFonts w:hint="eastAsia"/>
              </w:rPr>
              <w:t>衍生金融资产</w:t>
            </w:r>
          </w:p>
        </w:tc>
        <w:tc>
          <w:tcPr>
            <w:tcW w:w="1384" w:type="dxa"/>
            <w:vAlign w:val="center"/>
          </w:tcPr>
          <w:p w14:paraId="724D012C">
            <w:pPr>
              <w:jc w:val="right"/>
            </w:pPr>
            <w:r>
              <w:rPr>
                <w:rFonts w:hint="eastAsia"/>
              </w:rPr>
              <w:t>-</w:t>
            </w:r>
          </w:p>
        </w:tc>
        <w:tc>
          <w:tcPr>
            <w:tcW w:w="1384" w:type="dxa"/>
            <w:vAlign w:val="center"/>
          </w:tcPr>
          <w:p w14:paraId="027A036C">
            <w:pPr>
              <w:jc w:val="right"/>
            </w:pPr>
            <w:r>
              <w:rPr>
                <w:rFonts w:hint="eastAsia"/>
              </w:rPr>
              <w:t>-</w:t>
            </w:r>
          </w:p>
        </w:tc>
        <w:tc>
          <w:tcPr>
            <w:tcW w:w="1384" w:type="dxa"/>
            <w:vAlign w:val="center"/>
          </w:tcPr>
          <w:p w14:paraId="49C265AC">
            <w:pPr>
              <w:jc w:val="right"/>
            </w:pPr>
            <w:r>
              <w:rPr>
                <w:rFonts w:hint="eastAsia"/>
              </w:rPr>
              <w:t>-</w:t>
            </w:r>
          </w:p>
        </w:tc>
        <w:tc>
          <w:tcPr>
            <w:tcW w:w="1384" w:type="dxa"/>
            <w:vAlign w:val="center"/>
          </w:tcPr>
          <w:p w14:paraId="26E8B473">
            <w:pPr>
              <w:jc w:val="right"/>
            </w:pPr>
            <w:r>
              <w:rPr>
                <w:rFonts w:hint="eastAsia"/>
              </w:rPr>
              <w:t>-</w:t>
            </w:r>
          </w:p>
        </w:tc>
        <w:tc>
          <w:tcPr>
            <w:tcW w:w="1384" w:type="dxa"/>
            <w:vAlign w:val="center"/>
          </w:tcPr>
          <w:p w14:paraId="44DA0F35">
            <w:pPr>
              <w:jc w:val="right"/>
            </w:pPr>
            <w:r>
              <w:rPr>
                <w:rFonts w:hint="eastAsia"/>
              </w:rPr>
              <w:t>-</w:t>
            </w:r>
          </w:p>
        </w:tc>
      </w:tr>
      <w:tr w14:paraId="30F3F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823320">
            <w:r>
              <w:rPr>
                <w:rFonts w:hint="eastAsia"/>
              </w:rPr>
              <w:t>买入返售金融资产</w:t>
            </w:r>
          </w:p>
        </w:tc>
        <w:tc>
          <w:tcPr>
            <w:tcW w:w="1384" w:type="dxa"/>
            <w:vAlign w:val="center"/>
          </w:tcPr>
          <w:p w14:paraId="7521A931">
            <w:pPr>
              <w:jc w:val="right"/>
            </w:pPr>
            <w:r>
              <w:rPr>
                <w:rFonts w:hint="eastAsia"/>
              </w:rPr>
              <w:t>-</w:t>
            </w:r>
          </w:p>
        </w:tc>
        <w:tc>
          <w:tcPr>
            <w:tcW w:w="1384" w:type="dxa"/>
            <w:vAlign w:val="center"/>
          </w:tcPr>
          <w:p w14:paraId="72D32B44">
            <w:pPr>
              <w:jc w:val="right"/>
            </w:pPr>
            <w:r>
              <w:rPr>
                <w:rFonts w:hint="eastAsia"/>
              </w:rPr>
              <w:t>-</w:t>
            </w:r>
          </w:p>
        </w:tc>
        <w:tc>
          <w:tcPr>
            <w:tcW w:w="1384" w:type="dxa"/>
            <w:vAlign w:val="center"/>
          </w:tcPr>
          <w:p w14:paraId="08466838">
            <w:pPr>
              <w:jc w:val="right"/>
            </w:pPr>
            <w:r>
              <w:rPr>
                <w:rFonts w:hint="eastAsia"/>
              </w:rPr>
              <w:t>-</w:t>
            </w:r>
          </w:p>
        </w:tc>
        <w:tc>
          <w:tcPr>
            <w:tcW w:w="1384" w:type="dxa"/>
            <w:vAlign w:val="center"/>
          </w:tcPr>
          <w:p w14:paraId="68418EBB">
            <w:pPr>
              <w:jc w:val="right"/>
            </w:pPr>
            <w:r>
              <w:rPr>
                <w:rFonts w:hint="eastAsia"/>
              </w:rPr>
              <w:t>-</w:t>
            </w:r>
          </w:p>
        </w:tc>
        <w:tc>
          <w:tcPr>
            <w:tcW w:w="1384" w:type="dxa"/>
            <w:vAlign w:val="center"/>
          </w:tcPr>
          <w:p w14:paraId="553AD8C7">
            <w:pPr>
              <w:jc w:val="right"/>
            </w:pPr>
            <w:r>
              <w:rPr>
                <w:rFonts w:hint="eastAsia"/>
              </w:rPr>
              <w:t>-</w:t>
            </w:r>
          </w:p>
        </w:tc>
      </w:tr>
      <w:tr w14:paraId="356A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E02BE2">
            <w:r>
              <w:rPr>
                <w:rFonts w:hint="eastAsia"/>
              </w:rPr>
              <w:t>债权投资</w:t>
            </w:r>
          </w:p>
        </w:tc>
        <w:tc>
          <w:tcPr>
            <w:tcW w:w="1384" w:type="dxa"/>
            <w:vAlign w:val="center"/>
          </w:tcPr>
          <w:p w14:paraId="48E85862">
            <w:pPr>
              <w:jc w:val="right"/>
            </w:pPr>
            <w:r>
              <w:rPr>
                <w:rFonts w:hint="eastAsia"/>
              </w:rPr>
              <w:t>-</w:t>
            </w:r>
          </w:p>
        </w:tc>
        <w:tc>
          <w:tcPr>
            <w:tcW w:w="1384" w:type="dxa"/>
            <w:vAlign w:val="center"/>
          </w:tcPr>
          <w:p w14:paraId="159B5854">
            <w:pPr>
              <w:jc w:val="right"/>
            </w:pPr>
            <w:r>
              <w:rPr>
                <w:rFonts w:hint="eastAsia"/>
              </w:rPr>
              <w:t>-</w:t>
            </w:r>
          </w:p>
        </w:tc>
        <w:tc>
          <w:tcPr>
            <w:tcW w:w="1384" w:type="dxa"/>
            <w:vAlign w:val="center"/>
          </w:tcPr>
          <w:p w14:paraId="4A8C0A6A">
            <w:pPr>
              <w:jc w:val="right"/>
            </w:pPr>
            <w:r>
              <w:rPr>
                <w:rFonts w:hint="eastAsia"/>
              </w:rPr>
              <w:t>-</w:t>
            </w:r>
          </w:p>
        </w:tc>
        <w:tc>
          <w:tcPr>
            <w:tcW w:w="1384" w:type="dxa"/>
            <w:vAlign w:val="center"/>
          </w:tcPr>
          <w:p w14:paraId="4A32C431">
            <w:pPr>
              <w:jc w:val="right"/>
            </w:pPr>
            <w:r>
              <w:rPr>
                <w:rFonts w:hint="eastAsia"/>
              </w:rPr>
              <w:t>-</w:t>
            </w:r>
          </w:p>
        </w:tc>
        <w:tc>
          <w:tcPr>
            <w:tcW w:w="1384" w:type="dxa"/>
            <w:vAlign w:val="center"/>
          </w:tcPr>
          <w:p w14:paraId="022A0853">
            <w:pPr>
              <w:jc w:val="right"/>
            </w:pPr>
            <w:r>
              <w:rPr>
                <w:rFonts w:hint="eastAsia"/>
              </w:rPr>
              <w:t>-</w:t>
            </w:r>
          </w:p>
        </w:tc>
      </w:tr>
      <w:tr w14:paraId="4C9C8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CC251">
            <w:r>
              <w:rPr>
                <w:rFonts w:hint="eastAsia"/>
              </w:rPr>
              <w:t>其他债权投资</w:t>
            </w:r>
          </w:p>
        </w:tc>
        <w:tc>
          <w:tcPr>
            <w:tcW w:w="1384" w:type="dxa"/>
            <w:vAlign w:val="center"/>
          </w:tcPr>
          <w:p w14:paraId="320DFAA2">
            <w:pPr>
              <w:jc w:val="right"/>
            </w:pPr>
            <w:r>
              <w:rPr>
                <w:rFonts w:hint="eastAsia"/>
              </w:rPr>
              <w:t>-</w:t>
            </w:r>
          </w:p>
        </w:tc>
        <w:tc>
          <w:tcPr>
            <w:tcW w:w="1384" w:type="dxa"/>
            <w:vAlign w:val="center"/>
          </w:tcPr>
          <w:p w14:paraId="1E4A146D">
            <w:pPr>
              <w:jc w:val="right"/>
            </w:pPr>
            <w:r>
              <w:rPr>
                <w:rFonts w:hint="eastAsia"/>
              </w:rPr>
              <w:t>-</w:t>
            </w:r>
          </w:p>
        </w:tc>
        <w:tc>
          <w:tcPr>
            <w:tcW w:w="1384" w:type="dxa"/>
            <w:vAlign w:val="center"/>
          </w:tcPr>
          <w:p w14:paraId="0E98180F">
            <w:pPr>
              <w:jc w:val="right"/>
            </w:pPr>
            <w:r>
              <w:rPr>
                <w:rFonts w:hint="eastAsia"/>
              </w:rPr>
              <w:t>-</w:t>
            </w:r>
          </w:p>
        </w:tc>
        <w:tc>
          <w:tcPr>
            <w:tcW w:w="1384" w:type="dxa"/>
            <w:vAlign w:val="center"/>
          </w:tcPr>
          <w:p w14:paraId="1706097D">
            <w:pPr>
              <w:jc w:val="right"/>
            </w:pPr>
            <w:r>
              <w:rPr>
                <w:rFonts w:hint="eastAsia"/>
              </w:rPr>
              <w:t>-</w:t>
            </w:r>
          </w:p>
        </w:tc>
        <w:tc>
          <w:tcPr>
            <w:tcW w:w="1384" w:type="dxa"/>
            <w:vAlign w:val="center"/>
          </w:tcPr>
          <w:p w14:paraId="110392F6">
            <w:pPr>
              <w:jc w:val="right"/>
            </w:pPr>
            <w:r>
              <w:rPr>
                <w:rFonts w:hint="eastAsia"/>
              </w:rPr>
              <w:t>-</w:t>
            </w:r>
          </w:p>
        </w:tc>
      </w:tr>
      <w:tr w14:paraId="5AD3D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CF211C">
            <w:r>
              <w:rPr>
                <w:rFonts w:hint="eastAsia"/>
              </w:rPr>
              <w:t>其他权益工具投资</w:t>
            </w:r>
          </w:p>
        </w:tc>
        <w:tc>
          <w:tcPr>
            <w:tcW w:w="1384" w:type="dxa"/>
            <w:vAlign w:val="center"/>
          </w:tcPr>
          <w:p w14:paraId="3736A3F2">
            <w:pPr>
              <w:jc w:val="right"/>
            </w:pPr>
            <w:r>
              <w:rPr>
                <w:rFonts w:hint="eastAsia"/>
              </w:rPr>
              <w:t>-</w:t>
            </w:r>
          </w:p>
        </w:tc>
        <w:tc>
          <w:tcPr>
            <w:tcW w:w="1384" w:type="dxa"/>
            <w:vAlign w:val="center"/>
          </w:tcPr>
          <w:p w14:paraId="0C2E7B80">
            <w:pPr>
              <w:jc w:val="right"/>
            </w:pPr>
            <w:r>
              <w:rPr>
                <w:rFonts w:hint="eastAsia"/>
              </w:rPr>
              <w:t>-</w:t>
            </w:r>
          </w:p>
        </w:tc>
        <w:tc>
          <w:tcPr>
            <w:tcW w:w="1384" w:type="dxa"/>
            <w:vAlign w:val="center"/>
          </w:tcPr>
          <w:p w14:paraId="44B0D107">
            <w:pPr>
              <w:jc w:val="right"/>
            </w:pPr>
            <w:r>
              <w:rPr>
                <w:rFonts w:hint="eastAsia"/>
              </w:rPr>
              <w:t>-</w:t>
            </w:r>
          </w:p>
        </w:tc>
        <w:tc>
          <w:tcPr>
            <w:tcW w:w="1384" w:type="dxa"/>
            <w:vAlign w:val="center"/>
          </w:tcPr>
          <w:p w14:paraId="1397A34E">
            <w:pPr>
              <w:jc w:val="right"/>
            </w:pPr>
            <w:r>
              <w:rPr>
                <w:rFonts w:hint="eastAsia"/>
              </w:rPr>
              <w:t>-</w:t>
            </w:r>
          </w:p>
        </w:tc>
        <w:tc>
          <w:tcPr>
            <w:tcW w:w="1384" w:type="dxa"/>
            <w:vAlign w:val="center"/>
          </w:tcPr>
          <w:p w14:paraId="0A722AB9">
            <w:pPr>
              <w:jc w:val="right"/>
            </w:pPr>
            <w:r>
              <w:rPr>
                <w:rFonts w:hint="eastAsia"/>
              </w:rPr>
              <w:t>-</w:t>
            </w:r>
          </w:p>
        </w:tc>
      </w:tr>
      <w:tr w14:paraId="4FE0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17A736">
            <w:r>
              <w:rPr>
                <w:rFonts w:hint="eastAsia"/>
              </w:rPr>
              <w:t>应收清算款</w:t>
            </w:r>
          </w:p>
        </w:tc>
        <w:tc>
          <w:tcPr>
            <w:tcW w:w="1384" w:type="dxa"/>
            <w:vAlign w:val="center"/>
          </w:tcPr>
          <w:p w14:paraId="7C4297B0">
            <w:pPr>
              <w:jc w:val="right"/>
            </w:pPr>
            <w:r>
              <w:rPr>
                <w:rFonts w:hint="eastAsia"/>
              </w:rPr>
              <w:t>-</w:t>
            </w:r>
          </w:p>
        </w:tc>
        <w:tc>
          <w:tcPr>
            <w:tcW w:w="1384" w:type="dxa"/>
            <w:vAlign w:val="center"/>
          </w:tcPr>
          <w:p w14:paraId="78678ECA">
            <w:pPr>
              <w:jc w:val="right"/>
            </w:pPr>
            <w:r>
              <w:rPr>
                <w:rFonts w:hint="eastAsia"/>
              </w:rPr>
              <w:t>-</w:t>
            </w:r>
          </w:p>
        </w:tc>
        <w:tc>
          <w:tcPr>
            <w:tcW w:w="1384" w:type="dxa"/>
            <w:vAlign w:val="center"/>
          </w:tcPr>
          <w:p w14:paraId="68B2A489">
            <w:pPr>
              <w:jc w:val="right"/>
            </w:pPr>
            <w:r>
              <w:rPr>
                <w:rFonts w:hint="eastAsia"/>
              </w:rPr>
              <w:t>-</w:t>
            </w:r>
          </w:p>
        </w:tc>
        <w:tc>
          <w:tcPr>
            <w:tcW w:w="1384" w:type="dxa"/>
            <w:vAlign w:val="center"/>
          </w:tcPr>
          <w:p w14:paraId="67E755F2">
            <w:pPr>
              <w:jc w:val="right"/>
            </w:pPr>
            <w:r>
              <w:rPr>
                <w:rFonts w:hint="eastAsia"/>
              </w:rPr>
              <w:t>-</w:t>
            </w:r>
          </w:p>
        </w:tc>
        <w:tc>
          <w:tcPr>
            <w:tcW w:w="1384" w:type="dxa"/>
            <w:vAlign w:val="center"/>
          </w:tcPr>
          <w:p w14:paraId="4879F1E4">
            <w:pPr>
              <w:jc w:val="right"/>
            </w:pPr>
            <w:r>
              <w:rPr>
                <w:rFonts w:hint="eastAsia"/>
              </w:rPr>
              <w:t>-</w:t>
            </w:r>
          </w:p>
        </w:tc>
      </w:tr>
      <w:tr w14:paraId="458B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ADFB53">
            <w:r>
              <w:rPr>
                <w:rFonts w:hint="eastAsia"/>
              </w:rPr>
              <w:t>应收股利</w:t>
            </w:r>
          </w:p>
        </w:tc>
        <w:tc>
          <w:tcPr>
            <w:tcW w:w="1384" w:type="dxa"/>
            <w:vAlign w:val="center"/>
          </w:tcPr>
          <w:p w14:paraId="7279D941">
            <w:pPr>
              <w:jc w:val="right"/>
            </w:pPr>
            <w:r>
              <w:rPr>
                <w:rFonts w:hint="eastAsia"/>
              </w:rPr>
              <w:t>-</w:t>
            </w:r>
          </w:p>
        </w:tc>
        <w:tc>
          <w:tcPr>
            <w:tcW w:w="1384" w:type="dxa"/>
            <w:vAlign w:val="center"/>
          </w:tcPr>
          <w:p w14:paraId="545178A9">
            <w:pPr>
              <w:jc w:val="right"/>
            </w:pPr>
            <w:r>
              <w:rPr>
                <w:rFonts w:hint="eastAsia"/>
              </w:rPr>
              <w:t>-</w:t>
            </w:r>
          </w:p>
        </w:tc>
        <w:tc>
          <w:tcPr>
            <w:tcW w:w="1384" w:type="dxa"/>
            <w:vAlign w:val="center"/>
          </w:tcPr>
          <w:p w14:paraId="05D49294">
            <w:pPr>
              <w:jc w:val="right"/>
            </w:pPr>
            <w:r>
              <w:rPr>
                <w:rFonts w:hint="eastAsia"/>
              </w:rPr>
              <w:t>-</w:t>
            </w:r>
          </w:p>
        </w:tc>
        <w:tc>
          <w:tcPr>
            <w:tcW w:w="1384" w:type="dxa"/>
            <w:vAlign w:val="center"/>
          </w:tcPr>
          <w:p w14:paraId="37F7C3E4">
            <w:pPr>
              <w:jc w:val="right"/>
            </w:pPr>
            <w:r>
              <w:rPr>
                <w:rFonts w:hint="eastAsia"/>
              </w:rPr>
              <w:t>-</w:t>
            </w:r>
          </w:p>
        </w:tc>
        <w:tc>
          <w:tcPr>
            <w:tcW w:w="1384" w:type="dxa"/>
            <w:vAlign w:val="center"/>
          </w:tcPr>
          <w:p w14:paraId="306880C9">
            <w:pPr>
              <w:jc w:val="right"/>
            </w:pPr>
            <w:r>
              <w:rPr>
                <w:rFonts w:hint="eastAsia"/>
              </w:rPr>
              <w:t>-</w:t>
            </w:r>
          </w:p>
        </w:tc>
      </w:tr>
      <w:tr w14:paraId="0BC8E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111642">
            <w:r>
              <w:rPr>
                <w:rFonts w:hint="eastAsia"/>
              </w:rPr>
              <w:t>应收申购款</w:t>
            </w:r>
          </w:p>
        </w:tc>
        <w:tc>
          <w:tcPr>
            <w:tcW w:w="1384" w:type="dxa"/>
            <w:vAlign w:val="center"/>
          </w:tcPr>
          <w:p w14:paraId="204CE1EE">
            <w:pPr>
              <w:jc w:val="right"/>
            </w:pPr>
            <w:r>
              <w:rPr>
                <w:rFonts w:hint="eastAsia"/>
              </w:rPr>
              <w:t>-</w:t>
            </w:r>
          </w:p>
        </w:tc>
        <w:tc>
          <w:tcPr>
            <w:tcW w:w="1384" w:type="dxa"/>
            <w:vAlign w:val="center"/>
          </w:tcPr>
          <w:p w14:paraId="348FCD39">
            <w:pPr>
              <w:jc w:val="right"/>
            </w:pPr>
            <w:r>
              <w:rPr>
                <w:rFonts w:hint="eastAsia"/>
              </w:rPr>
              <w:t>-</w:t>
            </w:r>
          </w:p>
        </w:tc>
        <w:tc>
          <w:tcPr>
            <w:tcW w:w="1384" w:type="dxa"/>
            <w:vAlign w:val="center"/>
          </w:tcPr>
          <w:p w14:paraId="0514C686">
            <w:pPr>
              <w:jc w:val="right"/>
            </w:pPr>
            <w:r>
              <w:rPr>
                <w:rFonts w:hint="eastAsia"/>
              </w:rPr>
              <w:t>-</w:t>
            </w:r>
          </w:p>
        </w:tc>
        <w:tc>
          <w:tcPr>
            <w:tcW w:w="1384" w:type="dxa"/>
            <w:vAlign w:val="center"/>
          </w:tcPr>
          <w:p w14:paraId="32EA0A97">
            <w:pPr>
              <w:jc w:val="right"/>
            </w:pPr>
            <w:r>
              <w:rPr>
                <w:rFonts w:hint="eastAsia"/>
              </w:rPr>
              <w:t>-</w:t>
            </w:r>
          </w:p>
        </w:tc>
        <w:tc>
          <w:tcPr>
            <w:tcW w:w="1384" w:type="dxa"/>
            <w:vAlign w:val="center"/>
          </w:tcPr>
          <w:p w14:paraId="45128CCF">
            <w:pPr>
              <w:jc w:val="right"/>
            </w:pPr>
            <w:r>
              <w:rPr>
                <w:rFonts w:hint="eastAsia"/>
              </w:rPr>
              <w:t>-</w:t>
            </w:r>
          </w:p>
        </w:tc>
      </w:tr>
      <w:tr w14:paraId="6C37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02F914">
            <w:r>
              <w:rPr>
                <w:rFonts w:hint="eastAsia"/>
              </w:rPr>
              <w:t>递延所得税资产</w:t>
            </w:r>
          </w:p>
        </w:tc>
        <w:tc>
          <w:tcPr>
            <w:tcW w:w="1384" w:type="dxa"/>
            <w:vAlign w:val="center"/>
          </w:tcPr>
          <w:p w14:paraId="67372F00">
            <w:pPr>
              <w:jc w:val="right"/>
            </w:pPr>
            <w:r>
              <w:rPr>
                <w:rFonts w:hint="eastAsia"/>
              </w:rPr>
              <w:t>-</w:t>
            </w:r>
          </w:p>
        </w:tc>
        <w:tc>
          <w:tcPr>
            <w:tcW w:w="1384" w:type="dxa"/>
            <w:vAlign w:val="center"/>
          </w:tcPr>
          <w:p w14:paraId="076AC198">
            <w:pPr>
              <w:jc w:val="right"/>
            </w:pPr>
            <w:r>
              <w:rPr>
                <w:rFonts w:hint="eastAsia"/>
              </w:rPr>
              <w:t>-</w:t>
            </w:r>
          </w:p>
        </w:tc>
        <w:tc>
          <w:tcPr>
            <w:tcW w:w="1384" w:type="dxa"/>
            <w:vAlign w:val="center"/>
          </w:tcPr>
          <w:p w14:paraId="1CA78666">
            <w:pPr>
              <w:jc w:val="right"/>
            </w:pPr>
            <w:r>
              <w:rPr>
                <w:rFonts w:hint="eastAsia"/>
              </w:rPr>
              <w:t>-</w:t>
            </w:r>
          </w:p>
        </w:tc>
        <w:tc>
          <w:tcPr>
            <w:tcW w:w="1384" w:type="dxa"/>
            <w:vAlign w:val="center"/>
          </w:tcPr>
          <w:p w14:paraId="5A72A211">
            <w:pPr>
              <w:jc w:val="right"/>
            </w:pPr>
            <w:r>
              <w:rPr>
                <w:rFonts w:hint="eastAsia"/>
              </w:rPr>
              <w:t>-</w:t>
            </w:r>
          </w:p>
        </w:tc>
        <w:tc>
          <w:tcPr>
            <w:tcW w:w="1384" w:type="dxa"/>
            <w:vAlign w:val="center"/>
          </w:tcPr>
          <w:p w14:paraId="34D3BD51">
            <w:pPr>
              <w:jc w:val="right"/>
            </w:pPr>
            <w:r>
              <w:rPr>
                <w:rFonts w:hint="eastAsia"/>
              </w:rPr>
              <w:t>-</w:t>
            </w:r>
          </w:p>
        </w:tc>
      </w:tr>
      <w:tr w14:paraId="2018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CB9D57">
            <w:r>
              <w:rPr>
                <w:rFonts w:hint="eastAsia"/>
              </w:rPr>
              <w:t>其他资产</w:t>
            </w:r>
          </w:p>
        </w:tc>
        <w:tc>
          <w:tcPr>
            <w:tcW w:w="1384" w:type="dxa"/>
            <w:vAlign w:val="center"/>
          </w:tcPr>
          <w:p w14:paraId="0F8CB236">
            <w:pPr>
              <w:jc w:val="right"/>
            </w:pPr>
            <w:r>
              <w:rPr>
                <w:rFonts w:hint="eastAsia"/>
              </w:rPr>
              <w:t>-</w:t>
            </w:r>
          </w:p>
        </w:tc>
        <w:tc>
          <w:tcPr>
            <w:tcW w:w="1384" w:type="dxa"/>
            <w:vAlign w:val="center"/>
          </w:tcPr>
          <w:p w14:paraId="4672DB1C">
            <w:pPr>
              <w:jc w:val="right"/>
            </w:pPr>
            <w:r>
              <w:rPr>
                <w:rFonts w:hint="eastAsia"/>
              </w:rPr>
              <w:t>-</w:t>
            </w:r>
          </w:p>
        </w:tc>
        <w:tc>
          <w:tcPr>
            <w:tcW w:w="1384" w:type="dxa"/>
            <w:vAlign w:val="center"/>
          </w:tcPr>
          <w:p w14:paraId="2117356E">
            <w:pPr>
              <w:jc w:val="right"/>
            </w:pPr>
            <w:r>
              <w:rPr>
                <w:rFonts w:hint="eastAsia"/>
              </w:rPr>
              <w:t>-</w:t>
            </w:r>
          </w:p>
        </w:tc>
        <w:tc>
          <w:tcPr>
            <w:tcW w:w="1384" w:type="dxa"/>
            <w:vAlign w:val="center"/>
          </w:tcPr>
          <w:p w14:paraId="0B8C160E">
            <w:pPr>
              <w:jc w:val="right"/>
            </w:pPr>
            <w:r>
              <w:rPr>
                <w:rFonts w:hint="eastAsia"/>
              </w:rPr>
              <w:t>-</w:t>
            </w:r>
          </w:p>
        </w:tc>
        <w:tc>
          <w:tcPr>
            <w:tcW w:w="1384" w:type="dxa"/>
            <w:vAlign w:val="center"/>
          </w:tcPr>
          <w:p w14:paraId="6A909FFC">
            <w:pPr>
              <w:jc w:val="right"/>
            </w:pPr>
            <w:r>
              <w:rPr>
                <w:rFonts w:hint="eastAsia"/>
              </w:rPr>
              <w:t>-</w:t>
            </w:r>
          </w:p>
        </w:tc>
      </w:tr>
      <w:tr w14:paraId="5E22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979174">
            <w:r>
              <w:rPr>
                <w:rFonts w:hint="eastAsia"/>
              </w:rPr>
              <w:t>资产总计</w:t>
            </w:r>
          </w:p>
        </w:tc>
        <w:tc>
          <w:tcPr>
            <w:tcW w:w="1384" w:type="dxa"/>
            <w:vAlign w:val="center"/>
          </w:tcPr>
          <w:p w14:paraId="6387EDB7">
            <w:pPr>
              <w:jc w:val="right"/>
            </w:pPr>
            <w:r>
              <w:rPr>
                <w:rFonts w:hint="eastAsia"/>
              </w:rPr>
              <w:t>2,332,448,093.31</w:t>
            </w:r>
          </w:p>
        </w:tc>
        <w:tc>
          <w:tcPr>
            <w:tcW w:w="1384" w:type="dxa"/>
            <w:vAlign w:val="center"/>
          </w:tcPr>
          <w:p w14:paraId="44F94A94">
            <w:pPr>
              <w:jc w:val="right"/>
            </w:pPr>
            <w:r>
              <w:rPr>
                <w:rFonts w:hint="eastAsia"/>
              </w:rPr>
              <w:t>136,240,773.15</w:t>
            </w:r>
          </w:p>
        </w:tc>
        <w:tc>
          <w:tcPr>
            <w:tcW w:w="1384" w:type="dxa"/>
            <w:vAlign w:val="center"/>
          </w:tcPr>
          <w:p w14:paraId="0A3D19B9">
            <w:pPr>
              <w:jc w:val="right"/>
            </w:pPr>
            <w:r>
              <w:rPr>
                <w:rFonts w:hint="eastAsia"/>
              </w:rPr>
              <w:t>-</w:t>
            </w:r>
          </w:p>
        </w:tc>
        <w:tc>
          <w:tcPr>
            <w:tcW w:w="1384" w:type="dxa"/>
            <w:vAlign w:val="center"/>
          </w:tcPr>
          <w:p w14:paraId="01A5A949">
            <w:pPr>
              <w:jc w:val="right"/>
            </w:pPr>
            <w:r>
              <w:rPr>
                <w:rFonts w:hint="eastAsia"/>
              </w:rPr>
              <w:t>-</w:t>
            </w:r>
          </w:p>
        </w:tc>
        <w:tc>
          <w:tcPr>
            <w:tcW w:w="1384" w:type="dxa"/>
            <w:vAlign w:val="center"/>
          </w:tcPr>
          <w:p w14:paraId="0FF24308">
            <w:pPr>
              <w:jc w:val="right"/>
            </w:pPr>
            <w:r>
              <w:rPr>
                <w:rFonts w:hint="eastAsia"/>
              </w:rPr>
              <w:t>2,468,688,866.46</w:t>
            </w:r>
          </w:p>
        </w:tc>
      </w:tr>
      <w:tr w14:paraId="7D37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91B276">
            <w:r>
              <w:rPr>
                <w:rFonts w:hint="eastAsia"/>
              </w:rPr>
              <w:t>负债</w:t>
            </w:r>
          </w:p>
        </w:tc>
        <w:tc>
          <w:tcPr>
            <w:tcW w:w="1384" w:type="dxa"/>
            <w:vAlign w:val="center"/>
          </w:tcPr>
          <w:p w14:paraId="3C4C2DF0"/>
        </w:tc>
        <w:tc>
          <w:tcPr>
            <w:tcW w:w="1384" w:type="dxa"/>
            <w:vAlign w:val="center"/>
          </w:tcPr>
          <w:p w14:paraId="77FD70FB"/>
        </w:tc>
        <w:tc>
          <w:tcPr>
            <w:tcW w:w="1384" w:type="dxa"/>
            <w:vAlign w:val="center"/>
          </w:tcPr>
          <w:p w14:paraId="5AC3A72E"/>
        </w:tc>
        <w:tc>
          <w:tcPr>
            <w:tcW w:w="1384" w:type="dxa"/>
            <w:vAlign w:val="center"/>
          </w:tcPr>
          <w:p w14:paraId="004D1219"/>
        </w:tc>
        <w:tc>
          <w:tcPr>
            <w:tcW w:w="1384" w:type="dxa"/>
            <w:vAlign w:val="center"/>
          </w:tcPr>
          <w:p w14:paraId="2387E534"/>
        </w:tc>
      </w:tr>
      <w:tr w14:paraId="7F108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62606D">
            <w:r>
              <w:rPr>
                <w:rFonts w:hint="eastAsia"/>
              </w:rPr>
              <w:t>短期借款</w:t>
            </w:r>
          </w:p>
        </w:tc>
        <w:tc>
          <w:tcPr>
            <w:tcW w:w="1384" w:type="dxa"/>
            <w:vAlign w:val="center"/>
          </w:tcPr>
          <w:p w14:paraId="3B35432A">
            <w:pPr>
              <w:jc w:val="right"/>
            </w:pPr>
            <w:r>
              <w:rPr>
                <w:rFonts w:hint="eastAsia"/>
              </w:rPr>
              <w:t>-</w:t>
            </w:r>
          </w:p>
        </w:tc>
        <w:tc>
          <w:tcPr>
            <w:tcW w:w="1384" w:type="dxa"/>
            <w:vAlign w:val="center"/>
          </w:tcPr>
          <w:p w14:paraId="5B8863F3">
            <w:pPr>
              <w:jc w:val="right"/>
            </w:pPr>
            <w:r>
              <w:rPr>
                <w:rFonts w:hint="eastAsia"/>
              </w:rPr>
              <w:t>-</w:t>
            </w:r>
          </w:p>
        </w:tc>
        <w:tc>
          <w:tcPr>
            <w:tcW w:w="1384" w:type="dxa"/>
            <w:vAlign w:val="center"/>
          </w:tcPr>
          <w:p w14:paraId="3D476AD0">
            <w:pPr>
              <w:jc w:val="right"/>
            </w:pPr>
            <w:r>
              <w:rPr>
                <w:rFonts w:hint="eastAsia"/>
              </w:rPr>
              <w:t>-</w:t>
            </w:r>
          </w:p>
        </w:tc>
        <w:tc>
          <w:tcPr>
            <w:tcW w:w="1384" w:type="dxa"/>
            <w:vAlign w:val="center"/>
          </w:tcPr>
          <w:p w14:paraId="1715C768">
            <w:pPr>
              <w:jc w:val="right"/>
            </w:pPr>
            <w:r>
              <w:rPr>
                <w:rFonts w:hint="eastAsia"/>
              </w:rPr>
              <w:t>-</w:t>
            </w:r>
          </w:p>
        </w:tc>
        <w:tc>
          <w:tcPr>
            <w:tcW w:w="1384" w:type="dxa"/>
            <w:vAlign w:val="center"/>
          </w:tcPr>
          <w:p w14:paraId="57CE5244">
            <w:pPr>
              <w:jc w:val="right"/>
            </w:pPr>
            <w:r>
              <w:rPr>
                <w:rFonts w:hint="eastAsia"/>
              </w:rPr>
              <w:t>-</w:t>
            </w:r>
          </w:p>
        </w:tc>
      </w:tr>
      <w:tr w14:paraId="0A40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B71EC7">
            <w:r>
              <w:rPr>
                <w:rFonts w:hint="eastAsia"/>
              </w:rPr>
              <w:t>交易性金融负债</w:t>
            </w:r>
          </w:p>
        </w:tc>
        <w:tc>
          <w:tcPr>
            <w:tcW w:w="1384" w:type="dxa"/>
            <w:vAlign w:val="center"/>
          </w:tcPr>
          <w:p w14:paraId="500DF29A">
            <w:pPr>
              <w:jc w:val="right"/>
            </w:pPr>
            <w:r>
              <w:rPr>
                <w:rFonts w:hint="eastAsia"/>
              </w:rPr>
              <w:t>-</w:t>
            </w:r>
          </w:p>
        </w:tc>
        <w:tc>
          <w:tcPr>
            <w:tcW w:w="1384" w:type="dxa"/>
            <w:vAlign w:val="center"/>
          </w:tcPr>
          <w:p w14:paraId="7172D248">
            <w:pPr>
              <w:jc w:val="right"/>
            </w:pPr>
            <w:r>
              <w:rPr>
                <w:rFonts w:hint="eastAsia"/>
              </w:rPr>
              <w:t>-</w:t>
            </w:r>
          </w:p>
        </w:tc>
        <w:tc>
          <w:tcPr>
            <w:tcW w:w="1384" w:type="dxa"/>
            <w:vAlign w:val="center"/>
          </w:tcPr>
          <w:p w14:paraId="6F2CEA7F">
            <w:pPr>
              <w:jc w:val="right"/>
            </w:pPr>
            <w:r>
              <w:rPr>
                <w:rFonts w:hint="eastAsia"/>
              </w:rPr>
              <w:t>-</w:t>
            </w:r>
          </w:p>
        </w:tc>
        <w:tc>
          <w:tcPr>
            <w:tcW w:w="1384" w:type="dxa"/>
            <w:vAlign w:val="center"/>
          </w:tcPr>
          <w:p w14:paraId="1D7ACF3C">
            <w:pPr>
              <w:jc w:val="right"/>
            </w:pPr>
            <w:r>
              <w:rPr>
                <w:rFonts w:hint="eastAsia"/>
              </w:rPr>
              <w:t>-</w:t>
            </w:r>
          </w:p>
        </w:tc>
        <w:tc>
          <w:tcPr>
            <w:tcW w:w="1384" w:type="dxa"/>
            <w:vAlign w:val="center"/>
          </w:tcPr>
          <w:p w14:paraId="4831ACD9">
            <w:pPr>
              <w:jc w:val="right"/>
            </w:pPr>
            <w:r>
              <w:rPr>
                <w:rFonts w:hint="eastAsia"/>
              </w:rPr>
              <w:t>-</w:t>
            </w:r>
          </w:p>
        </w:tc>
      </w:tr>
      <w:tr w14:paraId="37E5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EE3DC3">
            <w:r>
              <w:rPr>
                <w:rFonts w:hint="eastAsia"/>
              </w:rPr>
              <w:t>衍生金融负债</w:t>
            </w:r>
          </w:p>
        </w:tc>
        <w:tc>
          <w:tcPr>
            <w:tcW w:w="1384" w:type="dxa"/>
            <w:vAlign w:val="center"/>
          </w:tcPr>
          <w:p w14:paraId="6733205F">
            <w:pPr>
              <w:jc w:val="right"/>
            </w:pPr>
            <w:r>
              <w:rPr>
                <w:rFonts w:hint="eastAsia"/>
              </w:rPr>
              <w:t>-</w:t>
            </w:r>
          </w:p>
        </w:tc>
        <w:tc>
          <w:tcPr>
            <w:tcW w:w="1384" w:type="dxa"/>
            <w:vAlign w:val="center"/>
          </w:tcPr>
          <w:p w14:paraId="6FD9E3A4">
            <w:pPr>
              <w:jc w:val="right"/>
            </w:pPr>
            <w:r>
              <w:rPr>
                <w:rFonts w:hint="eastAsia"/>
              </w:rPr>
              <w:t>-</w:t>
            </w:r>
          </w:p>
        </w:tc>
        <w:tc>
          <w:tcPr>
            <w:tcW w:w="1384" w:type="dxa"/>
            <w:vAlign w:val="center"/>
          </w:tcPr>
          <w:p w14:paraId="3CAB8706">
            <w:pPr>
              <w:jc w:val="right"/>
            </w:pPr>
            <w:r>
              <w:rPr>
                <w:rFonts w:hint="eastAsia"/>
              </w:rPr>
              <w:t>-</w:t>
            </w:r>
          </w:p>
        </w:tc>
        <w:tc>
          <w:tcPr>
            <w:tcW w:w="1384" w:type="dxa"/>
            <w:vAlign w:val="center"/>
          </w:tcPr>
          <w:p w14:paraId="612FB709">
            <w:pPr>
              <w:jc w:val="right"/>
            </w:pPr>
            <w:r>
              <w:rPr>
                <w:rFonts w:hint="eastAsia"/>
              </w:rPr>
              <w:t>-</w:t>
            </w:r>
          </w:p>
        </w:tc>
        <w:tc>
          <w:tcPr>
            <w:tcW w:w="1384" w:type="dxa"/>
            <w:vAlign w:val="center"/>
          </w:tcPr>
          <w:p w14:paraId="517BD004">
            <w:pPr>
              <w:jc w:val="right"/>
            </w:pPr>
            <w:r>
              <w:rPr>
                <w:rFonts w:hint="eastAsia"/>
              </w:rPr>
              <w:t>-</w:t>
            </w:r>
          </w:p>
        </w:tc>
      </w:tr>
      <w:tr w14:paraId="4226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BF592">
            <w:r>
              <w:rPr>
                <w:rFonts w:hint="eastAsia"/>
              </w:rPr>
              <w:t>卖出回购金融资产款</w:t>
            </w:r>
          </w:p>
        </w:tc>
        <w:tc>
          <w:tcPr>
            <w:tcW w:w="1384" w:type="dxa"/>
            <w:vAlign w:val="center"/>
          </w:tcPr>
          <w:p w14:paraId="591EC632">
            <w:pPr>
              <w:jc w:val="right"/>
            </w:pPr>
            <w:r>
              <w:rPr>
                <w:rFonts w:hint="eastAsia"/>
              </w:rPr>
              <w:t>397,633,692.07</w:t>
            </w:r>
          </w:p>
        </w:tc>
        <w:tc>
          <w:tcPr>
            <w:tcW w:w="1384" w:type="dxa"/>
            <w:vAlign w:val="center"/>
          </w:tcPr>
          <w:p w14:paraId="76FAE3D6">
            <w:pPr>
              <w:jc w:val="right"/>
            </w:pPr>
            <w:r>
              <w:rPr>
                <w:rFonts w:hint="eastAsia"/>
              </w:rPr>
              <w:t>-</w:t>
            </w:r>
          </w:p>
        </w:tc>
        <w:tc>
          <w:tcPr>
            <w:tcW w:w="1384" w:type="dxa"/>
            <w:vAlign w:val="center"/>
          </w:tcPr>
          <w:p w14:paraId="6AEE971F">
            <w:pPr>
              <w:jc w:val="right"/>
            </w:pPr>
            <w:r>
              <w:rPr>
                <w:rFonts w:hint="eastAsia"/>
              </w:rPr>
              <w:t>-</w:t>
            </w:r>
          </w:p>
        </w:tc>
        <w:tc>
          <w:tcPr>
            <w:tcW w:w="1384" w:type="dxa"/>
            <w:vAlign w:val="center"/>
          </w:tcPr>
          <w:p w14:paraId="46BC3A37">
            <w:pPr>
              <w:jc w:val="right"/>
            </w:pPr>
            <w:r>
              <w:rPr>
                <w:rFonts w:hint="eastAsia"/>
              </w:rPr>
              <w:t>-</w:t>
            </w:r>
          </w:p>
        </w:tc>
        <w:tc>
          <w:tcPr>
            <w:tcW w:w="1384" w:type="dxa"/>
            <w:vAlign w:val="center"/>
          </w:tcPr>
          <w:p w14:paraId="22277E01">
            <w:pPr>
              <w:jc w:val="right"/>
            </w:pPr>
            <w:r>
              <w:rPr>
                <w:rFonts w:hint="eastAsia"/>
              </w:rPr>
              <w:t>397,633,692.07</w:t>
            </w:r>
          </w:p>
        </w:tc>
      </w:tr>
      <w:tr w14:paraId="0A21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86D9F">
            <w:r>
              <w:rPr>
                <w:rFonts w:hint="eastAsia"/>
              </w:rPr>
              <w:t>应付清算款</w:t>
            </w:r>
          </w:p>
        </w:tc>
        <w:tc>
          <w:tcPr>
            <w:tcW w:w="1384" w:type="dxa"/>
            <w:vAlign w:val="center"/>
          </w:tcPr>
          <w:p w14:paraId="01E2BF6F">
            <w:pPr>
              <w:jc w:val="right"/>
            </w:pPr>
            <w:r>
              <w:rPr>
                <w:rFonts w:hint="eastAsia"/>
              </w:rPr>
              <w:t>-</w:t>
            </w:r>
          </w:p>
        </w:tc>
        <w:tc>
          <w:tcPr>
            <w:tcW w:w="1384" w:type="dxa"/>
            <w:vAlign w:val="center"/>
          </w:tcPr>
          <w:p w14:paraId="47D80495">
            <w:pPr>
              <w:jc w:val="right"/>
            </w:pPr>
            <w:r>
              <w:rPr>
                <w:rFonts w:hint="eastAsia"/>
              </w:rPr>
              <w:t>-</w:t>
            </w:r>
          </w:p>
        </w:tc>
        <w:tc>
          <w:tcPr>
            <w:tcW w:w="1384" w:type="dxa"/>
            <w:vAlign w:val="center"/>
          </w:tcPr>
          <w:p w14:paraId="618BC0D5">
            <w:pPr>
              <w:jc w:val="right"/>
            </w:pPr>
            <w:r>
              <w:rPr>
                <w:rFonts w:hint="eastAsia"/>
              </w:rPr>
              <w:t>-</w:t>
            </w:r>
          </w:p>
        </w:tc>
        <w:tc>
          <w:tcPr>
            <w:tcW w:w="1384" w:type="dxa"/>
            <w:vAlign w:val="center"/>
          </w:tcPr>
          <w:p w14:paraId="7C24B034">
            <w:pPr>
              <w:jc w:val="right"/>
            </w:pPr>
            <w:r>
              <w:rPr>
                <w:rFonts w:hint="eastAsia"/>
              </w:rPr>
              <w:t>10,094,047.01</w:t>
            </w:r>
          </w:p>
        </w:tc>
        <w:tc>
          <w:tcPr>
            <w:tcW w:w="1384" w:type="dxa"/>
            <w:vAlign w:val="center"/>
          </w:tcPr>
          <w:p w14:paraId="1222748D">
            <w:pPr>
              <w:jc w:val="right"/>
            </w:pPr>
            <w:r>
              <w:rPr>
                <w:rFonts w:hint="eastAsia"/>
              </w:rPr>
              <w:t>10,094,047.01</w:t>
            </w:r>
          </w:p>
        </w:tc>
      </w:tr>
      <w:tr w14:paraId="13C2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E7A9D">
            <w:r>
              <w:rPr>
                <w:rFonts w:hint="eastAsia"/>
              </w:rPr>
              <w:t>应付赎回款</w:t>
            </w:r>
          </w:p>
        </w:tc>
        <w:tc>
          <w:tcPr>
            <w:tcW w:w="1384" w:type="dxa"/>
            <w:vAlign w:val="center"/>
          </w:tcPr>
          <w:p w14:paraId="733A4DCB">
            <w:pPr>
              <w:jc w:val="right"/>
            </w:pPr>
            <w:r>
              <w:rPr>
                <w:rFonts w:hint="eastAsia"/>
              </w:rPr>
              <w:t>-</w:t>
            </w:r>
          </w:p>
        </w:tc>
        <w:tc>
          <w:tcPr>
            <w:tcW w:w="1384" w:type="dxa"/>
            <w:vAlign w:val="center"/>
          </w:tcPr>
          <w:p w14:paraId="1AA353FA">
            <w:pPr>
              <w:jc w:val="right"/>
            </w:pPr>
            <w:r>
              <w:rPr>
                <w:rFonts w:hint="eastAsia"/>
              </w:rPr>
              <w:t>-</w:t>
            </w:r>
          </w:p>
        </w:tc>
        <w:tc>
          <w:tcPr>
            <w:tcW w:w="1384" w:type="dxa"/>
            <w:vAlign w:val="center"/>
          </w:tcPr>
          <w:p w14:paraId="060783B8">
            <w:pPr>
              <w:jc w:val="right"/>
            </w:pPr>
            <w:r>
              <w:rPr>
                <w:rFonts w:hint="eastAsia"/>
              </w:rPr>
              <w:t>-</w:t>
            </w:r>
          </w:p>
        </w:tc>
        <w:tc>
          <w:tcPr>
            <w:tcW w:w="1384" w:type="dxa"/>
            <w:vAlign w:val="center"/>
          </w:tcPr>
          <w:p w14:paraId="3D74824E">
            <w:pPr>
              <w:jc w:val="right"/>
            </w:pPr>
            <w:r>
              <w:rPr>
                <w:rFonts w:hint="eastAsia"/>
              </w:rPr>
              <w:t>-</w:t>
            </w:r>
          </w:p>
        </w:tc>
        <w:tc>
          <w:tcPr>
            <w:tcW w:w="1384" w:type="dxa"/>
            <w:vAlign w:val="center"/>
          </w:tcPr>
          <w:p w14:paraId="642D2950">
            <w:pPr>
              <w:jc w:val="right"/>
            </w:pPr>
            <w:r>
              <w:rPr>
                <w:rFonts w:hint="eastAsia"/>
              </w:rPr>
              <w:t>-</w:t>
            </w:r>
          </w:p>
        </w:tc>
      </w:tr>
      <w:tr w14:paraId="5CEC9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90F416">
            <w:r>
              <w:rPr>
                <w:rFonts w:hint="eastAsia"/>
              </w:rPr>
              <w:t>应付管理人报酬</w:t>
            </w:r>
          </w:p>
        </w:tc>
        <w:tc>
          <w:tcPr>
            <w:tcW w:w="1384" w:type="dxa"/>
            <w:vAlign w:val="center"/>
          </w:tcPr>
          <w:p w14:paraId="2F9370FE">
            <w:pPr>
              <w:jc w:val="right"/>
            </w:pPr>
            <w:r>
              <w:rPr>
                <w:rFonts w:hint="eastAsia"/>
              </w:rPr>
              <w:t>-</w:t>
            </w:r>
          </w:p>
        </w:tc>
        <w:tc>
          <w:tcPr>
            <w:tcW w:w="1384" w:type="dxa"/>
            <w:vAlign w:val="center"/>
          </w:tcPr>
          <w:p w14:paraId="711F1A79">
            <w:pPr>
              <w:jc w:val="right"/>
            </w:pPr>
            <w:r>
              <w:rPr>
                <w:rFonts w:hint="eastAsia"/>
              </w:rPr>
              <w:t>-</w:t>
            </w:r>
          </w:p>
        </w:tc>
        <w:tc>
          <w:tcPr>
            <w:tcW w:w="1384" w:type="dxa"/>
            <w:vAlign w:val="center"/>
          </w:tcPr>
          <w:p w14:paraId="3D3CFAFF">
            <w:pPr>
              <w:jc w:val="right"/>
            </w:pPr>
            <w:r>
              <w:rPr>
                <w:rFonts w:hint="eastAsia"/>
              </w:rPr>
              <w:t>-</w:t>
            </w:r>
          </w:p>
        </w:tc>
        <w:tc>
          <w:tcPr>
            <w:tcW w:w="1384" w:type="dxa"/>
            <w:vAlign w:val="center"/>
          </w:tcPr>
          <w:p w14:paraId="690556F3">
            <w:pPr>
              <w:jc w:val="right"/>
            </w:pPr>
            <w:r>
              <w:rPr>
                <w:rFonts w:hint="eastAsia"/>
              </w:rPr>
              <w:t>349,837.23</w:t>
            </w:r>
          </w:p>
        </w:tc>
        <w:tc>
          <w:tcPr>
            <w:tcW w:w="1384" w:type="dxa"/>
            <w:vAlign w:val="center"/>
          </w:tcPr>
          <w:p w14:paraId="2575A987">
            <w:pPr>
              <w:jc w:val="right"/>
            </w:pPr>
            <w:r>
              <w:rPr>
                <w:rFonts w:hint="eastAsia"/>
              </w:rPr>
              <w:t>349,837.23</w:t>
            </w:r>
          </w:p>
        </w:tc>
      </w:tr>
      <w:tr w14:paraId="533A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51381F">
            <w:r>
              <w:rPr>
                <w:rFonts w:hint="eastAsia"/>
              </w:rPr>
              <w:t>应付托管费</w:t>
            </w:r>
          </w:p>
        </w:tc>
        <w:tc>
          <w:tcPr>
            <w:tcW w:w="1384" w:type="dxa"/>
            <w:vAlign w:val="center"/>
          </w:tcPr>
          <w:p w14:paraId="499A4D23">
            <w:pPr>
              <w:jc w:val="right"/>
            </w:pPr>
            <w:r>
              <w:rPr>
                <w:rFonts w:hint="eastAsia"/>
              </w:rPr>
              <w:t>-</w:t>
            </w:r>
          </w:p>
        </w:tc>
        <w:tc>
          <w:tcPr>
            <w:tcW w:w="1384" w:type="dxa"/>
            <w:vAlign w:val="center"/>
          </w:tcPr>
          <w:p w14:paraId="3DD3E850">
            <w:pPr>
              <w:jc w:val="right"/>
            </w:pPr>
            <w:r>
              <w:rPr>
                <w:rFonts w:hint="eastAsia"/>
              </w:rPr>
              <w:t>-</w:t>
            </w:r>
          </w:p>
        </w:tc>
        <w:tc>
          <w:tcPr>
            <w:tcW w:w="1384" w:type="dxa"/>
            <w:vAlign w:val="center"/>
          </w:tcPr>
          <w:p w14:paraId="57BFB632">
            <w:pPr>
              <w:jc w:val="right"/>
            </w:pPr>
            <w:r>
              <w:rPr>
                <w:rFonts w:hint="eastAsia"/>
              </w:rPr>
              <w:t>-</w:t>
            </w:r>
          </w:p>
        </w:tc>
        <w:tc>
          <w:tcPr>
            <w:tcW w:w="1384" w:type="dxa"/>
            <w:vAlign w:val="center"/>
          </w:tcPr>
          <w:p w14:paraId="5C090DC2">
            <w:pPr>
              <w:jc w:val="right"/>
            </w:pPr>
            <w:r>
              <w:rPr>
                <w:rFonts w:hint="eastAsia"/>
              </w:rPr>
              <w:t>87,459.30</w:t>
            </w:r>
          </w:p>
        </w:tc>
        <w:tc>
          <w:tcPr>
            <w:tcW w:w="1384" w:type="dxa"/>
            <w:vAlign w:val="center"/>
          </w:tcPr>
          <w:p w14:paraId="54B59669">
            <w:pPr>
              <w:jc w:val="right"/>
            </w:pPr>
            <w:r>
              <w:rPr>
                <w:rFonts w:hint="eastAsia"/>
              </w:rPr>
              <w:t>87,459.30</w:t>
            </w:r>
          </w:p>
        </w:tc>
      </w:tr>
      <w:tr w14:paraId="0841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CC950B">
            <w:r>
              <w:rPr>
                <w:rFonts w:hint="eastAsia"/>
              </w:rPr>
              <w:t>应付销售服务费</w:t>
            </w:r>
          </w:p>
        </w:tc>
        <w:tc>
          <w:tcPr>
            <w:tcW w:w="1384" w:type="dxa"/>
            <w:vAlign w:val="center"/>
          </w:tcPr>
          <w:p w14:paraId="4A29B307">
            <w:pPr>
              <w:jc w:val="right"/>
            </w:pPr>
            <w:r>
              <w:rPr>
                <w:rFonts w:hint="eastAsia"/>
              </w:rPr>
              <w:t>-</w:t>
            </w:r>
          </w:p>
        </w:tc>
        <w:tc>
          <w:tcPr>
            <w:tcW w:w="1384" w:type="dxa"/>
            <w:vAlign w:val="center"/>
          </w:tcPr>
          <w:p w14:paraId="648A44FD">
            <w:pPr>
              <w:jc w:val="right"/>
            </w:pPr>
            <w:r>
              <w:rPr>
                <w:rFonts w:hint="eastAsia"/>
              </w:rPr>
              <w:t>-</w:t>
            </w:r>
          </w:p>
        </w:tc>
        <w:tc>
          <w:tcPr>
            <w:tcW w:w="1384" w:type="dxa"/>
            <w:vAlign w:val="center"/>
          </w:tcPr>
          <w:p w14:paraId="1E03945C">
            <w:pPr>
              <w:jc w:val="right"/>
            </w:pPr>
            <w:r>
              <w:rPr>
                <w:rFonts w:hint="eastAsia"/>
              </w:rPr>
              <w:t>-</w:t>
            </w:r>
          </w:p>
        </w:tc>
        <w:tc>
          <w:tcPr>
            <w:tcW w:w="1384" w:type="dxa"/>
            <w:vAlign w:val="center"/>
          </w:tcPr>
          <w:p w14:paraId="511288CA">
            <w:pPr>
              <w:jc w:val="right"/>
            </w:pPr>
            <w:r>
              <w:rPr>
                <w:rFonts w:hint="eastAsia"/>
              </w:rPr>
              <w:t>69,877.57</w:t>
            </w:r>
          </w:p>
        </w:tc>
        <w:tc>
          <w:tcPr>
            <w:tcW w:w="1384" w:type="dxa"/>
            <w:vAlign w:val="center"/>
          </w:tcPr>
          <w:p w14:paraId="19A4482C">
            <w:pPr>
              <w:jc w:val="right"/>
            </w:pPr>
            <w:r>
              <w:rPr>
                <w:rFonts w:hint="eastAsia"/>
              </w:rPr>
              <w:t>69,877.57</w:t>
            </w:r>
          </w:p>
        </w:tc>
      </w:tr>
      <w:tr w14:paraId="4AFF6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966ED">
            <w:r>
              <w:rPr>
                <w:rFonts w:hint="eastAsia"/>
              </w:rPr>
              <w:t>应付投资顾问费</w:t>
            </w:r>
          </w:p>
        </w:tc>
        <w:tc>
          <w:tcPr>
            <w:tcW w:w="1384" w:type="dxa"/>
            <w:vAlign w:val="center"/>
          </w:tcPr>
          <w:p w14:paraId="64DF9098">
            <w:pPr>
              <w:jc w:val="right"/>
            </w:pPr>
            <w:r>
              <w:rPr>
                <w:rFonts w:hint="eastAsia"/>
              </w:rPr>
              <w:t>-</w:t>
            </w:r>
          </w:p>
        </w:tc>
        <w:tc>
          <w:tcPr>
            <w:tcW w:w="1384" w:type="dxa"/>
            <w:vAlign w:val="center"/>
          </w:tcPr>
          <w:p w14:paraId="2DCD9B95">
            <w:pPr>
              <w:jc w:val="right"/>
            </w:pPr>
            <w:r>
              <w:rPr>
                <w:rFonts w:hint="eastAsia"/>
              </w:rPr>
              <w:t>-</w:t>
            </w:r>
          </w:p>
        </w:tc>
        <w:tc>
          <w:tcPr>
            <w:tcW w:w="1384" w:type="dxa"/>
            <w:vAlign w:val="center"/>
          </w:tcPr>
          <w:p w14:paraId="4B559913">
            <w:pPr>
              <w:jc w:val="right"/>
            </w:pPr>
            <w:r>
              <w:rPr>
                <w:rFonts w:hint="eastAsia"/>
              </w:rPr>
              <w:t>-</w:t>
            </w:r>
          </w:p>
        </w:tc>
        <w:tc>
          <w:tcPr>
            <w:tcW w:w="1384" w:type="dxa"/>
            <w:vAlign w:val="center"/>
          </w:tcPr>
          <w:p w14:paraId="7B3EE6BF">
            <w:pPr>
              <w:jc w:val="right"/>
            </w:pPr>
            <w:r>
              <w:rPr>
                <w:rFonts w:hint="eastAsia"/>
              </w:rPr>
              <w:t>-</w:t>
            </w:r>
          </w:p>
        </w:tc>
        <w:tc>
          <w:tcPr>
            <w:tcW w:w="1384" w:type="dxa"/>
            <w:vAlign w:val="center"/>
          </w:tcPr>
          <w:p w14:paraId="0CB1033F">
            <w:pPr>
              <w:jc w:val="right"/>
            </w:pPr>
            <w:r>
              <w:rPr>
                <w:rFonts w:hint="eastAsia"/>
              </w:rPr>
              <w:t>-</w:t>
            </w:r>
          </w:p>
        </w:tc>
      </w:tr>
      <w:tr w14:paraId="4A17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AF28A9">
            <w:r>
              <w:rPr>
                <w:rFonts w:hint="eastAsia"/>
              </w:rPr>
              <w:t>应交税费</w:t>
            </w:r>
          </w:p>
        </w:tc>
        <w:tc>
          <w:tcPr>
            <w:tcW w:w="1384" w:type="dxa"/>
            <w:vAlign w:val="center"/>
          </w:tcPr>
          <w:p w14:paraId="0AFB50F1">
            <w:pPr>
              <w:jc w:val="right"/>
            </w:pPr>
            <w:r>
              <w:rPr>
                <w:rFonts w:hint="eastAsia"/>
              </w:rPr>
              <w:t>-</w:t>
            </w:r>
          </w:p>
        </w:tc>
        <w:tc>
          <w:tcPr>
            <w:tcW w:w="1384" w:type="dxa"/>
            <w:vAlign w:val="center"/>
          </w:tcPr>
          <w:p w14:paraId="438F10DB">
            <w:pPr>
              <w:jc w:val="right"/>
            </w:pPr>
            <w:r>
              <w:rPr>
                <w:rFonts w:hint="eastAsia"/>
              </w:rPr>
              <w:t>-</w:t>
            </w:r>
          </w:p>
        </w:tc>
        <w:tc>
          <w:tcPr>
            <w:tcW w:w="1384" w:type="dxa"/>
            <w:vAlign w:val="center"/>
          </w:tcPr>
          <w:p w14:paraId="25BCD6FA">
            <w:pPr>
              <w:jc w:val="right"/>
            </w:pPr>
            <w:r>
              <w:rPr>
                <w:rFonts w:hint="eastAsia"/>
              </w:rPr>
              <w:t>-</w:t>
            </w:r>
          </w:p>
        </w:tc>
        <w:tc>
          <w:tcPr>
            <w:tcW w:w="1384" w:type="dxa"/>
            <w:vAlign w:val="center"/>
          </w:tcPr>
          <w:p w14:paraId="0731D52C">
            <w:pPr>
              <w:jc w:val="right"/>
            </w:pPr>
            <w:r>
              <w:rPr>
                <w:rFonts w:hint="eastAsia"/>
              </w:rPr>
              <w:t>58,633.38</w:t>
            </w:r>
          </w:p>
        </w:tc>
        <w:tc>
          <w:tcPr>
            <w:tcW w:w="1384" w:type="dxa"/>
            <w:vAlign w:val="center"/>
          </w:tcPr>
          <w:p w14:paraId="0592EABF">
            <w:pPr>
              <w:jc w:val="right"/>
            </w:pPr>
            <w:r>
              <w:rPr>
                <w:rFonts w:hint="eastAsia"/>
              </w:rPr>
              <w:t>58,633.38</w:t>
            </w:r>
          </w:p>
        </w:tc>
      </w:tr>
      <w:tr w14:paraId="37D5F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B0188B">
            <w:r>
              <w:rPr>
                <w:rFonts w:hint="eastAsia"/>
              </w:rPr>
              <w:t>应付利润</w:t>
            </w:r>
          </w:p>
        </w:tc>
        <w:tc>
          <w:tcPr>
            <w:tcW w:w="1384" w:type="dxa"/>
            <w:vAlign w:val="center"/>
          </w:tcPr>
          <w:p w14:paraId="6A4310D6">
            <w:pPr>
              <w:jc w:val="right"/>
            </w:pPr>
            <w:r>
              <w:rPr>
                <w:rFonts w:hint="eastAsia"/>
              </w:rPr>
              <w:t>-</w:t>
            </w:r>
          </w:p>
        </w:tc>
        <w:tc>
          <w:tcPr>
            <w:tcW w:w="1384" w:type="dxa"/>
            <w:vAlign w:val="center"/>
          </w:tcPr>
          <w:p w14:paraId="199C125A">
            <w:pPr>
              <w:jc w:val="right"/>
            </w:pPr>
            <w:r>
              <w:rPr>
                <w:rFonts w:hint="eastAsia"/>
              </w:rPr>
              <w:t>-</w:t>
            </w:r>
          </w:p>
        </w:tc>
        <w:tc>
          <w:tcPr>
            <w:tcW w:w="1384" w:type="dxa"/>
            <w:vAlign w:val="center"/>
          </w:tcPr>
          <w:p w14:paraId="2D2B6A64">
            <w:pPr>
              <w:jc w:val="right"/>
            </w:pPr>
            <w:r>
              <w:rPr>
                <w:rFonts w:hint="eastAsia"/>
              </w:rPr>
              <w:t>-</w:t>
            </w:r>
          </w:p>
        </w:tc>
        <w:tc>
          <w:tcPr>
            <w:tcW w:w="1384" w:type="dxa"/>
            <w:vAlign w:val="center"/>
          </w:tcPr>
          <w:p w14:paraId="6D34C20B">
            <w:pPr>
              <w:jc w:val="right"/>
            </w:pPr>
            <w:r>
              <w:rPr>
                <w:rFonts w:hint="eastAsia"/>
              </w:rPr>
              <w:t>-</w:t>
            </w:r>
          </w:p>
        </w:tc>
        <w:tc>
          <w:tcPr>
            <w:tcW w:w="1384" w:type="dxa"/>
            <w:vAlign w:val="center"/>
          </w:tcPr>
          <w:p w14:paraId="519AD3D8">
            <w:pPr>
              <w:jc w:val="right"/>
            </w:pPr>
            <w:r>
              <w:rPr>
                <w:rFonts w:hint="eastAsia"/>
              </w:rPr>
              <w:t>-</w:t>
            </w:r>
          </w:p>
        </w:tc>
      </w:tr>
      <w:tr w14:paraId="144D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95D7F4">
            <w:r>
              <w:rPr>
                <w:rFonts w:hint="eastAsia"/>
              </w:rPr>
              <w:t>递延所得税负债</w:t>
            </w:r>
          </w:p>
        </w:tc>
        <w:tc>
          <w:tcPr>
            <w:tcW w:w="1384" w:type="dxa"/>
            <w:vAlign w:val="center"/>
          </w:tcPr>
          <w:p w14:paraId="32EAD54C">
            <w:pPr>
              <w:jc w:val="right"/>
            </w:pPr>
            <w:r>
              <w:rPr>
                <w:rFonts w:hint="eastAsia"/>
              </w:rPr>
              <w:t>-</w:t>
            </w:r>
          </w:p>
        </w:tc>
        <w:tc>
          <w:tcPr>
            <w:tcW w:w="1384" w:type="dxa"/>
            <w:vAlign w:val="center"/>
          </w:tcPr>
          <w:p w14:paraId="21316042">
            <w:pPr>
              <w:jc w:val="right"/>
            </w:pPr>
            <w:r>
              <w:rPr>
                <w:rFonts w:hint="eastAsia"/>
              </w:rPr>
              <w:t>-</w:t>
            </w:r>
          </w:p>
        </w:tc>
        <w:tc>
          <w:tcPr>
            <w:tcW w:w="1384" w:type="dxa"/>
            <w:vAlign w:val="center"/>
          </w:tcPr>
          <w:p w14:paraId="2FFB5A59">
            <w:pPr>
              <w:jc w:val="right"/>
            </w:pPr>
            <w:r>
              <w:rPr>
                <w:rFonts w:hint="eastAsia"/>
              </w:rPr>
              <w:t>-</w:t>
            </w:r>
          </w:p>
        </w:tc>
        <w:tc>
          <w:tcPr>
            <w:tcW w:w="1384" w:type="dxa"/>
            <w:vAlign w:val="center"/>
          </w:tcPr>
          <w:p w14:paraId="1A65C46E">
            <w:pPr>
              <w:jc w:val="right"/>
            </w:pPr>
            <w:r>
              <w:rPr>
                <w:rFonts w:hint="eastAsia"/>
              </w:rPr>
              <w:t>-</w:t>
            </w:r>
          </w:p>
        </w:tc>
        <w:tc>
          <w:tcPr>
            <w:tcW w:w="1384" w:type="dxa"/>
            <w:vAlign w:val="center"/>
          </w:tcPr>
          <w:p w14:paraId="4C3CE903">
            <w:pPr>
              <w:jc w:val="right"/>
            </w:pPr>
            <w:r>
              <w:rPr>
                <w:rFonts w:hint="eastAsia"/>
              </w:rPr>
              <w:t>-</w:t>
            </w:r>
          </w:p>
        </w:tc>
      </w:tr>
      <w:tr w14:paraId="1FF6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25454E">
            <w:r>
              <w:rPr>
                <w:rFonts w:hint="eastAsia"/>
              </w:rPr>
              <w:t>其他负债</w:t>
            </w:r>
          </w:p>
        </w:tc>
        <w:tc>
          <w:tcPr>
            <w:tcW w:w="1384" w:type="dxa"/>
            <w:vAlign w:val="center"/>
          </w:tcPr>
          <w:p w14:paraId="5DD76831">
            <w:pPr>
              <w:jc w:val="right"/>
            </w:pPr>
            <w:r>
              <w:rPr>
                <w:rFonts w:hint="eastAsia"/>
              </w:rPr>
              <w:t>-</w:t>
            </w:r>
          </w:p>
        </w:tc>
        <w:tc>
          <w:tcPr>
            <w:tcW w:w="1384" w:type="dxa"/>
            <w:vAlign w:val="center"/>
          </w:tcPr>
          <w:p w14:paraId="7003ADA4">
            <w:pPr>
              <w:jc w:val="right"/>
            </w:pPr>
            <w:r>
              <w:rPr>
                <w:rFonts w:hint="eastAsia"/>
              </w:rPr>
              <w:t>-</w:t>
            </w:r>
          </w:p>
        </w:tc>
        <w:tc>
          <w:tcPr>
            <w:tcW w:w="1384" w:type="dxa"/>
            <w:vAlign w:val="center"/>
          </w:tcPr>
          <w:p w14:paraId="76914EED">
            <w:pPr>
              <w:jc w:val="right"/>
            </w:pPr>
            <w:r>
              <w:rPr>
                <w:rFonts w:hint="eastAsia"/>
              </w:rPr>
              <w:t>-</w:t>
            </w:r>
          </w:p>
        </w:tc>
        <w:tc>
          <w:tcPr>
            <w:tcW w:w="1384" w:type="dxa"/>
            <w:vAlign w:val="center"/>
          </w:tcPr>
          <w:p w14:paraId="28734D23">
            <w:pPr>
              <w:jc w:val="right"/>
            </w:pPr>
            <w:r>
              <w:rPr>
                <w:rFonts w:hint="eastAsia"/>
              </w:rPr>
              <w:t>98,242.57</w:t>
            </w:r>
          </w:p>
        </w:tc>
        <w:tc>
          <w:tcPr>
            <w:tcW w:w="1384" w:type="dxa"/>
            <w:vAlign w:val="center"/>
          </w:tcPr>
          <w:p w14:paraId="694C3A3D">
            <w:pPr>
              <w:jc w:val="right"/>
            </w:pPr>
            <w:r>
              <w:rPr>
                <w:rFonts w:hint="eastAsia"/>
              </w:rPr>
              <w:t>98,242.57</w:t>
            </w:r>
          </w:p>
        </w:tc>
      </w:tr>
      <w:tr w14:paraId="3DA55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03DEAF">
            <w:r>
              <w:rPr>
                <w:rFonts w:hint="eastAsia"/>
              </w:rPr>
              <w:t>负债总计</w:t>
            </w:r>
          </w:p>
        </w:tc>
        <w:tc>
          <w:tcPr>
            <w:tcW w:w="1384" w:type="dxa"/>
            <w:vAlign w:val="center"/>
          </w:tcPr>
          <w:p w14:paraId="070EF20C">
            <w:pPr>
              <w:jc w:val="right"/>
            </w:pPr>
            <w:r>
              <w:rPr>
                <w:rFonts w:hint="eastAsia"/>
              </w:rPr>
              <w:t>397,633,692.07</w:t>
            </w:r>
          </w:p>
        </w:tc>
        <w:tc>
          <w:tcPr>
            <w:tcW w:w="1384" w:type="dxa"/>
            <w:vAlign w:val="center"/>
          </w:tcPr>
          <w:p w14:paraId="09C65011">
            <w:pPr>
              <w:jc w:val="right"/>
            </w:pPr>
            <w:r>
              <w:rPr>
                <w:rFonts w:hint="eastAsia"/>
              </w:rPr>
              <w:t>-</w:t>
            </w:r>
          </w:p>
        </w:tc>
        <w:tc>
          <w:tcPr>
            <w:tcW w:w="1384" w:type="dxa"/>
            <w:vAlign w:val="center"/>
          </w:tcPr>
          <w:p w14:paraId="24ECF8BF">
            <w:pPr>
              <w:jc w:val="right"/>
            </w:pPr>
            <w:r>
              <w:rPr>
                <w:rFonts w:hint="eastAsia"/>
              </w:rPr>
              <w:t>-</w:t>
            </w:r>
          </w:p>
        </w:tc>
        <w:tc>
          <w:tcPr>
            <w:tcW w:w="1384" w:type="dxa"/>
            <w:vAlign w:val="center"/>
          </w:tcPr>
          <w:p w14:paraId="3FA8429C">
            <w:pPr>
              <w:jc w:val="right"/>
            </w:pPr>
            <w:r>
              <w:rPr>
                <w:rFonts w:hint="eastAsia"/>
              </w:rPr>
              <w:t>10,758,097.06</w:t>
            </w:r>
          </w:p>
        </w:tc>
        <w:tc>
          <w:tcPr>
            <w:tcW w:w="1384" w:type="dxa"/>
            <w:vAlign w:val="center"/>
          </w:tcPr>
          <w:p w14:paraId="338FF334">
            <w:pPr>
              <w:jc w:val="right"/>
            </w:pPr>
            <w:r>
              <w:rPr>
                <w:rFonts w:hint="eastAsia"/>
              </w:rPr>
              <w:t>408,391,789.13</w:t>
            </w:r>
          </w:p>
        </w:tc>
      </w:tr>
      <w:tr w14:paraId="3C2C3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85A32">
            <w:r>
              <w:rPr>
                <w:rFonts w:hint="eastAsia"/>
              </w:rPr>
              <w:t>利率敏感度缺口</w:t>
            </w:r>
          </w:p>
        </w:tc>
        <w:tc>
          <w:tcPr>
            <w:tcW w:w="1384" w:type="dxa"/>
            <w:vAlign w:val="center"/>
          </w:tcPr>
          <w:p w14:paraId="733FFAED">
            <w:pPr>
              <w:jc w:val="right"/>
            </w:pPr>
            <w:r>
              <w:rPr>
                <w:rFonts w:hint="eastAsia"/>
              </w:rPr>
              <w:t>1,934,814,401.24</w:t>
            </w:r>
          </w:p>
        </w:tc>
        <w:tc>
          <w:tcPr>
            <w:tcW w:w="1384" w:type="dxa"/>
            <w:vAlign w:val="center"/>
          </w:tcPr>
          <w:p w14:paraId="1D0D74D5">
            <w:pPr>
              <w:jc w:val="right"/>
            </w:pPr>
            <w:r>
              <w:rPr>
                <w:rFonts w:hint="eastAsia"/>
              </w:rPr>
              <w:t>136,240,773.15</w:t>
            </w:r>
          </w:p>
        </w:tc>
        <w:tc>
          <w:tcPr>
            <w:tcW w:w="1384" w:type="dxa"/>
            <w:vAlign w:val="center"/>
          </w:tcPr>
          <w:p w14:paraId="0010C2EC">
            <w:pPr>
              <w:jc w:val="right"/>
            </w:pPr>
            <w:r>
              <w:rPr>
                <w:rFonts w:hint="eastAsia"/>
              </w:rPr>
              <w:t>-</w:t>
            </w:r>
          </w:p>
        </w:tc>
        <w:tc>
          <w:tcPr>
            <w:tcW w:w="1384" w:type="dxa"/>
            <w:vAlign w:val="center"/>
          </w:tcPr>
          <w:p w14:paraId="48C30C13">
            <w:pPr>
              <w:jc w:val="right"/>
            </w:pPr>
            <w:r>
              <w:rPr>
                <w:rFonts w:hint="eastAsia"/>
              </w:rPr>
              <w:t>-10,758,097.06</w:t>
            </w:r>
          </w:p>
        </w:tc>
        <w:tc>
          <w:tcPr>
            <w:tcW w:w="1384" w:type="dxa"/>
            <w:vAlign w:val="center"/>
          </w:tcPr>
          <w:p w14:paraId="76779734">
            <w:pPr>
              <w:jc w:val="right"/>
            </w:pPr>
            <w:r>
              <w:rPr>
                <w:rFonts w:hint="eastAsia"/>
              </w:rPr>
              <w:t>2,060,297,077.33</w:t>
            </w:r>
          </w:p>
        </w:tc>
      </w:tr>
    </w:tbl>
    <w:p w14:paraId="0AC70924">
      <w:pPr>
        <w:pStyle w:val="47"/>
        <w:rPr>
          <w:rFonts w:hint="eastAsia"/>
        </w:rPr>
      </w:pPr>
      <w:r>
        <w:rPr>
          <w:rFonts w:hint="eastAsia"/>
        </w:rPr>
        <w:t>注：表中所示为本基金资产及负债的账面价值，并按照合约规定的利率重新定价日或到期日孰早者予以分类。</w:t>
      </w:r>
    </w:p>
    <w:p w14:paraId="086B0BBD">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FA6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F86270">
            <w:r>
              <w:rPr>
                <w:rFonts w:hint="eastAsia"/>
              </w:rPr>
              <w:t>假设</w:t>
            </w:r>
          </w:p>
        </w:tc>
        <w:tc>
          <w:tcPr>
            <w:tcW w:w="2768" w:type="dxa"/>
            <w:gridSpan w:val="2"/>
            <w:vAlign w:val="center"/>
          </w:tcPr>
          <w:p w14:paraId="32FAF2F3">
            <w:r>
              <w:rPr>
                <w:rFonts w:hint="eastAsia"/>
              </w:rPr>
              <w:t>除市场利率以外的其他市场变量保持不变</w:t>
            </w:r>
          </w:p>
        </w:tc>
      </w:tr>
      <w:tr w14:paraId="23D99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7D629AD">
            <w:r>
              <w:rPr>
                <w:rFonts w:hint="eastAsia"/>
              </w:rPr>
              <w:t>分析</w:t>
            </w:r>
          </w:p>
        </w:tc>
        <w:tc>
          <w:tcPr>
            <w:tcW w:w="2768" w:type="dxa"/>
            <w:vMerge w:val="restart"/>
            <w:vAlign w:val="center"/>
          </w:tcPr>
          <w:p w14:paraId="65034D60">
            <w:r>
              <w:rPr>
                <w:rFonts w:hint="eastAsia"/>
              </w:rPr>
              <w:t>相关风险变量的变动</w:t>
            </w:r>
          </w:p>
        </w:tc>
        <w:tc>
          <w:tcPr>
            <w:tcW w:w="2768" w:type="dxa"/>
            <w:vAlign w:val="center"/>
          </w:tcPr>
          <w:p w14:paraId="096E5251">
            <w:r>
              <w:rPr>
                <w:rFonts w:hint="eastAsia"/>
              </w:rPr>
              <w:t>对资产负债表日基金资产净值的影响金额（单位：人民币元）</w:t>
            </w:r>
          </w:p>
        </w:tc>
      </w:tr>
      <w:tr w14:paraId="66C1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9E63C2F"/>
        </w:tc>
        <w:tc>
          <w:tcPr>
            <w:tcW w:w="2768" w:type="dxa"/>
            <w:vMerge w:val="continue"/>
            <w:vAlign w:val="center"/>
          </w:tcPr>
          <w:p w14:paraId="71686E18"/>
        </w:tc>
        <w:tc>
          <w:tcPr>
            <w:tcW w:w="2768" w:type="dxa"/>
            <w:vAlign w:val="center"/>
          </w:tcPr>
          <w:p w14:paraId="2B5A9CBF">
            <w:r>
              <w:rPr>
                <w:rFonts w:hint="eastAsia"/>
              </w:rPr>
              <w:t>本期末（ 2025年12月31日 ）</w:t>
            </w:r>
          </w:p>
        </w:tc>
      </w:tr>
      <w:tr w14:paraId="0BE7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EE856D8"/>
        </w:tc>
        <w:tc>
          <w:tcPr>
            <w:tcW w:w="2768" w:type="dxa"/>
            <w:vAlign w:val="center"/>
          </w:tcPr>
          <w:p w14:paraId="05CF0293">
            <w:r>
              <w:rPr>
                <w:rFonts w:hint="eastAsia"/>
              </w:rPr>
              <w:t>1.市场利率平行上升25个基点</w:t>
            </w:r>
          </w:p>
        </w:tc>
        <w:tc>
          <w:tcPr>
            <w:tcW w:w="2768" w:type="dxa"/>
            <w:vAlign w:val="center"/>
          </w:tcPr>
          <w:p w14:paraId="09229C6E">
            <w:pPr>
              <w:jc w:val="right"/>
            </w:pPr>
            <w:r>
              <w:rPr>
                <w:rFonts w:hint="eastAsia"/>
              </w:rPr>
              <w:t>-2,110,968.44</w:t>
            </w:r>
          </w:p>
        </w:tc>
      </w:tr>
      <w:tr w14:paraId="3FDE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9A674B0"/>
        </w:tc>
        <w:tc>
          <w:tcPr>
            <w:tcW w:w="2768" w:type="dxa"/>
            <w:vAlign w:val="center"/>
          </w:tcPr>
          <w:p w14:paraId="6A351C80">
            <w:r>
              <w:rPr>
                <w:rFonts w:hint="eastAsia"/>
              </w:rPr>
              <w:t>2.市场利率平行下降25个基点</w:t>
            </w:r>
          </w:p>
        </w:tc>
        <w:tc>
          <w:tcPr>
            <w:tcW w:w="2768" w:type="dxa"/>
            <w:vAlign w:val="center"/>
          </w:tcPr>
          <w:p w14:paraId="143F6381">
            <w:pPr>
              <w:jc w:val="right"/>
            </w:pPr>
            <w:r>
              <w:rPr>
                <w:rFonts w:hint="eastAsia"/>
              </w:rPr>
              <w:t>2,117,821.33</w:t>
            </w:r>
          </w:p>
        </w:tc>
      </w:tr>
    </w:tbl>
    <w:p w14:paraId="453F68D5">
      <w:pPr>
        <w:pStyle w:val="36"/>
      </w:pPr>
      <w:bookmarkStart w:id="142" w:name="_Toc142"/>
      <w:r>
        <w:t>外汇风险</w:t>
      </w:r>
      <w:bookmarkEnd w:id="142"/>
    </w:p>
    <w:p w14:paraId="44F76BF6">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8E85FC0">
      <w:pPr>
        <w:pStyle w:val="36"/>
      </w:pPr>
      <w:bookmarkStart w:id="143" w:name="_Toc143"/>
      <w:r>
        <w:t>其他价格风险</w:t>
      </w:r>
      <w:bookmarkEnd w:id="143"/>
    </w:p>
    <w:p w14:paraId="71F6F61C">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0C1A8296">
      <w:pPr>
        <w:pStyle w:val="28"/>
      </w:pPr>
      <w:bookmarkStart w:id="144" w:name="_Toc144"/>
      <w:r>
        <w:t>公允价值</w:t>
      </w:r>
      <w:bookmarkEnd w:id="144"/>
    </w:p>
    <w:p w14:paraId="509BF5DB">
      <w:pPr>
        <w:pStyle w:val="35"/>
      </w:pPr>
      <w:bookmarkStart w:id="145" w:name="_Toc145"/>
      <w:r>
        <w:t>金融工具公允价值计量的方法</w:t>
      </w:r>
      <w:bookmarkEnd w:id="145"/>
    </w:p>
    <w:p w14:paraId="28FA9BAA">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4E32DA1">
      <w:pPr>
        <w:pStyle w:val="35"/>
      </w:pPr>
      <w:bookmarkStart w:id="146" w:name="_Toc146"/>
      <w:r>
        <w:t>持续的以公允价值计量的金融工具</w:t>
      </w:r>
      <w:bookmarkEnd w:id="146"/>
    </w:p>
    <w:p w14:paraId="6CA305C1">
      <w:pPr>
        <w:pStyle w:val="36"/>
      </w:pPr>
      <w:bookmarkStart w:id="147" w:name="_Toc147"/>
      <w:r>
        <w:t>各层次金融工具的公允价值</w:t>
      </w:r>
      <w:bookmarkEnd w:id="147"/>
    </w:p>
    <w:p w14:paraId="225720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D2A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shd w:val="clear" w:color="auto" w:fill="BFBFBF"/>
            <w:vAlign w:val="center"/>
          </w:tcPr>
          <w:p w14:paraId="1F956B11">
            <w:pPr>
              <w:jc w:val="center"/>
            </w:pPr>
            <w:r>
              <w:rPr>
                <w:rFonts w:hint="eastAsia"/>
                <w:b/>
              </w:rPr>
              <w:t>公允价值计量结果所属的层次</w:t>
            </w:r>
          </w:p>
        </w:tc>
        <w:tc>
          <w:tcPr>
            <w:tcW w:w="4153" w:type="dxa"/>
            <w:shd w:val="clear" w:color="auto" w:fill="BFBFBF"/>
            <w:vAlign w:val="center"/>
          </w:tcPr>
          <w:p w14:paraId="4AF44B90">
            <w:pPr>
              <w:jc w:val="center"/>
            </w:pPr>
            <w:r>
              <w:rPr>
                <w:rFonts w:hint="eastAsia"/>
                <w:b/>
              </w:rPr>
              <w:t>本期末2025年12月31日</w:t>
            </w:r>
          </w:p>
        </w:tc>
      </w:tr>
      <w:tr w14:paraId="43D2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1086FF">
            <w:r>
              <w:rPr>
                <w:rFonts w:hint="eastAsia"/>
              </w:rPr>
              <w:t>第一层次</w:t>
            </w:r>
          </w:p>
        </w:tc>
        <w:tc>
          <w:tcPr>
            <w:tcW w:w="4153" w:type="dxa"/>
            <w:vAlign w:val="center"/>
          </w:tcPr>
          <w:p w14:paraId="723EB288">
            <w:pPr>
              <w:jc w:val="right"/>
            </w:pPr>
            <w:r>
              <w:rPr>
                <w:rFonts w:hint="eastAsia"/>
              </w:rPr>
              <w:t>-</w:t>
            </w:r>
          </w:p>
        </w:tc>
      </w:tr>
      <w:tr w14:paraId="7A58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187935">
            <w:r>
              <w:rPr>
                <w:rFonts w:hint="eastAsia"/>
              </w:rPr>
              <w:t>第二层次</w:t>
            </w:r>
          </w:p>
        </w:tc>
        <w:tc>
          <w:tcPr>
            <w:tcW w:w="4153" w:type="dxa"/>
            <w:vAlign w:val="center"/>
          </w:tcPr>
          <w:p w14:paraId="1B6C21D9">
            <w:pPr>
              <w:jc w:val="right"/>
            </w:pPr>
            <w:r>
              <w:rPr>
                <w:rFonts w:hint="eastAsia"/>
              </w:rPr>
              <w:t>2,438,609,187.09</w:t>
            </w:r>
          </w:p>
        </w:tc>
      </w:tr>
      <w:tr w14:paraId="2F406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2DEF9D">
            <w:r>
              <w:rPr>
                <w:rFonts w:hint="eastAsia"/>
              </w:rPr>
              <w:t>第三层次</w:t>
            </w:r>
          </w:p>
        </w:tc>
        <w:tc>
          <w:tcPr>
            <w:tcW w:w="4153" w:type="dxa"/>
            <w:vAlign w:val="center"/>
          </w:tcPr>
          <w:p w14:paraId="186E06F3">
            <w:pPr>
              <w:jc w:val="right"/>
            </w:pPr>
            <w:r>
              <w:rPr>
                <w:rFonts w:hint="eastAsia"/>
              </w:rPr>
              <w:t>-</w:t>
            </w:r>
          </w:p>
        </w:tc>
      </w:tr>
      <w:tr w14:paraId="5C360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E595FB">
            <w:r>
              <w:rPr>
                <w:rFonts w:hint="eastAsia"/>
              </w:rPr>
              <w:t>合计</w:t>
            </w:r>
          </w:p>
        </w:tc>
        <w:tc>
          <w:tcPr>
            <w:tcW w:w="4153" w:type="dxa"/>
            <w:vAlign w:val="center"/>
          </w:tcPr>
          <w:p w14:paraId="1C501433">
            <w:pPr>
              <w:jc w:val="right"/>
            </w:pPr>
            <w:r>
              <w:rPr>
                <w:rFonts w:hint="eastAsia"/>
              </w:rPr>
              <w:t>2,438,609,187.09</w:t>
            </w:r>
          </w:p>
        </w:tc>
      </w:tr>
    </w:tbl>
    <w:p w14:paraId="098335D5">
      <w:pPr>
        <w:pStyle w:val="36"/>
      </w:pPr>
      <w:bookmarkStart w:id="148" w:name="_Toc148"/>
      <w:r>
        <w:t>公允价值所属层次间的重大变动</w:t>
      </w:r>
      <w:bookmarkEnd w:id="148"/>
    </w:p>
    <w:p w14:paraId="70B3314D">
      <w:pPr>
        <w:pStyle w:val="18"/>
        <w:rPr>
          <w:rFonts w:hint="eastAsia"/>
        </w:rPr>
      </w:pPr>
      <w:r>
        <w:rPr>
          <w:rFonts w:hint="eastAsia"/>
        </w:rPr>
        <w:t>本基金以导致各层次之间转换的事项发生日为确认各层次之间转换的时点。</w:t>
      </w:r>
    </w:p>
    <w:p w14:paraId="5B2E4F4E">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2DDE7A58">
      <w:pPr>
        <w:pStyle w:val="35"/>
      </w:pPr>
      <w:bookmarkStart w:id="149" w:name="_Toc149"/>
      <w:r>
        <w:t>非持续的以公允价值计量的金融工具的说明</w:t>
      </w:r>
      <w:bookmarkEnd w:id="149"/>
    </w:p>
    <w:p w14:paraId="1A149FA6">
      <w:pPr>
        <w:pStyle w:val="18"/>
        <w:rPr>
          <w:rFonts w:hint="eastAsia"/>
        </w:rPr>
      </w:pPr>
      <w:r>
        <w:rPr>
          <w:rFonts w:hint="eastAsia"/>
        </w:rPr>
        <w:t>于本报告期末，本基金未持有非持续的以公允价值计量的金融资产。</w:t>
      </w:r>
    </w:p>
    <w:p w14:paraId="1970ABF8">
      <w:pPr>
        <w:pStyle w:val="35"/>
      </w:pPr>
      <w:bookmarkStart w:id="150" w:name="_Toc150"/>
      <w:r>
        <w:t>不以公允价值计量的金融工具的相关说明</w:t>
      </w:r>
      <w:bookmarkEnd w:id="150"/>
    </w:p>
    <w:p w14:paraId="5F6277CE">
      <w:pPr>
        <w:pStyle w:val="18"/>
        <w:rPr>
          <w:rFonts w:hint="eastAsia"/>
        </w:rPr>
      </w:pPr>
      <w:r>
        <w:rPr>
          <w:rFonts w:hint="eastAsia"/>
        </w:rPr>
        <w:t>不以公允价值计量的金融资产和负债主要包括应收款项和其他金融负债，其账面价值与公允价值相差很小。</w:t>
      </w:r>
    </w:p>
    <w:p w14:paraId="57719BAA">
      <w:pPr>
        <w:pStyle w:val="28"/>
      </w:pPr>
      <w:bookmarkStart w:id="151" w:name="_Toc151"/>
      <w:r>
        <w:t>有助于理解和分析会计报表需要说明的其他事项</w:t>
      </w:r>
      <w:bookmarkEnd w:id="151"/>
    </w:p>
    <w:p w14:paraId="24838578">
      <w:pPr>
        <w:pStyle w:val="18"/>
        <w:rPr>
          <w:rFonts w:hint="eastAsia"/>
        </w:rPr>
      </w:pPr>
      <w:r>
        <w:rPr>
          <w:rFonts w:hint="eastAsia"/>
        </w:rPr>
        <w:t>截至资产负债表日本基金无需要说明的其他重要事项。</w:t>
      </w:r>
    </w:p>
    <w:p w14:paraId="4E8CEFC9">
      <w:pPr>
        <w:pStyle w:val="26"/>
      </w:pPr>
      <w:bookmarkStart w:id="152" w:name="_Toc32523"/>
      <w:r>
        <w:t>投资组合报告</w:t>
      </w:r>
      <w:bookmarkEnd w:id="152"/>
    </w:p>
    <w:p w14:paraId="01452570">
      <w:pPr>
        <w:pStyle w:val="23"/>
      </w:pPr>
      <w:bookmarkStart w:id="153" w:name="_Toc3671"/>
      <w:r>
        <w:t>期末基金资产组合情况</w:t>
      </w:r>
      <w:bookmarkEnd w:id="153"/>
    </w:p>
    <w:p w14:paraId="40E17FA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A9D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6E7972F">
            <w:pPr>
              <w:jc w:val="center"/>
            </w:pPr>
            <w:r>
              <w:rPr>
                <w:rFonts w:hint="eastAsia"/>
                <w:b/>
              </w:rPr>
              <w:t>序号</w:t>
            </w:r>
          </w:p>
        </w:tc>
        <w:tc>
          <w:tcPr>
            <w:tcW w:w="3211" w:type="dxa"/>
            <w:shd w:val="clear" w:color="auto" w:fill="BFBFBF"/>
            <w:vAlign w:val="center"/>
          </w:tcPr>
          <w:p w14:paraId="11AB0BA4">
            <w:pPr>
              <w:jc w:val="center"/>
            </w:pPr>
            <w:r>
              <w:rPr>
                <w:rFonts w:hint="eastAsia"/>
                <w:b/>
              </w:rPr>
              <w:t>项目</w:t>
            </w:r>
          </w:p>
        </w:tc>
        <w:tc>
          <w:tcPr>
            <w:tcW w:w="2214" w:type="dxa"/>
            <w:shd w:val="clear" w:color="auto" w:fill="BFBFBF"/>
            <w:vAlign w:val="center"/>
          </w:tcPr>
          <w:p w14:paraId="3C99A59D">
            <w:pPr>
              <w:jc w:val="center"/>
            </w:pPr>
            <w:r>
              <w:rPr>
                <w:rFonts w:hint="eastAsia"/>
                <w:b/>
              </w:rPr>
              <w:t>金额</w:t>
            </w:r>
          </w:p>
        </w:tc>
        <w:tc>
          <w:tcPr>
            <w:tcW w:w="2214" w:type="dxa"/>
            <w:shd w:val="clear" w:color="auto" w:fill="BFBFBF"/>
            <w:vAlign w:val="center"/>
          </w:tcPr>
          <w:p w14:paraId="4814AF27">
            <w:pPr>
              <w:jc w:val="center"/>
            </w:pPr>
            <w:r>
              <w:rPr>
                <w:rFonts w:hint="eastAsia"/>
                <w:b/>
              </w:rPr>
              <w:t>占基金总资产的比例（%）</w:t>
            </w:r>
          </w:p>
        </w:tc>
      </w:tr>
      <w:tr w14:paraId="5115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82F216">
            <w:pPr>
              <w:jc w:val="center"/>
            </w:pPr>
            <w:r>
              <w:rPr>
                <w:rFonts w:hint="eastAsia"/>
              </w:rPr>
              <w:t>1</w:t>
            </w:r>
          </w:p>
        </w:tc>
        <w:tc>
          <w:tcPr>
            <w:tcW w:w="3211" w:type="dxa"/>
            <w:vAlign w:val="center"/>
          </w:tcPr>
          <w:p w14:paraId="0FBB2E1E">
            <w:r>
              <w:rPr>
                <w:rFonts w:hint="eastAsia"/>
              </w:rPr>
              <w:t>权益投资</w:t>
            </w:r>
          </w:p>
        </w:tc>
        <w:tc>
          <w:tcPr>
            <w:tcW w:w="2214" w:type="dxa"/>
            <w:vAlign w:val="center"/>
          </w:tcPr>
          <w:p w14:paraId="7BB08F15">
            <w:pPr>
              <w:jc w:val="right"/>
            </w:pPr>
            <w:r>
              <w:rPr>
                <w:rFonts w:hint="eastAsia"/>
              </w:rPr>
              <w:t>-</w:t>
            </w:r>
          </w:p>
        </w:tc>
        <w:tc>
          <w:tcPr>
            <w:tcW w:w="2214" w:type="dxa"/>
            <w:vAlign w:val="center"/>
          </w:tcPr>
          <w:p w14:paraId="65D6EBA5">
            <w:pPr>
              <w:jc w:val="right"/>
            </w:pPr>
            <w:r>
              <w:rPr>
                <w:rFonts w:hint="eastAsia"/>
              </w:rPr>
              <w:t>-</w:t>
            </w:r>
          </w:p>
        </w:tc>
      </w:tr>
      <w:tr w14:paraId="60514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3E3986">
            <w:pPr>
              <w:jc w:val="center"/>
            </w:pPr>
          </w:p>
        </w:tc>
        <w:tc>
          <w:tcPr>
            <w:tcW w:w="3211" w:type="dxa"/>
            <w:vAlign w:val="center"/>
          </w:tcPr>
          <w:p w14:paraId="5D2F9263">
            <w:r>
              <w:rPr>
                <w:rFonts w:hint="eastAsia"/>
              </w:rPr>
              <w:t>其中：股票</w:t>
            </w:r>
          </w:p>
        </w:tc>
        <w:tc>
          <w:tcPr>
            <w:tcW w:w="2214" w:type="dxa"/>
            <w:vAlign w:val="center"/>
          </w:tcPr>
          <w:p w14:paraId="0B0432CB">
            <w:pPr>
              <w:jc w:val="right"/>
            </w:pPr>
            <w:r>
              <w:rPr>
                <w:rFonts w:hint="eastAsia"/>
              </w:rPr>
              <w:t>-</w:t>
            </w:r>
          </w:p>
        </w:tc>
        <w:tc>
          <w:tcPr>
            <w:tcW w:w="2214" w:type="dxa"/>
            <w:vAlign w:val="center"/>
          </w:tcPr>
          <w:p w14:paraId="7F916F02">
            <w:pPr>
              <w:jc w:val="right"/>
            </w:pPr>
            <w:r>
              <w:rPr>
                <w:rFonts w:hint="eastAsia"/>
              </w:rPr>
              <w:t>-</w:t>
            </w:r>
          </w:p>
        </w:tc>
      </w:tr>
      <w:tr w14:paraId="578BB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2E85FE">
            <w:pPr>
              <w:jc w:val="center"/>
            </w:pPr>
            <w:r>
              <w:rPr>
                <w:rFonts w:hint="eastAsia"/>
              </w:rPr>
              <w:t>2</w:t>
            </w:r>
          </w:p>
        </w:tc>
        <w:tc>
          <w:tcPr>
            <w:tcW w:w="3211" w:type="dxa"/>
            <w:vAlign w:val="center"/>
          </w:tcPr>
          <w:p w14:paraId="624A77EB">
            <w:r>
              <w:rPr>
                <w:rFonts w:hint="eastAsia"/>
              </w:rPr>
              <w:t>基金投资</w:t>
            </w:r>
          </w:p>
        </w:tc>
        <w:tc>
          <w:tcPr>
            <w:tcW w:w="2214" w:type="dxa"/>
            <w:vAlign w:val="center"/>
          </w:tcPr>
          <w:p w14:paraId="6544BFA9">
            <w:pPr>
              <w:jc w:val="right"/>
            </w:pPr>
            <w:r>
              <w:rPr>
                <w:rFonts w:hint="eastAsia"/>
              </w:rPr>
              <w:t>-</w:t>
            </w:r>
          </w:p>
        </w:tc>
        <w:tc>
          <w:tcPr>
            <w:tcW w:w="2214" w:type="dxa"/>
            <w:vAlign w:val="center"/>
          </w:tcPr>
          <w:p w14:paraId="06E96E20">
            <w:pPr>
              <w:jc w:val="right"/>
            </w:pPr>
            <w:r>
              <w:rPr>
                <w:rFonts w:hint="eastAsia"/>
              </w:rPr>
              <w:t>-</w:t>
            </w:r>
          </w:p>
        </w:tc>
      </w:tr>
      <w:tr w14:paraId="53D8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053820">
            <w:pPr>
              <w:jc w:val="center"/>
            </w:pPr>
            <w:r>
              <w:rPr>
                <w:rFonts w:hint="eastAsia"/>
              </w:rPr>
              <w:t>3</w:t>
            </w:r>
          </w:p>
        </w:tc>
        <w:tc>
          <w:tcPr>
            <w:tcW w:w="3211" w:type="dxa"/>
            <w:vAlign w:val="center"/>
          </w:tcPr>
          <w:p w14:paraId="7706EC90">
            <w:r>
              <w:rPr>
                <w:rFonts w:hint="eastAsia"/>
              </w:rPr>
              <w:t>固定收益投资</w:t>
            </w:r>
          </w:p>
        </w:tc>
        <w:tc>
          <w:tcPr>
            <w:tcW w:w="2214" w:type="dxa"/>
            <w:vAlign w:val="center"/>
          </w:tcPr>
          <w:p w14:paraId="77D5EE0E">
            <w:pPr>
              <w:jc w:val="right"/>
            </w:pPr>
            <w:r>
              <w:rPr>
                <w:rFonts w:hint="eastAsia"/>
              </w:rPr>
              <w:t>2,438,609,187.09</w:t>
            </w:r>
          </w:p>
        </w:tc>
        <w:tc>
          <w:tcPr>
            <w:tcW w:w="2214" w:type="dxa"/>
            <w:vAlign w:val="center"/>
          </w:tcPr>
          <w:p w14:paraId="75AE9652">
            <w:pPr>
              <w:jc w:val="right"/>
            </w:pPr>
            <w:r>
              <w:rPr>
                <w:rFonts w:hint="eastAsia"/>
              </w:rPr>
              <w:t>98.78</w:t>
            </w:r>
          </w:p>
        </w:tc>
      </w:tr>
      <w:tr w14:paraId="6D35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1F6419">
            <w:pPr>
              <w:jc w:val="center"/>
            </w:pPr>
          </w:p>
        </w:tc>
        <w:tc>
          <w:tcPr>
            <w:tcW w:w="3211" w:type="dxa"/>
            <w:vAlign w:val="center"/>
          </w:tcPr>
          <w:p w14:paraId="3B03F34D">
            <w:r>
              <w:rPr>
                <w:rFonts w:hint="eastAsia"/>
              </w:rPr>
              <w:t>其中：债券</w:t>
            </w:r>
          </w:p>
        </w:tc>
        <w:tc>
          <w:tcPr>
            <w:tcW w:w="2214" w:type="dxa"/>
            <w:vAlign w:val="center"/>
          </w:tcPr>
          <w:p w14:paraId="7B7F4EA5">
            <w:pPr>
              <w:jc w:val="right"/>
            </w:pPr>
            <w:r>
              <w:rPr>
                <w:rFonts w:hint="eastAsia"/>
              </w:rPr>
              <w:t>2,438,609,187.09</w:t>
            </w:r>
          </w:p>
        </w:tc>
        <w:tc>
          <w:tcPr>
            <w:tcW w:w="2214" w:type="dxa"/>
            <w:vAlign w:val="center"/>
          </w:tcPr>
          <w:p w14:paraId="7553236F">
            <w:pPr>
              <w:jc w:val="right"/>
            </w:pPr>
            <w:r>
              <w:rPr>
                <w:rFonts w:hint="eastAsia"/>
              </w:rPr>
              <w:t>98.78</w:t>
            </w:r>
          </w:p>
        </w:tc>
      </w:tr>
      <w:tr w14:paraId="31AD2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ABDC3C">
            <w:pPr>
              <w:jc w:val="center"/>
            </w:pPr>
          </w:p>
        </w:tc>
        <w:tc>
          <w:tcPr>
            <w:tcW w:w="3211" w:type="dxa"/>
            <w:vAlign w:val="center"/>
          </w:tcPr>
          <w:p w14:paraId="1BCC3C06">
            <w:r>
              <w:rPr>
                <w:rFonts w:hint="eastAsia"/>
              </w:rPr>
              <w:t xml:space="preserve">      资产支持证券</w:t>
            </w:r>
          </w:p>
        </w:tc>
        <w:tc>
          <w:tcPr>
            <w:tcW w:w="2214" w:type="dxa"/>
            <w:vAlign w:val="center"/>
          </w:tcPr>
          <w:p w14:paraId="33B084C8">
            <w:pPr>
              <w:jc w:val="right"/>
            </w:pPr>
            <w:r>
              <w:rPr>
                <w:rFonts w:hint="eastAsia"/>
              </w:rPr>
              <w:t>-</w:t>
            </w:r>
          </w:p>
        </w:tc>
        <w:tc>
          <w:tcPr>
            <w:tcW w:w="2214" w:type="dxa"/>
            <w:vAlign w:val="center"/>
          </w:tcPr>
          <w:p w14:paraId="2A3B4103">
            <w:pPr>
              <w:jc w:val="right"/>
            </w:pPr>
            <w:r>
              <w:rPr>
                <w:rFonts w:hint="eastAsia"/>
              </w:rPr>
              <w:t>-</w:t>
            </w:r>
          </w:p>
        </w:tc>
      </w:tr>
      <w:tr w14:paraId="5434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199C23">
            <w:pPr>
              <w:jc w:val="center"/>
            </w:pPr>
            <w:r>
              <w:rPr>
                <w:rFonts w:hint="eastAsia"/>
              </w:rPr>
              <w:t>4</w:t>
            </w:r>
          </w:p>
        </w:tc>
        <w:tc>
          <w:tcPr>
            <w:tcW w:w="3211" w:type="dxa"/>
            <w:vAlign w:val="center"/>
          </w:tcPr>
          <w:p w14:paraId="1F52D63B">
            <w:r>
              <w:rPr>
                <w:rFonts w:hint="eastAsia"/>
              </w:rPr>
              <w:t>贵金属投资</w:t>
            </w:r>
          </w:p>
        </w:tc>
        <w:tc>
          <w:tcPr>
            <w:tcW w:w="2214" w:type="dxa"/>
            <w:vAlign w:val="center"/>
          </w:tcPr>
          <w:p w14:paraId="34016E2C">
            <w:pPr>
              <w:jc w:val="right"/>
            </w:pPr>
            <w:r>
              <w:rPr>
                <w:rFonts w:hint="eastAsia"/>
              </w:rPr>
              <w:t>-</w:t>
            </w:r>
          </w:p>
        </w:tc>
        <w:tc>
          <w:tcPr>
            <w:tcW w:w="2214" w:type="dxa"/>
            <w:vAlign w:val="center"/>
          </w:tcPr>
          <w:p w14:paraId="1CF57854">
            <w:pPr>
              <w:jc w:val="right"/>
            </w:pPr>
            <w:r>
              <w:rPr>
                <w:rFonts w:hint="eastAsia"/>
              </w:rPr>
              <w:t>-</w:t>
            </w:r>
          </w:p>
        </w:tc>
      </w:tr>
      <w:tr w14:paraId="60D0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A359AF">
            <w:pPr>
              <w:jc w:val="center"/>
            </w:pPr>
            <w:r>
              <w:rPr>
                <w:rFonts w:hint="eastAsia"/>
              </w:rPr>
              <w:t>5</w:t>
            </w:r>
          </w:p>
        </w:tc>
        <w:tc>
          <w:tcPr>
            <w:tcW w:w="3211" w:type="dxa"/>
            <w:vAlign w:val="center"/>
          </w:tcPr>
          <w:p w14:paraId="0B95E9E5">
            <w:r>
              <w:rPr>
                <w:rFonts w:hint="eastAsia"/>
              </w:rPr>
              <w:t>金融衍生品投资</w:t>
            </w:r>
          </w:p>
        </w:tc>
        <w:tc>
          <w:tcPr>
            <w:tcW w:w="2214" w:type="dxa"/>
            <w:vAlign w:val="center"/>
          </w:tcPr>
          <w:p w14:paraId="419675FF">
            <w:pPr>
              <w:jc w:val="right"/>
            </w:pPr>
            <w:r>
              <w:rPr>
                <w:rFonts w:hint="eastAsia"/>
              </w:rPr>
              <w:t>-</w:t>
            </w:r>
          </w:p>
        </w:tc>
        <w:tc>
          <w:tcPr>
            <w:tcW w:w="2214" w:type="dxa"/>
            <w:vAlign w:val="center"/>
          </w:tcPr>
          <w:p w14:paraId="6B5332A9">
            <w:pPr>
              <w:jc w:val="right"/>
            </w:pPr>
            <w:r>
              <w:rPr>
                <w:rFonts w:hint="eastAsia"/>
              </w:rPr>
              <w:t>-</w:t>
            </w:r>
          </w:p>
        </w:tc>
      </w:tr>
      <w:tr w14:paraId="3D291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DAF94C">
            <w:pPr>
              <w:jc w:val="center"/>
            </w:pPr>
            <w:r>
              <w:rPr>
                <w:rFonts w:hint="eastAsia"/>
              </w:rPr>
              <w:t>6</w:t>
            </w:r>
          </w:p>
        </w:tc>
        <w:tc>
          <w:tcPr>
            <w:tcW w:w="3211" w:type="dxa"/>
            <w:vAlign w:val="center"/>
          </w:tcPr>
          <w:p w14:paraId="62B230D8">
            <w:r>
              <w:rPr>
                <w:rFonts w:hint="eastAsia"/>
              </w:rPr>
              <w:t>买入返售金融资产</w:t>
            </w:r>
          </w:p>
        </w:tc>
        <w:tc>
          <w:tcPr>
            <w:tcW w:w="2214" w:type="dxa"/>
            <w:vAlign w:val="center"/>
          </w:tcPr>
          <w:p w14:paraId="65B906E9">
            <w:pPr>
              <w:jc w:val="right"/>
            </w:pPr>
            <w:r>
              <w:rPr>
                <w:rFonts w:hint="eastAsia"/>
              </w:rPr>
              <w:t>-</w:t>
            </w:r>
          </w:p>
        </w:tc>
        <w:tc>
          <w:tcPr>
            <w:tcW w:w="2214" w:type="dxa"/>
            <w:vAlign w:val="center"/>
          </w:tcPr>
          <w:p w14:paraId="15D629F7">
            <w:pPr>
              <w:jc w:val="right"/>
            </w:pPr>
            <w:r>
              <w:rPr>
                <w:rFonts w:hint="eastAsia"/>
              </w:rPr>
              <w:t>-</w:t>
            </w:r>
          </w:p>
        </w:tc>
      </w:tr>
      <w:tr w14:paraId="72B7E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B897C3">
            <w:pPr>
              <w:jc w:val="center"/>
            </w:pPr>
          </w:p>
        </w:tc>
        <w:tc>
          <w:tcPr>
            <w:tcW w:w="3211" w:type="dxa"/>
            <w:vAlign w:val="center"/>
          </w:tcPr>
          <w:p w14:paraId="5932B329">
            <w:r>
              <w:rPr>
                <w:rFonts w:hint="eastAsia"/>
              </w:rPr>
              <w:t>其中：买断式回购的买入返售金融资产</w:t>
            </w:r>
          </w:p>
        </w:tc>
        <w:tc>
          <w:tcPr>
            <w:tcW w:w="2214" w:type="dxa"/>
            <w:vAlign w:val="center"/>
          </w:tcPr>
          <w:p w14:paraId="1FDF4835">
            <w:pPr>
              <w:jc w:val="right"/>
            </w:pPr>
            <w:r>
              <w:rPr>
                <w:rFonts w:hint="eastAsia"/>
              </w:rPr>
              <w:t>-</w:t>
            </w:r>
          </w:p>
        </w:tc>
        <w:tc>
          <w:tcPr>
            <w:tcW w:w="2214" w:type="dxa"/>
            <w:vAlign w:val="center"/>
          </w:tcPr>
          <w:p w14:paraId="140D75B4">
            <w:pPr>
              <w:jc w:val="right"/>
            </w:pPr>
            <w:r>
              <w:rPr>
                <w:rFonts w:hint="eastAsia"/>
              </w:rPr>
              <w:t>-</w:t>
            </w:r>
          </w:p>
        </w:tc>
      </w:tr>
      <w:tr w14:paraId="27A1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E1E488">
            <w:pPr>
              <w:jc w:val="center"/>
            </w:pPr>
            <w:r>
              <w:rPr>
                <w:rFonts w:hint="eastAsia"/>
              </w:rPr>
              <w:t>7</w:t>
            </w:r>
          </w:p>
        </w:tc>
        <w:tc>
          <w:tcPr>
            <w:tcW w:w="3211" w:type="dxa"/>
            <w:vAlign w:val="center"/>
          </w:tcPr>
          <w:p w14:paraId="74AA8C3C">
            <w:r>
              <w:rPr>
                <w:rFonts w:hint="eastAsia"/>
              </w:rPr>
              <w:t>银行存款和结算备付金合计</w:t>
            </w:r>
          </w:p>
        </w:tc>
        <w:tc>
          <w:tcPr>
            <w:tcW w:w="2214" w:type="dxa"/>
            <w:vAlign w:val="center"/>
          </w:tcPr>
          <w:p w14:paraId="59D126A5">
            <w:pPr>
              <w:jc w:val="right"/>
            </w:pPr>
            <w:r>
              <w:rPr>
                <w:rFonts w:hint="eastAsia"/>
              </w:rPr>
              <w:t>29,994,441.49</w:t>
            </w:r>
          </w:p>
        </w:tc>
        <w:tc>
          <w:tcPr>
            <w:tcW w:w="2214" w:type="dxa"/>
            <w:vAlign w:val="center"/>
          </w:tcPr>
          <w:p w14:paraId="2473EF73">
            <w:pPr>
              <w:jc w:val="right"/>
            </w:pPr>
            <w:r>
              <w:rPr>
                <w:rFonts w:hint="eastAsia"/>
              </w:rPr>
              <w:t>1.21</w:t>
            </w:r>
          </w:p>
        </w:tc>
      </w:tr>
      <w:tr w14:paraId="30FE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75CDE35">
            <w:pPr>
              <w:jc w:val="center"/>
            </w:pPr>
            <w:r>
              <w:rPr>
                <w:rFonts w:hint="eastAsia"/>
              </w:rPr>
              <w:t>8</w:t>
            </w:r>
          </w:p>
        </w:tc>
        <w:tc>
          <w:tcPr>
            <w:tcW w:w="3211" w:type="dxa"/>
            <w:vAlign w:val="center"/>
          </w:tcPr>
          <w:p w14:paraId="0562D0D2">
            <w:r>
              <w:rPr>
                <w:rFonts w:hint="eastAsia"/>
              </w:rPr>
              <w:t>其他各项资产</w:t>
            </w:r>
          </w:p>
        </w:tc>
        <w:tc>
          <w:tcPr>
            <w:tcW w:w="2214" w:type="dxa"/>
            <w:vAlign w:val="center"/>
          </w:tcPr>
          <w:p w14:paraId="077CAEAD">
            <w:pPr>
              <w:jc w:val="right"/>
            </w:pPr>
            <w:r>
              <w:rPr>
                <w:rFonts w:hint="eastAsia"/>
              </w:rPr>
              <w:t>85,237.88</w:t>
            </w:r>
          </w:p>
        </w:tc>
        <w:tc>
          <w:tcPr>
            <w:tcW w:w="2214" w:type="dxa"/>
            <w:vAlign w:val="center"/>
          </w:tcPr>
          <w:p w14:paraId="3122E1DD">
            <w:pPr>
              <w:jc w:val="right"/>
            </w:pPr>
            <w:r>
              <w:rPr>
                <w:rFonts w:hint="eastAsia"/>
              </w:rPr>
              <w:t>0.00</w:t>
            </w:r>
          </w:p>
        </w:tc>
      </w:tr>
      <w:tr w14:paraId="5B00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268E60">
            <w:pPr>
              <w:jc w:val="center"/>
            </w:pPr>
            <w:r>
              <w:rPr>
                <w:rFonts w:hint="eastAsia"/>
              </w:rPr>
              <w:t>9</w:t>
            </w:r>
          </w:p>
        </w:tc>
        <w:tc>
          <w:tcPr>
            <w:tcW w:w="3211" w:type="dxa"/>
            <w:vAlign w:val="center"/>
          </w:tcPr>
          <w:p w14:paraId="196F7CA2">
            <w:r>
              <w:rPr>
                <w:rFonts w:hint="eastAsia"/>
              </w:rPr>
              <w:t>合计</w:t>
            </w:r>
          </w:p>
        </w:tc>
        <w:tc>
          <w:tcPr>
            <w:tcW w:w="2214" w:type="dxa"/>
            <w:vAlign w:val="center"/>
          </w:tcPr>
          <w:p w14:paraId="0EAC82AD">
            <w:pPr>
              <w:jc w:val="right"/>
            </w:pPr>
            <w:r>
              <w:rPr>
                <w:rFonts w:hint="eastAsia"/>
              </w:rPr>
              <w:t>2,468,688,866.46</w:t>
            </w:r>
          </w:p>
        </w:tc>
        <w:tc>
          <w:tcPr>
            <w:tcW w:w="2214" w:type="dxa"/>
            <w:vAlign w:val="center"/>
          </w:tcPr>
          <w:p w14:paraId="08DDDCFD">
            <w:pPr>
              <w:jc w:val="right"/>
            </w:pPr>
            <w:r>
              <w:rPr>
                <w:rFonts w:hint="eastAsia"/>
              </w:rPr>
              <w:t>100.00</w:t>
            </w:r>
          </w:p>
        </w:tc>
      </w:tr>
    </w:tbl>
    <w:p w14:paraId="483FEB6F">
      <w:pPr>
        <w:pStyle w:val="23"/>
      </w:pPr>
      <w:bookmarkStart w:id="154" w:name="_Toc10588"/>
      <w:r>
        <w:t>报告期末按行业分类的股票投资组合</w:t>
      </w:r>
      <w:bookmarkEnd w:id="154"/>
    </w:p>
    <w:p w14:paraId="27876A22">
      <w:pPr>
        <w:pStyle w:val="28"/>
      </w:pPr>
      <w:bookmarkStart w:id="155" w:name="_Toc155"/>
      <w:r>
        <w:t>报告期末按行业分类的境内股票投资组合</w:t>
      </w:r>
      <w:bookmarkEnd w:id="155"/>
    </w:p>
    <w:p w14:paraId="2574B14E">
      <w:pPr>
        <w:pStyle w:val="18"/>
        <w:rPr>
          <w:rFonts w:hint="eastAsia"/>
        </w:rPr>
      </w:pPr>
      <w:r>
        <w:rPr>
          <w:rFonts w:hint="eastAsia"/>
        </w:rPr>
        <w:t>无。</w:t>
      </w:r>
    </w:p>
    <w:p w14:paraId="47A5E86E">
      <w:pPr>
        <w:pStyle w:val="28"/>
      </w:pPr>
      <w:bookmarkStart w:id="156" w:name="_Toc156"/>
      <w:r>
        <w:t>报告期末按行业分类的港股通投资股票投资组合</w:t>
      </w:r>
      <w:bookmarkEnd w:id="156"/>
    </w:p>
    <w:p w14:paraId="3C4191A8">
      <w:pPr>
        <w:pStyle w:val="18"/>
        <w:rPr>
          <w:rFonts w:hint="eastAsia"/>
        </w:rPr>
      </w:pPr>
      <w:r>
        <w:rPr>
          <w:rFonts w:hint="eastAsia"/>
        </w:rPr>
        <w:t>无。</w:t>
      </w:r>
    </w:p>
    <w:p w14:paraId="27B0821C">
      <w:pPr>
        <w:pStyle w:val="23"/>
      </w:pPr>
      <w:bookmarkStart w:id="157" w:name="_Toc2243"/>
      <w:r>
        <w:t>期末按公允价值占基金资产净值比例大小排序的所有股票投资明细</w:t>
      </w:r>
      <w:bookmarkEnd w:id="157"/>
    </w:p>
    <w:p w14:paraId="75F3BDF5">
      <w:pPr>
        <w:pStyle w:val="18"/>
        <w:rPr>
          <w:rFonts w:hint="eastAsia"/>
        </w:rPr>
      </w:pPr>
      <w:r>
        <w:rPr>
          <w:rFonts w:hint="eastAsia"/>
        </w:rPr>
        <w:t>无。</w:t>
      </w:r>
    </w:p>
    <w:p w14:paraId="0DB8A89B">
      <w:pPr>
        <w:pStyle w:val="23"/>
      </w:pPr>
      <w:bookmarkStart w:id="158" w:name="_Toc30622"/>
      <w:r>
        <w:t>报告期内股票投资组合的重大变动</w:t>
      </w:r>
      <w:bookmarkEnd w:id="158"/>
    </w:p>
    <w:p w14:paraId="35B30ED7">
      <w:pPr>
        <w:pStyle w:val="28"/>
      </w:pPr>
      <w:bookmarkStart w:id="159" w:name="_Toc159"/>
      <w:r>
        <w:t>累计买入金额超出期末基金资产净值2%或前20名的股票明细</w:t>
      </w:r>
      <w:bookmarkEnd w:id="159"/>
    </w:p>
    <w:p w14:paraId="515F5576">
      <w:pPr>
        <w:pStyle w:val="18"/>
        <w:rPr>
          <w:rFonts w:hint="eastAsia"/>
        </w:rPr>
      </w:pPr>
      <w:r>
        <w:rPr>
          <w:rFonts w:hint="eastAsia"/>
        </w:rPr>
        <w:t>无。</w:t>
      </w:r>
    </w:p>
    <w:p w14:paraId="274A747E">
      <w:pPr>
        <w:pStyle w:val="28"/>
      </w:pPr>
      <w:bookmarkStart w:id="160" w:name="_Toc160"/>
      <w:r>
        <w:t>累计卖出金额超出期末基金资产净值2%或前20名的股票明细</w:t>
      </w:r>
      <w:bookmarkEnd w:id="160"/>
    </w:p>
    <w:p w14:paraId="02AFDE2F">
      <w:pPr>
        <w:pStyle w:val="18"/>
        <w:rPr>
          <w:rFonts w:hint="eastAsia"/>
        </w:rPr>
      </w:pPr>
      <w:r>
        <w:rPr>
          <w:rFonts w:hint="eastAsia"/>
        </w:rPr>
        <w:t>无。</w:t>
      </w:r>
    </w:p>
    <w:p w14:paraId="4CF7B50A">
      <w:pPr>
        <w:pStyle w:val="28"/>
      </w:pPr>
      <w:bookmarkStart w:id="161" w:name="_Toc161"/>
      <w:r>
        <w:t>买入股票的成本总额及卖出股票的收入总额</w:t>
      </w:r>
      <w:bookmarkEnd w:id="161"/>
    </w:p>
    <w:p w14:paraId="16148680">
      <w:pPr>
        <w:pStyle w:val="18"/>
        <w:rPr>
          <w:rFonts w:hint="eastAsia"/>
        </w:rPr>
      </w:pPr>
      <w:r>
        <w:rPr>
          <w:rFonts w:hint="eastAsia"/>
        </w:rPr>
        <w:t>无。</w:t>
      </w:r>
    </w:p>
    <w:p w14:paraId="12848325">
      <w:pPr>
        <w:pStyle w:val="23"/>
      </w:pPr>
      <w:bookmarkStart w:id="162" w:name="_Toc26760"/>
      <w:r>
        <w:t>期末按债券品种分类的债券投资组合</w:t>
      </w:r>
      <w:bookmarkEnd w:id="162"/>
    </w:p>
    <w:p w14:paraId="05A5BC8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814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F1C2BFC">
            <w:pPr>
              <w:jc w:val="center"/>
            </w:pPr>
            <w:r>
              <w:rPr>
                <w:rFonts w:hint="eastAsia"/>
                <w:b/>
              </w:rPr>
              <w:t>序号</w:t>
            </w:r>
          </w:p>
        </w:tc>
        <w:tc>
          <w:tcPr>
            <w:tcW w:w="2768" w:type="dxa"/>
            <w:shd w:val="clear" w:color="auto" w:fill="BFBFBF"/>
            <w:vAlign w:val="center"/>
          </w:tcPr>
          <w:p w14:paraId="6C516F97">
            <w:pPr>
              <w:jc w:val="center"/>
            </w:pPr>
            <w:r>
              <w:rPr>
                <w:rFonts w:hint="eastAsia"/>
                <w:b/>
              </w:rPr>
              <w:t>债券品种</w:t>
            </w:r>
          </w:p>
        </w:tc>
        <w:tc>
          <w:tcPr>
            <w:tcW w:w="2408" w:type="dxa"/>
            <w:shd w:val="clear" w:color="auto" w:fill="BFBFBF"/>
            <w:vAlign w:val="center"/>
          </w:tcPr>
          <w:p w14:paraId="178C359C">
            <w:pPr>
              <w:jc w:val="center"/>
            </w:pPr>
            <w:r>
              <w:rPr>
                <w:rFonts w:hint="eastAsia"/>
                <w:b/>
              </w:rPr>
              <w:t>公允价值（元）</w:t>
            </w:r>
          </w:p>
        </w:tc>
        <w:tc>
          <w:tcPr>
            <w:tcW w:w="2497" w:type="dxa"/>
            <w:shd w:val="clear" w:color="auto" w:fill="BFBFBF"/>
            <w:vAlign w:val="center"/>
          </w:tcPr>
          <w:p w14:paraId="33773CDF">
            <w:pPr>
              <w:jc w:val="center"/>
            </w:pPr>
            <w:r>
              <w:rPr>
                <w:rFonts w:hint="eastAsia"/>
                <w:b/>
              </w:rPr>
              <w:t>占基金资产净值比例（％）</w:t>
            </w:r>
          </w:p>
        </w:tc>
      </w:tr>
      <w:tr w14:paraId="7403D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DE59DC">
            <w:pPr>
              <w:jc w:val="center"/>
            </w:pPr>
            <w:r>
              <w:rPr>
                <w:rFonts w:hint="eastAsia"/>
              </w:rPr>
              <w:t>1</w:t>
            </w:r>
          </w:p>
        </w:tc>
        <w:tc>
          <w:tcPr>
            <w:tcW w:w="2768" w:type="dxa"/>
            <w:vAlign w:val="center"/>
          </w:tcPr>
          <w:p w14:paraId="02551E8C">
            <w:r>
              <w:rPr>
                <w:rFonts w:hint="eastAsia"/>
              </w:rPr>
              <w:t>国家债券</w:t>
            </w:r>
          </w:p>
        </w:tc>
        <w:tc>
          <w:tcPr>
            <w:tcW w:w="2408" w:type="dxa"/>
            <w:vAlign w:val="center"/>
          </w:tcPr>
          <w:p w14:paraId="4E4BE2D0">
            <w:pPr>
              <w:jc w:val="right"/>
            </w:pPr>
            <w:r>
              <w:rPr>
                <w:rFonts w:hint="eastAsia"/>
              </w:rPr>
              <w:t>1,006,030.14</w:t>
            </w:r>
          </w:p>
        </w:tc>
        <w:tc>
          <w:tcPr>
            <w:tcW w:w="2497" w:type="dxa"/>
            <w:vAlign w:val="center"/>
          </w:tcPr>
          <w:p w14:paraId="0FFC7953">
            <w:pPr>
              <w:jc w:val="right"/>
            </w:pPr>
            <w:r>
              <w:rPr>
                <w:rFonts w:hint="eastAsia"/>
              </w:rPr>
              <w:t>0.05</w:t>
            </w:r>
          </w:p>
        </w:tc>
      </w:tr>
      <w:tr w14:paraId="4E494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10925A">
            <w:pPr>
              <w:jc w:val="center"/>
            </w:pPr>
            <w:r>
              <w:rPr>
                <w:rFonts w:hint="eastAsia"/>
              </w:rPr>
              <w:t>2</w:t>
            </w:r>
          </w:p>
        </w:tc>
        <w:tc>
          <w:tcPr>
            <w:tcW w:w="2768" w:type="dxa"/>
            <w:vAlign w:val="center"/>
          </w:tcPr>
          <w:p w14:paraId="29E29907">
            <w:r>
              <w:rPr>
                <w:rFonts w:hint="eastAsia"/>
              </w:rPr>
              <w:t>央行票据</w:t>
            </w:r>
          </w:p>
        </w:tc>
        <w:tc>
          <w:tcPr>
            <w:tcW w:w="2408" w:type="dxa"/>
            <w:vAlign w:val="center"/>
          </w:tcPr>
          <w:p w14:paraId="27ECC886">
            <w:pPr>
              <w:jc w:val="right"/>
            </w:pPr>
            <w:r>
              <w:rPr>
                <w:rFonts w:hint="eastAsia"/>
              </w:rPr>
              <w:t>-</w:t>
            </w:r>
          </w:p>
        </w:tc>
        <w:tc>
          <w:tcPr>
            <w:tcW w:w="2497" w:type="dxa"/>
            <w:vAlign w:val="center"/>
          </w:tcPr>
          <w:p w14:paraId="2C675B5A">
            <w:pPr>
              <w:jc w:val="right"/>
            </w:pPr>
            <w:r>
              <w:rPr>
                <w:rFonts w:hint="eastAsia"/>
              </w:rPr>
              <w:t>-</w:t>
            </w:r>
          </w:p>
        </w:tc>
      </w:tr>
      <w:tr w14:paraId="1D963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3CC102">
            <w:pPr>
              <w:jc w:val="center"/>
            </w:pPr>
            <w:r>
              <w:rPr>
                <w:rFonts w:hint="eastAsia"/>
              </w:rPr>
              <w:t>3</w:t>
            </w:r>
          </w:p>
        </w:tc>
        <w:tc>
          <w:tcPr>
            <w:tcW w:w="2768" w:type="dxa"/>
            <w:vAlign w:val="center"/>
          </w:tcPr>
          <w:p w14:paraId="719C6630">
            <w:r>
              <w:rPr>
                <w:rFonts w:hint="eastAsia"/>
              </w:rPr>
              <w:t>金融债券</w:t>
            </w:r>
          </w:p>
        </w:tc>
        <w:tc>
          <w:tcPr>
            <w:tcW w:w="2408" w:type="dxa"/>
            <w:vAlign w:val="center"/>
          </w:tcPr>
          <w:p w14:paraId="52254B55">
            <w:pPr>
              <w:jc w:val="right"/>
            </w:pPr>
            <w:r>
              <w:rPr>
                <w:rFonts w:hint="eastAsia"/>
              </w:rPr>
              <w:t>1,666,570,404.05</w:t>
            </w:r>
          </w:p>
        </w:tc>
        <w:tc>
          <w:tcPr>
            <w:tcW w:w="2497" w:type="dxa"/>
            <w:vAlign w:val="center"/>
          </w:tcPr>
          <w:p w14:paraId="41AFB36D">
            <w:pPr>
              <w:jc w:val="right"/>
            </w:pPr>
            <w:r>
              <w:rPr>
                <w:rFonts w:hint="eastAsia"/>
              </w:rPr>
              <w:t>80.89</w:t>
            </w:r>
          </w:p>
        </w:tc>
      </w:tr>
      <w:tr w14:paraId="368B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5FA823">
            <w:pPr>
              <w:jc w:val="center"/>
            </w:pPr>
          </w:p>
        </w:tc>
        <w:tc>
          <w:tcPr>
            <w:tcW w:w="2768" w:type="dxa"/>
            <w:vAlign w:val="center"/>
          </w:tcPr>
          <w:p w14:paraId="12B9D478">
            <w:r>
              <w:rPr>
                <w:rFonts w:hint="eastAsia"/>
              </w:rPr>
              <w:t>其中：政策性金融债</w:t>
            </w:r>
          </w:p>
        </w:tc>
        <w:tc>
          <w:tcPr>
            <w:tcW w:w="2408" w:type="dxa"/>
            <w:vAlign w:val="center"/>
          </w:tcPr>
          <w:p w14:paraId="2312F2BB">
            <w:pPr>
              <w:jc w:val="right"/>
            </w:pPr>
            <w:r>
              <w:rPr>
                <w:rFonts w:hint="eastAsia"/>
              </w:rPr>
              <w:t>110,525,649.32</w:t>
            </w:r>
          </w:p>
        </w:tc>
        <w:tc>
          <w:tcPr>
            <w:tcW w:w="2497" w:type="dxa"/>
            <w:vAlign w:val="center"/>
          </w:tcPr>
          <w:p w14:paraId="0B26655E">
            <w:pPr>
              <w:jc w:val="right"/>
            </w:pPr>
            <w:r>
              <w:rPr>
                <w:rFonts w:hint="eastAsia"/>
              </w:rPr>
              <w:t>5.36</w:t>
            </w:r>
          </w:p>
        </w:tc>
      </w:tr>
      <w:tr w14:paraId="124F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6D0CDD">
            <w:pPr>
              <w:jc w:val="center"/>
            </w:pPr>
            <w:r>
              <w:rPr>
                <w:rFonts w:hint="eastAsia"/>
              </w:rPr>
              <w:t>4</w:t>
            </w:r>
          </w:p>
        </w:tc>
        <w:tc>
          <w:tcPr>
            <w:tcW w:w="2768" w:type="dxa"/>
            <w:vAlign w:val="center"/>
          </w:tcPr>
          <w:p w14:paraId="7D146CA4">
            <w:r>
              <w:rPr>
                <w:rFonts w:hint="eastAsia"/>
              </w:rPr>
              <w:t>企业债券</w:t>
            </w:r>
          </w:p>
        </w:tc>
        <w:tc>
          <w:tcPr>
            <w:tcW w:w="2408" w:type="dxa"/>
            <w:vAlign w:val="center"/>
          </w:tcPr>
          <w:p w14:paraId="43668B2D">
            <w:pPr>
              <w:jc w:val="right"/>
            </w:pPr>
            <w:r>
              <w:rPr>
                <w:rFonts w:hint="eastAsia"/>
              </w:rPr>
              <w:t>308,370,144.67</w:t>
            </w:r>
          </w:p>
        </w:tc>
        <w:tc>
          <w:tcPr>
            <w:tcW w:w="2497" w:type="dxa"/>
            <w:vAlign w:val="center"/>
          </w:tcPr>
          <w:p w14:paraId="6BE8432C">
            <w:pPr>
              <w:jc w:val="right"/>
            </w:pPr>
            <w:r>
              <w:rPr>
                <w:rFonts w:hint="eastAsia"/>
              </w:rPr>
              <w:t>14.97</w:t>
            </w:r>
          </w:p>
        </w:tc>
      </w:tr>
      <w:tr w14:paraId="6717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2BF55D">
            <w:pPr>
              <w:jc w:val="center"/>
            </w:pPr>
            <w:r>
              <w:rPr>
                <w:rFonts w:hint="eastAsia"/>
              </w:rPr>
              <w:t>5</w:t>
            </w:r>
          </w:p>
        </w:tc>
        <w:tc>
          <w:tcPr>
            <w:tcW w:w="2768" w:type="dxa"/>
            <w:vAlign w:val="center"/>
          </w:tcPr>
          <w:p w14:paraId="2BA90985">
            <w:r>
              <w:rPr>
                <w:rFonts w:hint="eastAsia"/>
              </w:rPr>
              <w:t>企业短期融资券</w:t>
            </w:r>
          </w:p>
        </w:tc>
        <w:tc>
          <w:tcPr>
            <w:tcW w:w="2408" w:type="dxa"/>
            <w:vAlign w:val="center"/>
          </w:tcPr>
          <w:p w14:paraId="27CE8BFE">
            <w:pPr>
              <w:jc w:val="right"/>
            </w:pPr>
            <w:r>
              <w:rPr>
                <w:rFonts w:hint="eastAsia"/>
              </w:rPr>
              <w:t>462,662,608.23</w:t>
            </w:r>
          </w:p>
        </w:tc>
        <w:tc>
          <w:tcPr>
            <w:tcW w:w="2497" w:type="dxa"/>
            <w:vAlign w:val="center"/>
          </w:tcPr>
          <w:p w14:paraId="505DFAD2">
            <w:pPr>
              <w:jc w:val="right"/>
            </w:pPr>
            <w:r>
              <w:rPr>
                <w:rFonts w:hint="eastAsia"/>
              </w:rPr>
              <w:t>22.46</w:t>
            </w:r>
          </w:p>
        </w:tc>
      </w:tr>
      <w:tr w14:paraId="794B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116CCF">
            <w:pPr>
              <w:jc w:val="center"/>
            </w:pPr>
            <w:r>
              <w:rPr>
                <w:rFonts w:hint="eastAsia"/>
              </w:rPr>
              <w:t>6</w:t>
            </w:r>
          </w:p>
        </w:tc>
        <w:tc>
          <w:tcPr>
            <w:tcW w:w="2768" w:type="dxa"/>
            <w:vAlign w:val="center"/>
          </w:tcPr>
          <w:p w14:paraId="78D0AAD0">
            <w:r>
              <w:rPr>
                <w:rFonts w:hint="eastAsia"/>
              </w:rPr>
              <w:t>中期票据</w:t>
            </w:r>
          </w:p>
        </w:tc>
        <w:tc>
          <w:tcPr>
            <w:tcW w:w="2408" w:type="dxa"/>
            <w:vAlign w:val="center"/>
          </w:tcPr>
          <w:p w14:paraId="6D680E96">
            <w:pPr>
              <w:jc w:val="right"/>
            </w:pPr>
            <w:r>
              <w:rPr>
                <w:rFonts w:hint="eastAsia"/>
              </w:rPr>
              <w:t>-</w:t>
            </w:r>
          </w:p>
        </w:tc>
        <w:tc>
          <w:tcPr>
            <w:tcW w:w="2497" w:type="dxa"/>
            <w:vAlign w:val="center"/>
          </w:tcPr>
          <w:p w14:paraId="7918FADF">
            <w:pPr>
              <w:jc w:val="right"/>
            </w:pPr>
            <w:r>
              <w:rPr>
                <w:rFonts w:hint="eastAsia"/>
              </w:rPr>
              <w:t>-</w:t>
            </w:r>
          </w:p>
        </w:tc>
      </w:tr>
      <w:tr w14:paraId="47BB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2DB2B9">
            <w:pPr>
              <w:jc w:val="center"/>
            </w:pPr>
            <w:r>
              <w:rPr>
                <w:rFonts w:hint="eastAsia"/>
              </w:rPr>
              <w:t>7</w:t>
            </w:r>
          </w:p>
        </w:tc>
        <w:tc>
          <w:tcPr>
            <w:tcW w:w="2768" w:type="dxa"/>
            <w:vAlign w:val="center"/>
          </w:tcPr>
          <w:p w14:paraId="010679B4">
            <w:r>
              <w:rPr>
                <w:rFonts w:hint="eastAsia"/>
              </w:rPr>
              <w:t>可转债（可交换债）</w:t>
            </w:r>
          </w:p>
        </w:tc>
        <w:tc>
          <w:tcPr>
            <w:tcW w:w="2408" w:type="dxa"/>
            <w:vAlign w:val="center"/>
          </w:tcPr>
          <w:p w14:paraId="2835873C">
            <w:pPr>
              <w:jc w:val="right"/>
            </w:pPr>
            <w:r>
              <w:rPr>
                <w:rFonts w:hint="eastAsia"/>
              </w:rPr>
              <w:t>-</w:t>
            </w:r>
          </w:p>
        </w:tc>
        <w:tc>
          <w:tcPr>
            <w:tcW w:w="2497" w:type="dxa"/>
            <w:vAlign w:val="center"/>
          </w:tcPr>
          <w:p w14:paraId="1ACE9E1C">
            <w:pPr>
              <w:jc w:val="right"/>
            </w:pPr>
            <w:r>
              <w:rPr>
                <w:rFonts w:hint="eastAsia"/>
              </w:rPr>
              <w:t>-</w:t>
            </w:r>
          </w:p>
        </w:tc>
      </w:tr>
      <w:tr w14:paraId="674F2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B44692">
            <w:pPr>
              <w:jc w:val="center"/>
            </w:pPr>
            <w:r>
              <w:rPr>
                <w:rFonts w:hint="eastAsia"/>
              </w:rPr>
              <w:t>8</w:t>
            </w:r>
          </w:p>
        </w:tc>
        <w:tc>
          <w:tcPr>
            <w:tcW w:w="2768" w:type="dxa"/>
            <w:vAlign w:val="center"/>
          </w:tcPr>
          <w:p w14:paraId="55F65D8C">
            <w:r>
              <w:rPr>
                <w:rFonts w:hint="eastAsia"/>
              </w:rPr>
              <w:t>同业存单</w:t>
            </w:r>
          </w:p>
        </w:tc>
        <w:tc>
          <w:tcPr>
            <w:tcW w:w="2408" w:type="dxa"/>
            <w:vAlign w:val="center"/>
          </w:tcPr>
          <w:p w14:paraId="7AEC1657">
            <w:pPr>
              <w:jc w:val="right"/>
            </w:pPr>
            <w:r>
              <w:rPr>
                <w:rFonts w:hint="eastAsia"/>
              </w:rPr>
              <w:t>-</w:t>
            </w:r>
          </w:p>
        </w:tc>
        <w:tc>
          <w:tcPr>
            <w:tcW w:w="2497" w:type="dxa"/>
            <w:vAlign w:val="center"/>
          </w:tcPr>
          <w:p w14:paraId="3B6DFBC6">
            <w:pPr>
              <w:jc w:val="right"/>
            </w:pPr>
            <w:r>
              <w:rPr>
                <w:rFonts w:hint="eastAsia"/>
              </w:rPr>
              <w:t>-</w:t>
            </w:r>
          </w:p>
        </w:tc>
      </w:tr>
      <w:tr w14:paraId="5B05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11B506">
            <w:pPr>
              <w:jc w:val="center"/>
            </w:pPr>
            <w:r>
              <w:rPr>
                <w:rFonts w:hint="eastAsia"/>
              </w:rPr>
              <w:t>9</w:t>
            </w:r>
          </w:p>
        </w:tc>
        <w:tc>
          <w:tcPr>
            <w:tcW w:w="2768" w:type="dxa"/>
            <w:vAlign w:val="center"/>
          </w:tcPr>
          <w:p w14:paraId="09326000">
            <w:r>
              <w:rPr>
                <w:rFonts w:hint="eastAsia"/>
              </w:rPr>
              <w:t>其他</w:t>
            </w:r>
          </w:p>
        </w:tc>
        <w:tc>
          <w:tcPr>
            <w:tcW w:w="2408" w:type="dxa"/>
            <w:vAlign w:val="center"/>
          </w:tcPr>
          <w:p w14:paraId="058217E9">
            <w:pPr>
              <w:jc w:val="right"/>
            </w:pPr>
            <w:r>
              <w:rPr>
                <w:rFonts w:hint="eastAsia"/>
              </w:rPr>
              <w:t>-</w:t>
            </w:r>
          </w:p>
        </w:tc>
        <w:tc>
          <w:tcPr>
            <w:tcW w:w="2497" w:type="dxa"/>
            <w:vAlign w:val="center"/>
          </w:tcPr>
          <w:p w14:paraId="526422C9">
            <w:pPr>
              <w:jc w:val="right"/>
            </w:pPr>
            <w:r>
              <w:rPr>
                <w:rFonts w:hint="eastAsia"/>
              </w:rPr>
              <w:t>-</w:t>
            </w:r>
          </w:p>
        </w:tc>
      </w:tr>
      <w:tr w14:paraId="4D56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D83B8E">
            <w:pPr>
              <w:jc w:val="center"/>
            </w:pPr>
            <w:r>
              <w:rPr>
                <w:rFonts w:hint="eastAsia"/>
              </w:rPr>
              <w:t>10</w:t>
            </w:r>
          </w:p>
        </w:tc>
        <w:tc>
          <w:tcPr>
            <w:tcW w:w="2768" w:type="dxa"/>
            <w:vAlign w:val="center"/>
          </w:tcPr>
          <w:p w14:paraId="1734A7C0">
            <w:r>
              <w:rPr>
                <w:rFonts w:hint="eastAsia"/>
              </w:rPr>
              <w:t>合计</w:t>
            </w:r>
          </w:p>
        </w:tc>
        <w:tc>
          <w:tcPr>
            <w:tcW w:w="2408" w:type="dxa"/>
            <w:vAlign w:val="center"/>
          </w:tcPr>
          <w:p w14:paraId="173BA831">
            <w:pPr>
              <w:jc w:val="right"/>
            </w:pPr>
            <w:r>
              <w:rPr>
                <w:rFonts w:hint="eastAsia"/>
              </w:rPr>
              <w:t>2,438,609,187.09</w:t>
            </w:r>
          </w:p>
        </w:tc>
        <w:tc>
          <w:tcPr>
            <w:tcW w:w="2497" w:type="dxa"/>
            <w:vAlign w:val="center"/>
          </w:tcPr>
          <w:p w14:paraId="69BF324D">
            <w:pPr>
              <w:jc w:val="right"/>
            </w:pPr>
            <w:r>
              <w:rPr>
                <w:rFonts w:hint="eastAsia"/>
              </w:rPr>
              <w:t>118.36</w:t>
            </w:r>
          </w:p>
        </w:tc>
      </w:tr>
    </w:tbl>
    <w:p w14:paraId="45A6E67F">
      <w:pPr>
        <w:pStyle w:val="23"/>
      </w:pPr>
      <w:bookmarkStart w:id="163" w:name="_Toc28488"/>
      <w:r>
        <w:t>期末按公允价值占基金资产净值比例大小排序的前五名债券投资明细</w:t>
      </w:r>
      <w:bookmarkEnd w:id="163"/>
    </w:p>
    <w:p w14:paraId="3B7D8EA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1BA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A3D4FF2">
            <w:pPr>
              <w:jc w:val="center"/>
            </w:pPr>
            <w:r>
              <w:rPr>
                <w:rFonts w:hint="eastAsia"/>
                <w:b/>
              </w:rPr>
              <w:t>序号</w:t>
            </w:r>
          </w:p>
        </w:tc>
        <w:tc>
          <w:tcPr>
            <w:tcW w:w="1135" w:type="dxa"/>
            <w:shd w:val="clear" w:color="auto" w:fill="BFBFBF"/>
            <w:vAlign w:val="center"/>
          </w:tcPr>
          <w:p w14:paraId="1B87817D">
            <w:pPr>
              <w:jc w:val="center"/>
            </w:pPr>
            <w:r>
              <w:rPr>
                <w:rFonts w:hint="eastAsia"/>
                <w:b/>
              </w:rPr>
              <w:t>债券代码</w:t>
            </w:r>
          </w:p>
        </w:tc>
        <w:tc>
          <w:tcPr>
            <w:tcW w:w="1882" w:type="dxa"/>
            <w:shd w:val="clear" w:color="auto" w:fill="BFBFBF"/>
            <w:vAlign w:val="center"/>
          </w:tcPr>
          <w:p w14:paraId="7F34D6A2">
            <w:pPr>
              <w:jc w:val="center"/>
            </w:pPr>
            <w:r>
              <w:rPr>
                <w:rFonts w:hint="eastAsia"/>
                <w:b/>
              </w:rPr>
              <w:t>债券名称</w:t>
            </w:r>
          </w:p>
        </w:tc>
        <w:tc>
          <w:tcPr>
            <w:tcW w:w="1113" w:type="dxa"/>
            <w:shd w:val="clear" w:color="auto" w:fill="BFBFBF"/>
            <w:vAlign w:val="center"/>
          </w:tcPr>
          <w:p w14:paraId="145FA089">
            <w:pPr>
              <w:jc w:val="center"/>
            </w:pPr>
            <w:r>
              <w:rPr>
                <w:rFonts w:hint="eastAsia"/>
                <w:b/>
              </w:rPr>
              <w:t>数量（张）</w:t>
            </w:r>
          </w:p>
        </w:tc>
        <w:tc>
          <w:tcPr>
            <w:tcW w:w="1771" w:type="dxa"/>
            <w:shd w:val="clear" w:color="auto" w:fill="BFBFBF"/>
            <w:vAlign w:val="center"/>
          </w:tcPr>
          <w:p w14:paraId="2AAED47A">
            <w:pPr>
              <w:jc w:val="center"/>
            </w:pPr>
            <w:r>
              <w:rPr>
                <w:rFonts w:hint="eastAsia"/>
                <w:b/>
              </w:rPr>
              <w:t>公允价值（元）</w:t>
            </w:r>
          </w:p>
        </w:tc>
        <w:tc>
          <w:tcPr>
            <w:tcW w:w="1771" w:type="dxa"/>
            <w:shd w:val="clear" w:color="auto" w:fill="BFBFBF"/>
            <w:vAlign w:val="center"/>
          </w:tcPr>
          <w:p w14:paraId="69D136BB">
            <w:pPr>
              <w:jc w:val="center"/>
            </w:pPr>
            <w:r>
              <w:rPr>
                <w:rFonts w:hint="eastAsia"/>
                <w:b/>
              </w:rPr>
              <w:t>占基金资产净值比例（％）</w:t>
            </w:r>
          </w:p>
        </w:tc>
      </w:tr>
      <w:tr w14:paraId="4FD67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05224A">
            <w:pPr>
              <w:jc w:val="center"/>
            </w:pPr>
            <w:r>
              <w:rPr>
                <w:rFonts w:hint="eastAsia"/>
              </w:rPr>
              <w:t>1</w:t>
            </w:r>
          </w:p>
        </w:tc>
        <w:tc>
          <w:tcPr>
            <w:tcW w:w="1135" w:type="dxa"/>
            <w:vAlign w:val="center"/>
          </w:tcPr>
          <w:p w14:paraId="29F4CC3D">
            <w:r>
              <w:rPr>
                <w:rFonts w:hint="eastAsia"/>
              </w:rPr>
              <w:t>012582416</w:t>
            </w:r>
          </w:p>
        </w:tc>
        <w:tc>
          <w:tcPr>
            <w:tcW w:w="1882" w:type="dxa"/>
            <w:vAlign w:val="center"/>
          </w:tcPr>
          <w:p w14:paraId="3D737EFE">
            <w:r>
              <w:rPr>
                <w:rFonts w:hint="eastAsia"/>
              </w:rPr>
              <w:t>25厦门航空SCP006</w:t>
            </w:r>
          </w:p>
        </w:tc>
        <w:tc>
          <w:tcPr>
            <w:tcW w:w="1113" w:type="dxa"/>
            <w:vAlign w:val="center"/>
          </w:tcPr>
          <w:p w14:paraId="1F8C0859">
            <w:pPr>
              <w:jc w:val="right"/>
            </w:pPr>
            <w:r>
              <w:rPr>
                <w:rFonts w:hint="eastAsia"/>
              </w:rPr>
              <w:t>1,500,000</w:t>
            </w:r>
          </w:p>
        </w:tc>
        <w:tc>
          <w:tcPr>
            <w:tcW w:w="1771" w:type="dxa"/>
            <w:vAlign w:val="center"/>
          </w:tcPr>
          <w:p w14:paraId="43F84451">
            <w:pPr>
              <w:jc w:val="right"/>
            </w:pPr>
            <w:r>
              <w:rPr>
                <w:rFonts w:hint="eastAsia"/>
              </w:rPr>
              <w:t>150,564,131.51</w:t>
            </w:r>
          </w:p>
        </w:tc>
        <w:tc>
          <w:tcPr>
            <w:tcW w:w="1771" w:type="dxa"/>
            <w:vAlign w:val="center"/>
          </w:tcPr>
          <w:p w14:paraId="2845D1F6">
            <w:pPr>
              <w:jc w:val="right"/>
            </w:pPr>
            <w:r>
              <w:rPr>
                <w:rFonts w:hint="eastAsia"/>
              </w:rPr>
              <w:t>7.31</w:t>
            </w:r>
          </w:p>
        </w:tc>
      </w:tr>
      <w:tr w14:paraId="5D76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0EA8CE">
            <w:pPr>
              <w:jc w:val="center"/>
            </w:pPr>
            <w:r>
              <w:rPr>
                <w:rFonts w:hint="eastAsia"/>
              </w:rPr>
              <w:t>2</w:t>
            </w:r>
          </w:p>
        </w:tc>
        <w:tc>
          <w:tcPr>
            <w:tcW w:w="1135" w:type="dxa"/>
            <w:vAlign w:val="center"/>
          </w:tcPr>
          <w:p w14:paraId="40BE5317">
            <w:r>
              <w:rPr>
                <w:rFonts w:hint="eastAsia"/>
              </w:rPr>
              <w:t>2128028</w:t>
            </w:r>
          </w:p>
        </w:tc>
        <w:tc>
          <w:tcPr>
            <w:tcW w:w="1882" w:type="dxa"/>
            <w:vAlign w:val="center"/>
          </w:tcPr>
          <w:p w14:paraId="2B3D40A2">
            <w:r>
              <w:rPr>
                <w:rFonts w:hint="eastAsia"/>
              </w:rPr>
              <w:t>21邮储银行二级01</w:t>
            </w:r>
          </w:p>
        </w:tc>
        <w:tc>
          <w:tcPr>
            <w:tcW w:w="1113" w:type="dxa"/>
            <w:vAlign w:val="center"/>
          </w:tcPr>
          <w:p w14:paraId="5A5BCA3A">
            <w:pPr>
              <w:jc w:val="right"/>
            </w:pPr>
            <w:r>
              <w:rPr>
                <w:rFonts w:hint="eastAsia"/>
              </w:rPr>
              <w:t>1,200,000</w:t>
            </w:r>
          </w:p>
        </w:tc>
        <w:tc>
          <w:tcPr>
            <w:tcW w:w="1771" w:type="dxa"/>
            <w:vAlign w:val="center"/>
          </w:tcPr>
          <w:p w14:paraId="28901337">
            <w:pPr>
              <w:jc w:val="right"/>
            </w:pPr>
            <w:r>
              <w:rPr>
                <w:rFonts w:hint="eastAsia"/>
              </w:rPr>
              <w:t>122,781,244.93</w:t>
            </w:r>
          </w:p>
        </w:tc>
        <w:tc>
          <w:tcPr>
            <w:tcW w:w="1771" w:type="dxa"/>
            <w:vAlign w:val="center"/>
          </w:tcPr>
          <w:p w14:paraId="5FB59697">
            <w:pPr>
              <w:jc w:val="right"/>
            </w:pPr>
            <w:r>
              <w:rPr>
                <w:rFonts w:hint="eastAsia"/>
              </w:rPr>
              <w:t>5.96</w:t>
            </w:r>
          </w:p>
        </w:tc>
      </w:tr>
      <w:tr w14:paraId="404D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14C8C3">
            <w:pPr>
              <w:jc w:val="center"/>
            </w:pPr>
            <w:r>
              <w:rPr>
                <w:rFonts w:hint="eastAsia"/>
              </w:rPr>
              <w:t>3</w:t>
            </w:r>
          </w:p>
        </w:tc>
        <w:tc>
          <w:tcPr>
            <w:tcW w:w="1135" w:type="dxa"/>
            <w:vAlign w:val="center"/>
          </w:tcPr>
          <w:p w14:paraId="2F43F6F3">
            <w:r>
              <w:rPr>
                <w:rFonts w:hint="eastAsia"/>
              </w:rPr>
              <w:t>243640</w:t>
            </w:r>
          </w:p>
        </w:tc>
        <w:tc>
          <w:tcPr>
            <w:tcW w:w="1882" w:type="dxa"/>
            <w:vAlign w:val="center"/>
          </w:tcPr>
          <w:p w14:paraId="29B78DAA">
            <w:r>
              <w:rPr>
                <w:rFonts w:hint="eastAsia"/>
              </w:rPr>
              <w:t>25中证S7</w:t>
            </w:r>
          </w:p>
        </w:tc>
        <w:tc>
          <w:tcPr>
            <w:tcW w:w="1113" w:type="dxa"/>
            <w:vAlign w:val="center"/>
          </w:tcPr>
          <w:p w14:paraId="6A9669BF">
            <w:pPr>
              <w:jc w:val="right"/>
            </w:pPr>
            <w:r>
              <w:rPr>
                <w:rFonts w:hint="eastAsia"/>
              </w:rPr>
              <w:t>1,200,000</w:t>
            </w:r>
          </w:p>
        </w:tc>
        <w:tc>
          <w:tcPr>
            <w:tcW w:w="1771" w:type="dxa"/>
            <w:vAlign w:val="center"/>
          </w:tcPr>
          <w:p w14:paraId="3D3013E0">
            <w:pPr>
              <w:jc w:val="right"/>
            </w:pPr>
            <w:r>
              <w:rPr>
                <w:rFonts w:hint="eastAsia"/>
              </w:rPr>
              <w:t>120,540,946.85</w:t>
            </w:r>
          </w:p>
        </w:tc>
        <w:tc>
          <w:tcPr>
            <w:tcW w:w="1771" w:type="dxa"/>
            <w:vAlign w:val="center"/>
          </w:tcPr>
          <w:p w14:paraId="2B49E858">
            <w:pPr>
              <w:jc w:val="right"/>
            </w:pPr>
            <w:r>
              <w:rPr>
                <w:rFonts w:hint="eastAsia"/>
              </w:rPr>
              <w:t>5.85</w:t>
            </w:r>
          </w:p>
        </w:tc>
      </w:tr>
      <w:tr w14:paraId="5E4D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406CBA">
            <w:pPr>
              <w:jc w:val="center"/>
            </w:pPr>
            <w:r>
              <w:rPr>
                <w:rFonts w:hint="eastAsia"/>
              </w:rPr>
              <w:t>4</w:t>
            </w:r>
          </w:p>
        </w:tc>
        <w:tc>
          <w:tcPr>
            <w:tcW w:w="1135" w:type="dxa"/>
            <w:vAlign w:val="center"/>
          </w:tcPr>
          <w:p w14:paraId="10F937D4">
            <w:r>
              <w:rPr>
                <w:rFonts w:hint="eastAsia"/>
              </w:rPr>
              <w:t>2128025</w:t>
            </w:r>
          </w:p>
        </w:tc>
        <w:tc>
          <w:tcPr>
            <w:tcW w:w="1882" w:type="dxa"/>
            <w:vAlign w:val="center"/>
          </w:tcPr>
          <w:p w14:paraId="1405A66C">
            <w:r>
              <w:rPr>
                <w:rFonts w:hint="eastAsia"/>
              </w:rPr>
              <w:t>21建设银行二级01</w:t>
            </w:r>
          </w:p>
        </w:tc>
        <w:tc>
          <w:tcPr>
            <w:tcW w:w="1113" w:type="dxa"/>
            <w:vAlign w:val="center"/>
          </w:tcPr>
          <w:p w14:paraId="72B5B42D">
            <w:pPr>
              <w:jc w:val="right"/>
            </w:pPr>
            <w:r>
              <w:rPr>
                <w:rFonts w:hint="eastAsia"/>
              </w:rPr>
              <w:t>1,090,000</w:t>
            </w:r>
          </w:p>
        </w:tc>
        <w:tc>
          <w:tcPr>
            <w:tcW w:w="1771" w:type="dxa"/>
            <w:vAlign w:val="center"/>
          </w:tcPr>
          <w:p w14:paraId="01021348">
            <w:pPr>
              <w:jc w:val="right"/>
            </w:pPr>
            <w:r>
              <w:rPr>
                <w:rFonts w:hint="eastAsia"/>
              </w:rPr>
              <w:t>111,614,775.62</w:t>
            </w:r>
          </w:p>
        </w:tc>
        <w:tc>
          <w:tcPr>
            <w:tcW w:w="1771" w:type="dxa"/>
            <w:vAlign w:val="center"/>
          </w:tcPr>
          <w:p w14:paraId="3BFF50D5">
            <w:pPr>
              <w:jc w:val="right"/>
            </w:pPr>
            <w:r>
              <w:rPr>
                <w:rFonts w:hint="eastAsia"/>
              </w:rPr>
              <w:t>5.42</w:t>
            </w:r>
          </w:p>
        </w:tc>
      </w:tr>
      <w:tr w14:paraId="0E59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B3E8DE">
            <w:pPr>
              <w:jc w:val="center"/>
            </w:pPr>
            <w:r>
              <w:rPr>
                <w:rFonts w:hint="eastAsia"/>
              </w:rPr>
              <w:t>5</w:t>
            </w:r>
          </w:p>
        </w:tc>
        <w:tc>
          <w:tcPr>
            <w:tcW w:w="1135" w:type="dxa"/>
            <w:vAlign w:val="center"/>
          </w:tcPr>
          <w:p w14:paraId="62B6B31A">
            <w:r>
              <w:rPr>
                <w:rFonts w:hint="eastAsia"/>
              </w:rPr>
              <w:t>250211</w:t>
            </w:r>
          </w:p>
        </w:tc>
        <w:tc>
          <w:tcPr>
            <w:tcW w:w="1882" w:type="dxa"/>
            <w:vAlign w:val="center"/>
          </w:tcPr>
          <w:p w14:paraId="56E23B67">
            <w:r>
              <w:rPr>
                <w:rFonts w:hint="eastAsia"/>
              </w:rPr>
              <w:t>25国开11</w:t>
            </w:r>
          </w:p>
        </w:tc>
        <w:tc>
          <w:tcPr>
            <w:tcW w:w="1113" w:type="dxa"/>
            <w:vAlign w:val="center"/>
          </w:tcPr>
          <w:p w14:paraId="244FD904">
            <w:pPr>
              <w:jc w:val="right"/>
            </w:pPr>
            <w:r>
              <w:rPr>
                <w:rFonts w:hint="eastAsia"/>
              </w:rPr>
              <w:t>1,100,000</w:t>
            </w:r>
          </w:p>
        </w:tc>
        <w:tc>
          <w:tcPr>
            <w:tcW w:w="1771" w:type="dxa"/>
            <w:vAlign w:val="center"/>
          </w:tcPr>
          <w:p w14:paraId="1E23E517">
            <w:pPr>
              <w:jc w:val="right"/>
            </w:pPr>
            <w:r>
              <w:rPr>
                <w:rFonts w:hint="eastAsia"/>
              </w:rPr>
              <w:t>110,525,649.32</w:t>
            </w:r>
          </w:p>
        </w:tc>
        <w:tc>
          <w:tcPr>
            <w:tcW w:w="1771" w:type="dxa"/>
            <w:vAlign w:val="center"/>
          </w:tcPr>
          <w:p w14:paraId="296EF7CA">
            <w:pPr>
              <w:jc w:val="right"/>
            </w:pPr>
            <w:r>
              <w:rPr>
                <w:rFonts w:hint="eastAsia"/>
              </w:rPr>
              <w:t>5.36</w:t>
            </w:r>
          </w:p>
        </w:tc>
      </w:tr>
    </w:tbl>
    <w:p w14:paraId="697DAF5A">
      <w:pPr>
        <w:pStyle w:val="23"/>
      </w:pPr>
      <w:bookmarkStart w:id="164" w:name="_Toc22723"/>
      <w:r>
        <w:t>期末按公允价值占基金资产净值比例大小排序的所有资产支持证券投资明细</w:t>
      </w:r>
      <w:bookmarkEnd w:id="164"/>
    </w:p>
    <w:p w14:paraId="56F69CD6">
      <w:pPr>
        <w:pStyle w:val="18"/>
        <w:rPr>
          <w:rFonts w:hint="eastAsia"/>
        </w:rPr>
      </w:pPr>
      <w:r>
        <w:rPr>
          <w:rFonts w:hint="eastAsia"/>
        </w:rPr>
        <w:t>无。</w:t>
      </w:r>
    </w:p>
    <w:p w14:paraId="2F6A739F">
      <w:pPr>
        <w:pStyle w:val="23"/>
      </w:pPr>
      <w:bookmarkStart w:id="165" w:name="_Toc17557"/>
      <w:r>
        <w:t>报告期末按公允价值占基金资产净值比例大小排序的前五名贵金属投资明细</w:t>
      </w:r>
      <w:bookmarkEnd w:id="165"/>
    </w:p>
    <w:p w14:paraId="4F03868F">
      <w:pPr>
        <w:pStyle w:val="18"/>
        <w:rPr>
          <w:rFonts w:hint="eastAsia"/>
        </w:rPr>
      </w:pPr>
      <w:r>
        <w:rPr>
          <w:rFonts w:hint="eastAsia"/>
        </w:rPr>
        <w:t>无。</w:t>
      </w:r>
    </w:p>
    <w:p w14:paraId="73A6AABB">
      <w:pPr>
        <w:pStyle w:val="23"/>
      </w:pPr>
      <w:bookmarkStart w:id="166" w:name="_Toc25605"/>
      <w:r>
        <w:t>期末按公允价值占基金资产净值比例大小排序的前五名权证投资明细</w:t>
      </w:r>
      <w:bookmarkEnd w:id="166"/>
    </w:p>
    <w:p w14:paraId="09E1C5D3">
      <w:pPr>
        <w:pStyle w:val="18"/>
        <w:rPr>
          <w:rFonts w:hint="eastAsia"/>
        </w:rPr>
      </w:pPr>
      <w:r>
        <w:rPr>
          <w:rFonts w:hint="eastAsia"/>
        </w:rPr>
        <w:t>无。</w:t>
      </w:r>
    </w:p>
    <w:p w14:paraId="4E857547">
      <w:pPr>
        <w:pStyle w:val="23"/>
      </w:pPr>
      <w:bookmarkStart w:id="167" w:name="_Toc2545"/>
      <w:r>
        <w:t>本基金投资股指期货的投资政策</w:t>
      </w:r>
      <w:bookmarkEnd w:id="167"/>
    </w:p>
    <w:p w14:paraId="4CEB8C9A">
      <w:pPr>
        <w:pStyle w:val="18"/>
        <w:rPr>
          <w:rFonts w:hint="eastAsia"/>
        </w:rPr>
      </w:pPr>
      <w:r>
        <w:rPr>
          <w:rFonts w:hint="eastAsia"/>
        </w:rPr>
        <w:t>无。</w:t>
      </w:r>
    </w:p>
    <w:p w14:paraId="6E5223AE">
      <w:pPr>
        <w:pStyle w:val="23"/>
      </w:pPr>
      <w:bookmarkStart w:id="168" w:name="_Toc17573"/>
      <w:r>
        <w:t>报告期末本基金投资的国债期货交易情况说明</w:t>
      </w:r>
      <w:bookmarkEnd w:id="168"/>
    </w:p>
    <w:p w14:paraId="767253C3">
      <w:pPr>
        <w:pStyle w:val="28"/>
      </w:pPr>
      <w:bookmarkStart w:id="169" w:name="_Toc169"/>
      <w:r>
        <w:t>本期国债期货投资政策</w:t>
      </w:r>
      <w:bookmarkEnd w:id="169"/>
    </w:p>
    <w:p w14:paraId="22848102">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20FB7679">
      <w:pPr>
        <w:pStyle w:val="28"/>
      </w:pPr>
      <w:bookmarkStart w:id="170" w:name="_Toc170"/>
      <w:r>
        <w:t>本期国债期货投资评价</w:t>
      </w:r>
      <w:bookmarkEnd w:id="170"/>
    </w:p>
    <w:p w14:paraId="20C78321">
      <w:pPr>
        <w:pStyle w:val="18"/>
        <w:rPr>
          <w:rFonts w:hint="eastAsia"/>
        </w:rPr>
      </w:pPr>
      <w:r>
        <w:rPr>
          <w:rFonts w:hint="eastAsia"/>
        </w:rPr>
        <w:t>本报告期，本基金投资国债期货符合既定的投资政策和投资目的。</w:t>
      </w:r>
    </w:p>
    <w:p w14:paraId="3D2FE8FE">
      <w:pPr>
        <w:pStyle w:val="23"/>
      </w:pPr>
      <w:bookmarkStart w:id="171" w:name="_Toc9098"/>
      <w:r>
        <w:t>投资组合报告附注</w:t>
      </w:r>
      <w:bookmarkEnd w:id="171"/>
    </w:p>
    <w:p w14:paraId="0FB99EA7">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29BA9843">
      <w:pPr>
        <w:pStyle w:val="18"/>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兴业银行股份有限公司在报告编制日前一年内曾受到国家金融监督管理总局的处罚；中国邮政储蓄银行股份有限公司在报告编制日前一年内曾受到国家金融监督管理总局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66B98126">
      <w:pPr>
        <w:pStyle w:val="18"/>
        <w:rPr>
          <w:rFonts w:hint="eastAsia"/>
        </w:rPr>
      </w:pPr>
      <w:r>
        <w:rPr>
          <w:rFonts w:hint="eastAsia"/>
        </w:rPr>
        <w:t>对上述证券的投资决策程序的说明：本基金投资上述证券的投资决策程序符合相关法律法规和公司制度的要求。</w:t>
      </w:r>
    </w:p>
    <w:p w14:paraId="4E9CCBBD">
      <w:pPr>
        <w:pStyle w:val="28"/>
      </w:pPr>
      <w:bookmarkStart w:id="173" w:name="_Toc173"/>
      <w:r>
        <w:t xml:space="preserve">声明基金投资的前十名股票是否超出基金合同规定的备选股票库。如是，还应对相关股票的投资决策程序做出说明 </w:t>
      </w:r>
      <w:bookmarkEnd w:id="173"/>
    </w:p>
    <w:p w14:paraId="356E358A">
      <w:pPr>
        <w:pStyle w:val="18"/>
        <w:rPr>
          <w:rFonts w:hint="eastAsia"/>
        </w:rPr>
      </w:pPr>
      <w:r>
        <w:rPr>
          <w:rFonts w:hint="eastAsia"/>
        </w:rPr>
        <w:t>本基金投资的前十名股票（如有）没有超出基金合同规定的备选股票库，本基金管理人从制度和流程上要求股票必须先入库再买入。</w:t>
      </w:r>
    </w:p>
    <w:p w14:paraId="2094342E">
      <w:pPr>
        <w:pStyle w:val="28"/>
      </w:pPr>
      <w:bookmarkStart w:id="174" w:name="_Toc174"/>
      <w:r>
        <w:t>期末其他各项资产构成</w:t>
      </w:r>
      <w:bookmarkEnd w:id="174"/>
    </w:p>
    <w:p w14:paraId="6BB635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ED08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BC231F6">
            <w:pPr>
              <w:jc w:val="center"/>
            </w:pPr>
            <w:r>
              <w:rPr>
                <w:rFonts w:hint="eastAsia"/>
                <w:b/>
              </w:rPr>
              <w:t>序号</w:t>
            </w:r>
          </w:p>
        </w:tc>
        <w:tc>
          <w:tcPr>
            <w:tcW w:w="2907" w:type="dxa"/>
            <w:shd w:val="clear" w:color="auto" w:fill="BFBFBF"/>
            <w:vAlign w:val="center"/>
          </w:tcPr>
          <w:p w14:paraId="41E2F452">
            <w:pPr>
              <w:jc w:val="center"/>
            </w:pPr>
            <w:r>
              <w:rPr>
                <w:rFonts w:hint="eastAsia"/>
                <w:b/>
              </w:rPr>
              <w:t>名称</w:t>
            </w:r>
          </w:p>
        </w:tc>
        <w:tc>
          <w:tcPr>
            <w:tcW w:w="4673" w:type="dxa"/>
            <w:shd w:val="clear" w:color="auto" w:fill="BFBFBF"/>
            <w:vAlign w:val="center"/>
          </w:tcPr>
          <w:p w14:paraId="243F97A9">
            <w:pPr>
              <w:jc w:val="center"/>
            </w:pPr>
            <w:r>
              <w:rPr>
                <w:rFonts w:hint="eastAsia"/>
                <w:b/>
              </w:rPr>
              <w:t>金额（元）</w:t>
            </w:r>
          </w:p>
        </w:tc>
      </w:tr>
      <w:tr w14:paraId="3FC9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BB4323A">
            <w:pPr>
              <w:jc w:val="center"/>
            </w:pPr>
            <w:r>
              <w:rPr>
                <w:rFonts w:hint="eastAsia"/>
              </w:rPr>
              <w:t>1</w:t>
            </w:r>
          </w:p>
        </w:tc>
        <w:tc>
          <w:tcPr>
            <w:tcW w:w="2907" w:type="dxa"/>
            <w:vAlign w:val="center"/>
          </w:tcPr>
          <w:p w14:paraId="12D53346">
            <w:r>
              <w:rPr>
                <w:rFonts w:hint="eastAsia"/>
              </w:rPr>
              <w:t>存出保证金</w:t>
            </w:r>
          </w:p>
        </w:tc>
        <w:tc>
          <w:tcPr>
            <w:tcW w:w="4673" w:type="dxa"/>
            <w:vAlign w:val="center"/>
          </w:tcPr>
          <w:p w14:paraId="1ACA50DC">
            <w:pPr>
              <w:jc w:val="right"/>
            </w:pPr>
            <w:r>
              <w:rPr>
                <w:rFonts w:hint="eastAsia"/>
              </w:rPr>
              <w:t>85,237.88</w:t>
            </w:r>
          </w:p>
        </w:tc>
      </w:tr>
      <w:tr w14:paraId="75DA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393A21">
            <w:pPr>
              <w:jc w:val="center"/>
            </w:pPr>
            <w:r>
              <w:rPr>
                <w:rFonts w:hint="eastAsia"/>
              </w:rPr>
              <w:t>2</w:t>
            </w:r>
          </w:p>
        </w:tc>
        <w:tc>
          <w:tcPr>
            <w:tcW w:w="2907" w:type="dxa"/>
            <w:vAlign w:val="center"/>
          </w:tcPr>
          <w:p w14:paraId="02DDB567">
            <w:r>
              <w:rPr>
                <w:rFonts w:hint="eastAsia"/>
              </w:rPr>
              <w:t>应收清算款</w:t>
            </w:r>
          </w:p>
        </w:tc>
        <w:tc>
          <w:tcPr>
            <w:tcW w:w="4673" w:type="dxa"/>
            <w:vAlign w:val="center"/>
          </w:tcPr>
          <w:p w14:paraId="0B4DB624">
            <w:pPr>
              <w:jc w:val="right"/>
            </w:pPr>
            <w:r>
              <w:rPr>
                <w:rFonts w:hint="eastAsia"/>
              </w:rPr>
              <w:t>-</w:t>
            </w:r>
          </w:p>
        </w:tc>
      </w:tr>
      <w:tr w14:paraId="6919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9B99A8">
            <w:pPr>
              <w:jc w:val="center"/>
            </w:pPr>
            <w:r>
              <w:rPr>
                <w:rFonts w:hint="eastAsia"/>
              </w:rPr>
              <w:t>3</w:t>
            </w:r>
          </w:p>
        </w:tc>
        <w:tc>
          <w:tcPr>
            <w:tcW w:w="2907" w:type="dxa"/>
            <w:vAlign w:val="center"/>
          </w:tcPr>
          <w:p w14:paraId="4C1D9EEA">
            <w:r>
              <w:rPr>
                <w:rFonts w:hint="eastAsia"/>
              </w:rPr>
              <w:t>应收股利</w:t>
            </w:r>
          </w:p>
        </w:tc>
        <w:tc>
          <w:tcPr>
            <w:tcW w:w="4673" w:type="dxa"/>
            <w:vAlign w:val="center"/>
          </w:tcPr>
          <w:p w14:paraId="3EFB8C9B">
            <w:pPr>
              <w:jc w:val="right"/>
            </w:pPr>
            <w:r>
              <w:rPr>
                <w:rFonts w:hint="eastAsia"/>
              </w:rPr>
              <w:t>-</w:t>
            </w:r>
          </w:p>
        </w:tc>
      </w:tr>
      <w:tr w14:paraId="15EA8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87AB151">
            <w:pPr>
              <w:jc w:val="center"/>
            </w:pPr>
            <w:r>
              <w:rPr>
                <w:rFonts w:hint="eastAsia"/>
              </w:rPr>
              <w:t>4</w:t>
            </w:r>
          </w:p>
        </w:tc>
        <w:tc>
          <w:tcPr>
            <w:tcW w:w="2907" w:type="dxa"/>
            <w:vAlign w:val="center"/>
          </w:tcPr>
          <w:p w14:paraId="441A626E">
            <w:r>
              <w:rPr>
                <w:rFonts w:hint="eastAsia"/>
              </w:rPr>
              <w:t>应收利息</w:t>
            </w:r>
          </w:p>
        </w:tc>
        <w:tc>
          <w:tcPr>
            <w:tcW w:w="4673" w:type="dxa"/>
            <w:vAlign w:val="center"/>
          </w:tcPr>
          <w:p w14:paraId="1E9B42AE">
            <w:pPr>
              <w:jc w:val="right"/>
            </w:pPr>
            <w:r>
              <w:rPr>
                <w:rFonts w:hint="eastAsia"/>
              </w:rPr>
              <w:t>-</w:t>
            </w:r>
          </w:p>
        </w:tc>
      </w:tr>
      <w:tr w14:paraId="3E26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700AB7">
            <w:pPr>
              <w:jc w:val="center"/>
            </w:pPr>
            <w:r>
              <w:rPr>
                <w:rFonts w:hint="eastAsia"/>
              </w:rPr>
              <w:t>5</w:t>
            </w:r>
          </w:p>
        </w:tc>
        <w:tc>
          <w:tcPr>
            <w:tcW w:w="2907" w:type="dxa"/>
            <w:vAlign w:val="center"/>
          </w:tcPr>
          <w:p w14:paraId="315A5FBE">
            <w:r>
              <w:rPr>
                <w:rFonts w:hint="eastAsia"/>
              </w:rPr>
              <w:t>应收申购款</w:t>
            </w:r>
          </w:p>
        </w:tc>
        <w:tc>
          <w:tcPr>
            <w:tcW w:w="4673" w:type="dxa"/>
            <w:vAlign w:val="center"/>
          </w:tcPr>
          <w:p w14:paraId="623EBCCA">
            <w:pPr>
              <w:jc w:val="right"/>
            </w:pPr>
            <w:r>
              <w:rPr>
                <w:rFonts w:hint="eastAsia"/>
              </w:rPr>
              <w:t>-</w:t>
            </w:r>
          </w:p>
        </w:tc>
      </w:tr>
      <w:tr w14:paraId="2F5B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3FB94E2">
            <w:pPr>
              <w:jc w:val="center"/>
            </w:pPr>
            <w:r>
              <w:rPr>
                <w:rFonts w:hint="eastAsia"/>
              </w:rPr>
              <w:t>6</w:t>
            </w:r>
          </w:p>
        </w:tc>
        <w:tc>
          <w:tcPr>
            <w:tcW w:w="2907" w:type="dxa"/>
            <w:vAlign w:val="center"/>
          </w:tcPr>
          <w:p w14:paraId="4445EFC2">
            <w:r>
              <w:rPr>
                <w:rFonts w:hint="eastAsia"/>
              </w:rPr>
              <w:t>其他应收款</w:t>
            </w:r>
          </w:p>
        </w:tc>
        <w:tc>
          <w:tcPr>
            <w:tcW w:w="4673" w:type="dxa"/>
            <w:vAlign w:val="center"/>
          </w:tcPr>
          <w:p w14:paraId="286B9FCD">
            <w:pPr>
              <w:jc w:val="right"/>
            </w:pPr>
            <w:r>
              <w:rPr>
                <w:rFonts w:hint="eastAsia"/>
              </w:rPr>
              <w:t>-</w:t>
            </w:r>
          </w:p>
        </w:tc>
      </w:tr>
      <w:tr w14:paraId="4D73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FC3DC2">
            <w:pPr>
              <w:jc w:val="center"/>
            </w:pPr>
            <w:r>
              <w:rPr>
                <w:rFonts w:hint="eastAsia"/>
              </w:rPr>
              <w:t>7</w:t>
            </w:r>
          </w:p>
        </w:tc>
        <w:tc>
          <w:tcPr>
            <w:tcW w:w="2907" w:type="dxa"/>
            <w:vAlign w:val="center"/>
          </w:tcPr>
          <w:p w14:paraId="13E1A552">
            <w:r>
              <w:rPr>
                <w:rFonts w:hint="eastAsia"/>
              </w:rPr>
              <w:t>待摊费用</w:t>
            </w:r>
          </w:p>
        </w:tc>
        <w:tc>
          <w:tcPr>
            <w:tcW w:w="4673" w:type="dxa"/>
            <w:vAlign w:val="center"/>
          </w:tcPr>
          <w:p w14:paraId="185B44E3">
            <w:pPr>
              <w:jc w:val="right"/>
            </w:pPr>
            <w:r>
              <w:rPr>
                <w:rFonts w:hint="eastAsia"/>
              </w:rPr>
              <w:t>-</w:t>
            </w:r>
          </w:p>
        </w:tc>
      </w:tr>
      <w:tr w14:paraId="6C7D5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88C7B54">
            <w:pPr>
              <w:jc w:val="center"/>
            </w:pPr>
            <w:r>
              <w:rPr>
                <w:rFonts w:hint="eastAsia"/>
              </w:rPr>
              <w:t>8</w:t>
            </w:r>
          </w:p>
        </w:tc>
        <w:tc>
          <w:tcPr>
            <w:tcW w:w="2907" w:type="dxa"/>
            <w:vAlign w:val="center"/>
          </w:tcPr>
          <w:p w14:paraId="6AED79B9">
            <w:r>
              <w:rPr>
                <w:rFonts w:hint="eastAsia"/>
              </w:rPr>
              <w:t>其他</w:t>
            </w:r>
          </w:p>
        </w:tc>
        <w:tc>
          <w:tcPr>
            <w:tcW w:w="4673" w:type="dxa"/>
            <w:vAlign w:val="center"/>
          </w:tcPr>
          <w:p w14:paraId="59CBAA93">
            <w:pPr>
              <w:jc w:val="right"/>
            </w:pPr>
            <w:r>
              <w:rPr>
                <w:rFonts w:hint="eastAsia"/>
              </w:rPr>
              <w:t>-</w:t>
            </w:r>
          </w:p>
        </w:tc>
      </w:tr>
      <w:tr w14:paraId="4826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012F87">
            <w:pPr>
              <w:jc w:val="center"/>
            </w:pPr>
            <w:r>
              <w:rPr>
                <w:rFonts w:hint="eastAsia"/>
              </w:rPr>
              <w:t>9</w:t>
            </w:r>
          </w:p>
        </w:tc>
        <w:tc>
          <w:tcPr>
            <w:tcW w:w="2907" w:type="dxa"/>
            <w:vAlign w:val="center"/>
          </w:tcPr>
          <w:p w14:paraId="4EC14ADF">
            <w:r>
              <w:rPr>
                <w:rFonts w:hint="eastAsia"/>
              </w:rPr>
              <w:t>合计</w:t>
            </w:r>
          </w:p>
        </w:tc>
        <w:tc>
          <w:tcPr>
            <w:tcW w:w="4673" w:type="dxa"/>
            <w:vAlign w:val="center"/>
          </w:tcPr>
          <w:p w14:paraId="1419FE49">
            <w:pPr>
              <w:jc w:val="right"/>
            </w:pPr>
            <w:r>
              <w:rPr>
                <w:rFonts w:hint="eastAsia"/>
              </w:rPr>
              <w:t>85,237.88</w:t>
            </w:r>
          </w:p>
        </w:tc>
      </w:tr>
    </w:tbl>
    <w:p w14:paraId="6FF64EC8">
      <w:pPr>
        <w:pStyle w:val="28"/>
      </w:pPr>
      <w:bookmarkStart w:id="175" w:name="_Toc175"/>
      <w:r>
        <w:t>期末持有的处于转股期的可转换债券明细</w:t>
      </w:r>
      <w:bookmarkEnd w:id="175"/>
    </w:p>
    <w:p w14:paraId="48A8648B">
      <w:pPr>
        <w:pStyle w:val="18"/>
        <w:rPr>
          <w:rFonts w:hint="eastAsia"/>
        </w:rPr>
      </w:pPr>
      <w:r>
        <w:rPr>
          <w:rFonts w:hint="eastAsia"/>
        </w:rPr>
        <w:t>本基金本报告期末未持有处于转股期的可转换债券。</w:t>
      </w:r>
    </w:p>
    <w:p w14:paraId="0DBFB4A1">
      <w:pPr>
        <w:pStyle w:val="28"/>
      </w:pPr>
      <w:bookmarkStart w:id="176" w:name="_Toc176"/>
      <w:r>
        <w:t>期末前十名股票中存在流通受限情况的说明</w:t>
      </w:r>
      <w:bookmarkEnd w:id="176"/>
    </w:p>
    <w:p w14:paraId="5BA5B9F6">
      <w:pPr>
        <w:pStyle w:val="18"/>
        <w:rPr>
          <w:rFonts w:hint="eastAsia"/>
        </w:rPr>
      </w:pPr>
      <w:r>
        <w:rPr>
          <w:rFonts w:hint="eastAsia"/>
        </w:rPr>
        <w:t>无。</w:t>
      </w:r>
    </w:p>
    <w:p w14:paraId="38FB4D8D">
      <w:pPr>
        <w:pStyle w:val="26"/>
      </w:pPr>
      <w:bookmarkStart w:id="177" w:name="_Toc23689"/>
      <w:r>
        <w:t>基金份额持有人信息</w:t>
      </w:r>
      <w:bookmarkEnd w:id="177"/>
    </w:p>
    <w:p w14:paraId="292B5D09">
      <w:pPr>
        <w:pStyle w:val="23"/>
      </w:pPr>
      <w:bookmarkStart w:id="178" w:name="_Toc26740"/>
      <w:r>
        <w:t>期末基金份额持有人户数及持有人结构</w:t>
      </w:r>
      <w:bookmarkEnd w:id="178"/>
    </w:p>
    <w:p w14:paraId="2C35991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809E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164CCC3">
            <w:pPr>
              <w:jc w:val="center"/>
            </w:pPr>
            <w:r>
              <w:rPr>
                <w:rFonts w:hint="eastAsia"/>
                <w:b/>
              </w:rPr>
              <w:t>份额级别</w:t>
            </w:r>
          </w:p>
        </w:tc>
        <w:tc>
          <w:tcPr>
            <w:tcW w:w="1186" w:type="dxa"/>
            <w:vMerge w:val="restart"/>
            <w:shd w:val="clear" w:color="auto" w:fill="BFBFBF"/>
            <w:vAlign w:val="center"/>
          </w:tcPr>
          <w:p w14:paraId="31558BFF">
            <w:pPr>
              <w:jc w:val="center"/>
            </w:pPr>
            <w:r>
              <w:rPr>
                <w:rFonts w:hint="eastAsia"/>
                <w:b/>
              </w:rPr>
              <w:t>持有人户数（户）</w:t>
            </w:r>
          </w:p>
        </w:tc>
        <w:tc>
          <w:tcPr>
            <w:tcW w:w="1186" w:type="dxa"/>
            <w:vMerge w:val="restart"/>
            <w:shd w:val="clear" w:color="auto" w:fill="BFBFBF"/>
            <w:vAlign w:val="center"/>
          </w:tcPr>
          <w:p w14:paraId="09D0CEBF">
            <w:pPr>
              <w:jc w:val="center"/>
            </w:pPr>
            <w:r>
              <w:rPr>
                <w:rFonts w:hint="eastAsia"/>
                <w:b/>
              </w:rPr>
              <w:t>户均持有的基金份额</w:t>
            </w:r>
          </w:p>
        </w:tc>
        <w:tc>
          <w:tcPr>
            <w:tcW w:w="1186" w:type="dxa"/>
            <w:gridSpan w:val="4"/>
            <w:shd w:val="clear" w:color="auto" w:fill="BFBFBF"/>
            <w:vAlign w:val="center"/>
          </w:tcPr>
          <w:p w14:paraId="27A6BB4A">
            <w:pPr>
              <w:jc w:val="center"/>
            </w:pPr>
            <w:r>
              <w:rPr>
                <w:rFonts w:hint="eastAsia"/>
                <w:b/>
              </w:rPr>
              <w:t>持有人结构</w:t>
            </w:r>
          </w:p>
        </w:tc>
      </w:tr>
      <w:tr w14:paraId="4B42E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37FE13C"/>
        </w:tc>
        <w:tc>
          <w:tcPr>
            <w:tcW w:w="1186" w:type="dxa"/>
            <w:vMerge w:val="continue"/>
            <w:vAlign w:val="center"/>
          </w:tcPr>
          <w:p w14:paraId="43BE5C91"/>
        </w:tc>
        <w:tc>
          <w:tcPr>
            <w:tcW w:w="1186" w:type="dxa"/>
            <w:vMerge w:val="continue"/>
            <w:vAlign w:val="center"/>
          </w:tcPr>
          <w:p w14:paraId="15E5E000"/>
        </w:tc>
        <w:tc>
          <w:tcPr>
            <w:tcW w:w="1186" w:type="dxa"/>
            <w:gridSpan w:val="2"/>
            <w:shd w:val="clear" w:color="auto" w:fill="BFBFBF"/>
            <w:vAlign w:val="center"/>
          </w:tcPr>
          <w:p w14:paraId="253488EE">
            <w:pPr>
              <w:jc w:val="center"/>
            </w:pPr>
            <w:r>
              <w:rPr>
                <w:rFonts w:hint="eastAsia"/>
                <w:b/>
              </w:rPr>
              <w:t>机构投资者</w:t>
            </w:r>
          </w:p>
        </w:tc>
        <w:tc>
          <w:tcPr>
            <w:tcW w:w="1186" w:type="dxa"/>
            <w:gridSpan w:val="2"/>
            <w:shd w:val="clear" w:color="auto" w:fill="BFBFBF"/>
            <w:vAlign w:val="center"/>
          </w:tcPr>
          <w:p w14:paraId="01164ABE">
            <w:pPr>
              <w:jc w:val="center"/>
            </w:pPr>
            <w:r>
              <w:rPr>
                <w:rFonts w:hint="eastAsia"/>
                <w:b/>
              </w:rPr>
              <w:t>个人投资者</w:t>
            </w:r>
          </w:p>
        </w:tc>
      </w:tr>
      <w:tr w14:paraId="31B98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4A7DB9A"/>
        </w:tc>
        <w:tc>
          <w:tcPr>
            <w:tcW w:w="1186" w:type="dxa"/>
            <w:vMerge w:val="continue"/>
            <w:vAlign w:val="center"/>
          </w:tcPr>
          <w:p w14:paraId="06D24310"/>
        </w:tc>
        <w:tc>
          <w:tcPr>
            <w:tcW w:w="1186" w:type="dxa"/>
            <w:vMerge w:val="continue"/>
            <w:vAlign w:val="center"/>
          </w:tcPr>
          <w:p w14:paraId="01FC5A5E"/>
        </w:tc>
        <w:tc>
          <w:tcPr>
            <w:tcW w:w="1186" w:type="dxa"/>
            <w:shd w:val="clear" w:color="auto" w:fill="BFBFBF"/>
            <w:vAlign w:val="center"/>
          </w:tcPr>
          <w:p w14:paraId="7154C8C2">
            <w:pPr>
              <w:jc w:val="center"/>
            </w:pPr>
            <w:r>
              <w:rPr>
                <w:rFonts w:hint="eastAsia"/>
                <w:b/>
              </w:rPr>
              <w:t>持有份额</w:t>
            </w:r>
          </w:p>
        </w:tc>
        <w:tc>
          <w:tcPr>
            <w:tcW w:w="1186" w:type="dxa"/>
            <w:shd w:val="clear" w:color="auto" w:fill="BFBFBF"/>
            <w:vAlign w:val="center"/>
          </w:tcPr>
          <w:p w14:paraId="0E97092D">
            <w:pPr>
              <w:jc w:val="center"/>
            </w:pPr>
            <w:r>
              <w:rPr>
                <w:rFonts w:hint="eastAsia"/>
                <w:b/>
              </w:rPr>
              <w:t>占总份额比例</w:t>
            </w:r>
          </w:p>
        </w:tc>
        <w:tc>
          <w:tcPr>
            <w:tcW w:w="1186" w:type="dxa"/>
            <w:shd w:val="clear" w:color="auto" w:fill="BFBFBF"/>
            <w:vAlign w:val="center"/>
          </w:tcPr>
          <w:p w14:paraId="2648EB31">
            <w:pPr>
              <w:jc w:val="center"/>
            </w:pPr>
            <w:r>
              <w:rPr>
                <w:rFonts w:hint="eastAsia"/>
                <w:b/>
              </w:rPr>
              <w:t>持有份额</w:t>
            </w:r>
          </w:p>
        </w:tc>
        <w:tc>
          <w:tcPr>
            <w:tcW w:w="1186" w:type="dxa"/>
            <w:shd w:val="clear" w:color="auto" w:fill="BFBFBF"/>
            <w:vAlign w:val="center"/>
          </w:tcPr>
          <w:p w14:paraId="0F223B04">
            <w:pPr>
              <w:jc w:val="center"/>
            </w:pPr>
            <w:r>
              <w:rPr>
                <w:rFonts w:hint="eastAsia"/>
                <w:b/>
              </w:rPr>
              <w:t>占总份额比例</w:t>
            </w:r>
          </w:p>
        </w:tc>
      </w:tr>
      <w:tr w14:paraId="47D60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32AE628">
            <w:r>
              <w:rPr>
                <w:rFonts w:hint="eastAsia"/>
              </w:rPr>
              <w:t>南方稳航120天滚动持有债券A</w:t>
            </w:r>
          </w:p>
        </w:tc>
        <w:tc>
          <w:tcPr>
            <w:tcW w:w="1186" w:type="dxa"/>
            <w:vAlign w:val="center"/>
          </w:tcPr>
          <w:p w14:paraId="45A89317">
            <w:pPr>
              <w:jc w:val="right"/>
            </w:pPr>
            <w:r>
              <w:rPr>
                <w:rFonts w:hint="eastAsia"/>
              </w:rPr>
              <w:t>2,666</w:t>
            </w:r>
          </w:p>
        </w:tc>
        <w:tc>
          <w:tcPr>
            <w:tcW w:w="1186" w:type="dxa"/>
            <w:vAlign w:val="center"/>
          </w:tcPr>
          <w:p w14:paraId="65135CC9">
            <w:pPr>
              <w:jc w:val="right"/>
            </w:pPr>
            <w:r>
              <w:rPr>
                <w:rFonts w:hint="eastAsia"/>
              </w:rPr>
              <w:t>616,947.74</w:t>
            </w:r>
          </w:p>
        </w:tc>
        <w:tc>
          <w:tcPr>
            <w:tcW w:w="1186" w:type="dxa"/>
            <w:vAlign w:val="center"/>
          </w:tcPr>
          <w:p w14:paraId="715A33EE">
            <w:pPr>
              <w:jc w:val="right"/>
            </w:pPr>
            <w:r>
              <w:rPr>
                <w:rFonts w:hint="eastAsia"/>
              </w:rPr>
              <w:t>199,897,421.98</w:t>
            </w:r>
          </w:p>
        </w:tc>
        <w:tc>
          <w:tcPr>
            <w:tcW w:w="1186" w:type="dxa"/>
            <w:vAlign w:val="center"/>
          </w:tcPr>
          <w:p w14:paraId="6BBDB288">
            <w:pPr>
              <w:jc w:val="right"/>
            </w:pPr>
            <w:r>
              <w:rPr>
                <w:rFonts w:hint="eastAsia"/>
              </w:rPr>
              <w:t>12.15%</w:t>
            </w:r>
          </w:p>
        </w:tc>
        <w:tc>
          <w:tcPr>
            <w:tcW w:w="1186" w:type="dxa"/>
            <w:vAlign w:val="center"/>
          </w:tcPr>
          <w:p w14:paraId="6887B20A">
            <w:pPr>
              <w:jc w:val="right"/>
            </w:pPr>
            <w:r>
              <w:rPr>
                <w:rFonts w:hint="eastAsia"/>
              </w:rPr>
              <w:t>1,444,885,253.49</w:t>
            </w:r>
          </w:p>
        </w:tc>
        <w:tc>
          <w:tcPr>
            <w:tcW w:w="1186" w:type="dxa"/>
            <w:vAlign w:val="center"/>
          </w:tcPr>
          <w:p w14:paraId="5FD98334">
            <w:pPr>
              <w:jc w:val="right"/>
            </w:pPr>
            <w:r>
              <w:rPr>
                <w:rFonts w:hint="eastAsia"/>
              </w:rPr>
              <w:t>87.85%</w:t>
            </w:r>
          </w:p>
        </w:tc>
      </w:tr>
      <w:tr w14:paraId="444B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5215AA4">
            <w:r>
              <w:rPr>
                <w:rFonts w:hint="eastAsia"/>
              </w:rPr>
              <w:t>南方稳航120天滚动持有债券C</w:t>
            </w:r>
          </w:p>
        </w:tc>
        <w:tc>
          <w:tcPr>
            <w:tcW w:w="1186" w:type="dxa"/>
            <w:vAlign w:val="center"/>
          </w:tcPr>
          <w:p w14:paraId="1C0896A6">
            <w:pPr>
              <w:jc w:val="right"/>
            </w:pPr>
            <w:r>
              <w:rPr>
                <w:rFonts w:hint="eastAsia"/>
              </w:rPr>
              <w:t>2,518</w:t>
            </w:r>
          </w:p>
        </w:tc>
        <w:tc>
          <w:tcPr>
            <w:tcW w:w="1186" w:type="dxa"/>
            <w:vAlign w:val="center"/>
          </w:tcPr>
          <w:p w14:paraId="04580B88">
            <w:pPr>
              <w:jc w:val="right"/>
            </w:pPr>
            <w:r>
              <w:rPr>
                <w:rFonts w:hint="eastAsia"/>
              </w:rPr>
              <w:t>163,120.80</w:t>
            </w:r>
          </w:p>
        </w:tc>
        <w:tc>
          <w:tcPr>
            <w:tcW w:w="1186" w:type="dxa"/>
            <w:vAlign w:val="center"/>
          </w:tcPr>
          <w:p w14:paraId="4786DA38">
            <w:pPr>
              <w:jc w:val="right"/>
            </w:pPr>
            <w:r>
              <w:rPr>
                <w:rFonts w:hint="eastAsia"/>
              </w:rPr>
              <w:t>33,858,313.53</w:t>
            </w:r>
          </w:p>
        </w:tc>
        <w:tc>
          <w:tcPr>
            <w:tcW w:w="1186" w:type="dxa"/>
            <w:vAlign w:val="center"/>
          </w:tcPr>
          <w:p w14:paraId="6BC58D7E">
            <w:pPr>
              <w:jc w:val="right"/>
            </w:pPr>
            <w:r>
              <w:rPr>
                <w:rFonts w:hint="eastAsia"/>
              </w:rPr>
              <w:t>8.24%</w:t>
            </w:r>
          </w:p>
        </w:tc>
        <w:tc>
          <w:tcPr>
            <w:tcW w:w="1186" w:type="dxa"/>
            <w:vAlign w:val="center"/>
          </w:tcPr>
          <w:p w14:paraId="0A1B2D45">
            <w:pPr>
              <w:jc w:val="right"/>
            </w:pPr>
            <w:r>
              <w:rPr>
                <w:rFonts w:hint="eastAsia"/>
              </w:rPr>
              <w:t>376,879,860.67</w:t>
            </w:r>
          </w:p>
        </w:tc>
        <w:tc>
          <w:tcPr>
            <w:tcW w:w="1186" w:type="dxa"/>
            <w:vAlign w:val="center"/>
          </w:tcPr>
          <w:p w14:paraId="5AD90FE5">
            <w:pPr>
              <w:jc w:val="right"/>
            </w:pPr>
            <w:r>
              <w:rPr>
                <w:rFonts w:hint="eastAsia"/>
              </w:rPr>
              <w:t>91.76%</w:t>
            </w:r>
          </w:p>
        </w:tc>
      </w:tr>
      <w:tr w14:paraId="6E78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48BA5A0">
            <w:r>
              <w:rPr>
                <w:rFonts w:hint="eastAsia"/>
              </w:rPr>
              <w:t>合计</w:t>
            </w:r>
          </w:p>
        </w:tc>
        <w:tc>
          <w:tcPr>
            <w:tcW w:w="1186" w:type="dxa"/>
            <w:vAlign w:val="center"/>
          </w:tcPr>
          <w:p w14:paraId="7DE90EA1">
            <w:pPr>
              <w:jc w:val="right"/>
            </w:pPr>
            <w:r>
              <w:rPr>
                <w:rFonts w:hint="eastAsia"/>
              </w:rPr>
              <w:t>5,184</w:t>
            </w:r>
          </w:p>
        </w:tc>
        <w:tc>
          <w:tcPr>
            <w:tcW w:w="1186" w:type="dxa"/>
            <w:vAlign w:val="center"/>
          </w:tcPr>
          <w:p w14:paraId="7F9EF40A">
            <w:pPr>
              <w:jc w:val="right"/>
            </w:pPr>
            <w:r>
              <w:rPr>
                <w:rFonts w:hint="eastAsia"/>
              </w:rPr>
              <w:t>396,512.51</w:t>
            </w:r>
          </w:p>
        </w:tc>
        <w:tc>
          <w:tcPr>
            <w:tcW w:w="1186" w:type="dxa"/>
            <w:vAlign w:val="center"/>
          </w:tcPr>
          <w:p w14:paraId="39947A08">
            <w:pPr>
              <w:jc w:val="right"/>
            </w:pPr>
            <w:r>
              <w:rPr>
                <w:rFonts w:hint="eastAsia"/>
              </w:rPr>
              <w:t>233,755,735.51</w:t>
            </w:r>
          </w:p>
        </w:tc>
        <w:tc>
          <w:tcPr>
            <w:tcW w:w="1186" w:type="dxa"/>
            <w:vAlign w:val="center"/>
          </w:tcPr>
          <w:p w14:paraId="230390D2">
            <w:pPr>
              <w:jc w:val="right"/>
            </w:pPr>
            <w:r>
              <w:rPr>
                <w:rFonts w:hint="eastAsia"/>
              </w:rPr>
              <w:t>11.37%</w:t>
            </w:r>
          </w:p>
        </w:tc>
        <w:tc>
          <w:tcPr>
            <w:tcW w:w="1186" w:type="dxa"/>
            <w:vAlign w:val="center"/>
          </w:tcPr>
          <w:p w14:paraId="427F2264">
            <w:pPr>
              <w:jc w:val="right"/>
            </w:pPr>
            <w:r>
              <w:rPr>
                <w:rFonts w:hint="eastAsia"/>
              </w:rPr>
              <w:t>1,821,765,114.16</w:t>
            </w:r>
          </w:p>
        </w:tc>
        <w:tc>
          <w:tcPr>
            <w:tcW w:w="1186" w:type="dxa"/>
            <w:vAlign w:val="center"/>
          </w:tcPr>
          <w:p w14:paraId="7B0B0356">
            <w:pPr>
              <w:jc w:val="right"/>
            </w:pPr>
            <w:r>
              <w:rPr>
                <w:rFonts w:hint="eastAsia"/>
              </w:rPr>
              <w:t>88.63%</w:t>
            </w:r>
          </w:p>
        </w:tc>
      </w:tr>
    </w:tbl>
    <w:p w14:paraId="657875EE">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AC6B878">
      <w:pPr>
        <w:pStyle w:val="23"/>
      </w:pPr>
      <w:bookmarkStart w:id="179" w:name="_Toc14379"/>
      <w:r>
        <w:t>期末基金管理人的从业人员持有本基金的情况</w:t>
      </w:r>
      <w:bookmarkEnd w:id="179"/>
    </w:p>
    <w:p w14:paraId="23132BE7">
      <w:pPr>
        <w:pStyle w:val="18"/>
        <w:rPr>
          <w:rFonts w:hint="eastAsia"/>
        </w:rPr>
      </w:pPr>
      <w:r>
        <w:rPr>
          <w:rFonts w:hint="eastAsia"/>
        </w:rPr>
        <w:t>本公司的所有从业人员(包含高级管理人员、基金投资和研究部门负责人和本基金基金经理)均未持有本基金份额。</w:t>
      </w:r>
    </w:p>
    <w:p w14:paraId="2B3F9C6B">
      <w:pPr>
        <w:pStyle w:val="23"/>
      </w:pPr>
      <w:bookmarkStart w:id="180" w:name="_Toc26130"/>
      <w:r>
        <w:t>期末基金管理人的从业人员持有本开放式基金份额总量区间情况</w:t>
      </w:r>
      <w:bookmarkEnd w:id="180"/>
    </w:p>
    <w:p w14:paraId="7838785D">
      <w:pPr>
        <w:pStyle w:val="18"/>
        <w:rPr>
          <w:rFonts w:hint="eastAsia"/>
        </w:rPr>
      </w:pPr>
      <w:r>
        <w:rPr>
          <w:rFonts w:hint="eastAsia"/>
        </w:rPr>
        <w:t>本公司的高级管理人员、基金投资和研究部门负责人和本基金基金经理均未持有本基金份额。</w:t>
      </w:r>
    </w:p>
    <w:p w14:paraId="3679B4A4">
      <w:pPr>
        <w:pStyle w:val="26"/>
      </w:pPr>
      <w:bookmarkStart w:id="181" w:name="_Toc24301"/>
      <w:r>
        <w:t>开放式基金份额变动</w:t>
      </w:r>
      <w:bookmarkEnd w:id="181"/>
    </w:p>
    <w:p w14:paraId="30F9B33E">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09B99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8ED9307">
            <w:pPr>
              <w:jc w:val="center"/>
            </w:pPr>
            <w:r>
              <w:rPr>
                <w:rFonts w:hint="eastAsia"/>
                <w:b/>
              </w:rPr>
              <w:t>项目</w:t>
            </w:r>
          </w:p>
        </w:tc>
        <w:tc>
          <w:tcPr>
            <w:tcW w:w="1799" w:type="dxa"/>
            <w:shd w:val="clear" w:color="auto" w:fill="BFBFBF"/>
            <w:vAlign w:val="center"/>
          </w:tcPr>
          <w:p w14:paraId="195DE6AE">
            <w:pPr>
              <w:jc w:val="center"/>
            </w:pPr>
            <w:r>
              <w:rPr>
                <w:rFonts w:hint="eastAsia"/>
                <w:b/>
              </w:rPr>
              <w:t>南方稳航120天滚动持有债券A</w:t>
            </w:r>
          </w:p>
        </w:tc>
        <w:tc>
          <w:tcPr>
            <w:tcW w:w="1633" w:type="dxa"/>
            <w:shd w:val="clear" w:color="auto" w:fill="BFBFBF"/>
            <w:vAlign w:val="center"/>
          </w:tcPr>
          <w:p w14:paraId="4F14688B">
            <w:pPr>
              <w:jc w:val="center"/>
            </w:pPr>
            <w:r>
              <w:rPr>
                <w:rFonts w:hint="eastAsia"/>
                <w:b/>
              </w:rPr>
              <w:t>南方稳航120天滚动持有债券C</w:t>
            </w:r>
          </w:p>
        </w:tc>
      </w:tr>
      <w:tr w14:paraId="030F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702F17D">
            <w:r>
              <w:rPr>
                <w:rFonts w:hint="eastAsia"/>
              </w:rPr>
              <w:t>基金合同生效日(2025年9月16日)基金份额总额</w:t>
            </w:r>
          </w:p>
        </w:tc>
        <w:tc>
          <w:tcPr>
            <w:tcW w:w="1799" w:type="dxa"/>
            <w:vAlign w:val="center"/>
          </w:tcPr>
          <w:p w14:paraId="5656DA74">
            <w:pPr>
              <w:jc w:val="right"/>
            </w:pPr>
            <w:r>
              <w:rPr>
                <w:rFonts w:hint="eastAsia"/>
              </w:rPr>
              <w:t>1,644,782,675.47</w:t>
            </w:r>
          </w:p>
        </w:tc>
        <w:tc>
          <w:tcPr>
            <w:tcW w:w="1633" w:type="dxa"/>
            <w:vAlign w:val="center"/>
          </w:tcPr>
          <w:p w14:paraId="259BE28A">
            <w:pPr>
              <w:jc w:val="right"/>
            </w:pPr>
            <w:r>
              <w:rPr>
                <w:rFonts w:hint="eastAsia"/>
              </w:rPr>
              <w:t>410,738,174.20</w:t>
            </w:r>
          </w:p>
        </w:tc>
      </w:tr>
      <w:tr w14:paraId="30FD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E86F625">
            <w:r>
              <w:rPr>
                <w:rFonts w:hint="eastAsia"/>
              </w:rPr>
              <w:t>基金合同生效日起至报告期期末基金总申购份额</w:t>
            </w:r>
          </w:p>
        </w:tc>
        <w:tc>
          <w:tcPr>
            <w:tcW w:w="1799" w:type="dxa"/>
            <w:vAlign w:val="center"/>
          </w:tcPr>
          <w:p w14:paraId="4F271A31">
            <w:pPr>
              <w:jc w:val="right"/>
            </w:pPr>
            <w:r>
              <w:rPr>
                <w:rFonts w:hint="eastAsia"/>
              </w:rPr>
              <w:t>-</w:t>
            </w:r>
          </w:p>
        </w:tc>
        <w:tc>
          <w:tcPr>
            <w:tcW w:w="1633" w:type="dxa"/>
            <w:vAlign w:val="center"/>
          </w:tcPr>
          <w:p w14:paraId="30C8F3C7">
            <w:pPr>
              <w:jc w:val="right"/>
            </w:pPr>
            <w:r>
              <w:rPr>
                <w:rFonts w:hint="eastAsia"/>
              </w:rPr>
              <w:t>-</w:t>
            </w:r>
          </w:p>
        </w:tc>
      </w:tr>
      <w:tr w14:paraId="6505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C56D7BA">
            <w:r>
              <w:rPr>
                <w:rFonts w:hint="eastAsia"/>
              </w:rPr>
              <w:t>减：基金合同生效日起至报告期期末基金总赎回份额</w:t>
            </w:r>
          </w:p>
        </w:tc>
        <w:tc>
          <w:tcPr>
            <w:tcW w:w="1799" w:type="dxa"/>
            <w:vAlign w:val="center"/>
          </w:tcPr>
          <w:p w14:paraId="088AD419">
            <w:pPr>
              <w:jc w:val="right"/>
            </w:pPr>
            <w:r>
              <w:rPr>
                <w:rFonts w:hint="eastAsia"/>
              </w:rPr>
              <w:t>-</w:t>
            </w:r>
          </w:p>
        </w:tc>
        <w:tc>
          <w:tcPr>
            <w:tcW w:w="1633" w:type="dxa"/>
            <w:vAlign w:val="center"/>
          </w:tcPr>
          <w:p w14:paraId="389A0AA4">
            <w:pPr>
              <w:jc w:val="right"/>
            </w:pPr>
            <w:r>
              <w:rPr>
                <w:rFonts w:hint="eastAsia"/>
              </w:rPr>
              <w:t>-</w:t>
            </w:r>
          </w:p>
        </w:tc>
      </w:tr>
      <w:tr w14:paraId="3782D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47D2330">
            <w:r>
              <w:rPr>
                <w:rFonts w:hint="eastAsia"/>
              </w:rPr>
              <w:t>基金合同生效日起至报告期期末基金拆分变动份额</w:t>
            </w:r>
          </w:p>
        </w:tc>
        <w:tc>
          <w:tcPr>
            <w:tcW w:w="1799" w:type="dxa"/>
            <w:vAlign w:val="center"/>
          </w:tcPr>
          <w:p w14:paraId="0F34158F">
            <w:pPr>
              <w:jc w:val="right"/>
            </w:pPr>
            <w:r>
              <w:rPr>
                <w:rFonts w:hint="eastAsia"/>
              </w:rPr>
              <w:t>-</w:t>
            </w:r>
          </w:p>
        </w:tc>
        <w:tc>
          <w:tcPr>
            <w:tcW w:w="1633" w:type="dxa"/>
            <w:vAlign w:val="center"/>
          </w:tcPr>
          <w:p w14:paraId="72AF0C8B">
            <w:pPr>
              <w:jc w:val="right"/>
            </w:pPr>
            <w:r>
              <w:rPr>
                <w:rFonts w:hint="eastAsia"/>
              </w:rPr>
              <w:t>-</w:t>
            </w:r>
          </w:p>
        </w:tc>
      </w:tr>
      <w:tr w14:paraId="49A5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D1E5FF6">
            <w:r>
              <w:rPr>
                <w:rFonts w:hint="eastAsia"/>
              </w:rPr>
              <w:t>本报告期期末基金份额总额</w:t>
            </w:r>
          </w:p>
        </w:tc>
        <w:tc>
          <w:tcPr>
            <w:tcW w:w="1799" w:type="dxa"/>
            <w:vAlign w:val="center"/>
          </w:tcPr>
          <w:p w14:paraId="74AA9A0F">
            <w:pPr>
              <w:jc w:val="right"/>
            </w:pPr>
            <w:r>
              <w:rPr>
                <w:rFonts w:hint="eastAsia"/>
              </w:rPr>
              <w:t>1,644,782,675.47</w:t>
            </w:r>
          </w:p>
        </w:tc>
        <w:tc>
          <w:tcPr>
            <w:tcW w:w="1633" w:type="dxa"/>
            <w:vAlign w:val="center"/>
          </w:tcPr>
          <w:p w14:paraId="1C239A2B">
            <w:pPr>
              <w:jc w:val="right"/>
            </w:pPr>
            <w:r>
              <w:rPr>
                <w:rFonts w:hint="eastAsia"/>
              </w:rPr>
              <w:t>410,738,174.20</w:t>
            </w:r>
          </w:p>
        </w:tc>
      </w:tr>
    </w:tbl>
    <w:p w14:paraId="65B359AD">
      <w:pPr>
        <w:pStyle w:val="26"/>
      </w:pPr>
      <w:bookmarkStart w:id="182" w:name="_Toc8092"/>
      <w:r>
        <w:t>重大事件揭示</w:t>
      </w:r>
      <w:bookmarkEnd w:id="182"/>
    </w:p>
    <w:p w14:paraId="5C52944A">
      <w:pPr>
        <w:pStyle w:val="23"/>
      </w:pPr>
      <w:bookmarkStart w:id="183" w:name="_Toc765"/>
      <w:r>
        <w:t>基金份额持有人大会决议</w:t>
      </w:r>
      <w:bookmarkEnd w:id="183"/>
    </w:p>
    <w:p w14:paraId="182DD498">
      <w:pPr>
        <w:pStyle w:val="18"/>
        <w:rPr>
          <w:rFonts w:hint="eastAsia"/>
        </w:rPr>
      </w:pPr>
      <w:r>
        <w:rPr>
          <w:rFonts w:hint="eastAsia"/>
        </w:rPr>
        <w:t>本报告期本基金无基金份额持有人大会决议。</w:t>
      </w:r>
    </w:p>
    <w:p w14:paraId="286F96B7">
      <w:pPr>
        <w:pStyle w:val="23"/>
      </w:pPr>
      <w:r>
        <w:t xml:space="preserve"> </w:t>
      </w:r>
      <w:bookmarkStart w:id="184" w:name="_Toc13050"/>
      <w:r>
        <w:t>基金管理人、基金托管人的专门基金托管部门的重大人事变动</w:t>
      </w:r>
      <w:bookmarkEnd w:id="184"/>
    </w:p>
    <w:p w14:paraId="0C06680D">
      <w:pPr>
        <w:pStyle w:val="18"/>
        <w:rPr>
          <w:rFonts w:hint="eastAsia"/>
        </w:rPr>
      </w:pPr>
      <w:r>
        <w:rPr>
          <w:rFonts w:hint="eastAsia"/>
        </w:rPr>
        <w:t>本报告期内，本基金的基金管理人未发生重大人事变动。</w:t>
      </w:r>
    </w:p>
    <w:p w14:paraId="4F34F7FC">
      <w:pPr>
        <w:pStyle w:val="18"/>
        <w:rPr>
          <w:rFonts w:hint="eastAsia"/>
        </w:rPr>
      </w:pPr>
      <w:r>
        <w:rPr>
          <w:rFonts w:hint="eastAsia"/>
        </w:rPr>
        <w:t>2025年2月，中国农业银行总行决定陈振华任托管业务部副总裁。</w:t>
      </w:r>
    </w:p>
    <w:p w14:paraId="242FE5C4">
      <w:pPr>
        <w:pStyle w:val="18"/>
        <w:rPr>
          <w:rFonts w:hint="eastAsia"/>
        </w:rPr>
      </w:pPr>
      <w:r>
        <w:rPr>
          <w:rFonts w:hint="eastAsia"/>
        </w:rPr>
        <w:t>2025年3月，中国农业银行总行决定常佳任托管业务部副总裁。</w:t>
      </w:r>
    </w:p>
    <w:p w14:paraId="56B6B0EA">
      <w:pPr>
        <w:pStyle w:val="18"/>
        <w:rPr>
          <w:rFonts w:hint="eastAsia"/>
        </w:rPr>
      </w:pPr>
      <w:r>
        <w:rPr>
          <w:rFonts w:hint="eastAsia"/>
        </w:rPr>
        <w:t>2025年4月，中国农业银行总行决定李亚红任托管业务部高级专家。</w:t>
      </w:r>
    </w:p>
    <w:p w14:paraId="68E88929">
      <w:pPr>
        <w:pStyle w:val="18"/>
        <w:rPr>
          <w:rFonts w:hint="eastAsia"/>
        </w:rPr>
      </w:pPr>
      <w:r>
        <w:rPr>
          <w:rFonts w:hint="eastAsia"/>
        </w:rPr>
        <w:t>2025年9月，中国农业银行总行决定蔡崎峰任托管业务部总裁。</w:t>
      </w:r>
    </w:p>
    <w:p w14:paraId="29C4ED8E">
      <w:pPr>
        <w:pStyle w:val="23"/>
      </w:pPr>
      <w:r>
        <w:t xml:space="preserve"> </w:t>
      </w:r>
      <w:bookmarkStart w:id="185" w:name="_Toc30035"/>
      <w:r>
        <w:t>涉及基金管理人、基金财产、基金托管业务的诉讼</w:t>
      </w:r>
      <w:bookmarkEnd w:id="185"/>
    </w:p>
    <w:p w14:paraId="431B6A68">
      <w:pPr>
        <w:pStyle w:val="18"/>
        <w:rPr>
          <w:rFonts w:hint="eastAsia"/>
        </w:rPr>
      </w:pPr>
      <w:r>
        <w:rPr>
          <w:rFonts w:hint="eastAsia"/>
        </w:rPr>
        <w:t>本报告期内，无涉及基金管理人主营业务的诉讼。</w:t>
      </w:r>
    </w:p>
    <w:p w14:paraId="13A5D996">
      <w:pPr>
        <w:pStyle w:val="18"/>
        <w:rPr>
          <w:rFonts w:hint="eastAsia"/>
        </w:rPr>
      </w:pPr>
      <w:r>
        <w:rPr>
          <w:rFonts w:hint="eastAsia"/>
        </w:rPr>
        <w:t>本报告期内无涉及基金财产的诉讼事项。</w:t>
      </w:r>
    </w:p>
    <w:p w14:paraId="154C2569">
      <w:pPr>
        <w:pStyle w:val="18"/>
        <w:rPr>
          <w:rFonts w:hint="eastAsia"/>
        </w:rPr>
      </w:pPr>
      <w:r>
        <w:rPr>
          <w:rFonts w:hint="eastAsia"/>
        </w:rPr>
        <w:t>本报告期内无涉及基金托管业务的诉讼事项。</w:t>
      </w:r>
    </w:p>
    <w:p w14:paraId="48819F78">
      <w:pPr>
        <w:pStyle w:val="23"/>
      </w:pPr>
      <w:bookmarkStart w:id="186" w:name="_Toc21835"/>
      <w:r>
        <w:t>基金投资策略的改变</w:t>
      </w:r>
      <w:bookmarkEnd w:id="186"/>
    </w:p>
    <w:p w14:paraId="7BFB038B">
      <w:pPr>
        <w:pStyle w:val="18"/>
        <w:rPr>
          <w:rFonts w:hint="eastAsia"/>
        </w:rPr>
      </w:pPr>
      <w:r>
        <w:rPr>
          <w:rFonts w:hint="eastAsia"/>
        </w:rPr>
        <w:t>本报告期内本基金的投资策略未有重大变化。</w:t>
      </w:r>
    </w:p>
    <w:p w14:paraId="11E142BD">
      <w:pPr>
        <w:pStyle w:val="23"/>
      </w:pPr>
      <w:bookmarkStart w:id="187" w:name="_Toc9865"/>
      <w:r>
        <w:t>为基金进行审计的会计师事务所情况</w:t>
      </w:r>
      <w:bookmarkEnd w:id="187"/>
    </w:p>
    <w:p w14:paraId="611681D7">
      <w:pPr>
        <w:pStyle w:val="18"/>
        <w:rPr>
          <w:rFonts w:hint="eastAsia"/>
        </w:rPr>
      </w:pPr>
      <w:r>
        <w:rPr>
          <w:rFonts w:hint="eastAsia"/>
        </w:rPr>
        <w:t>本报告期本基金的审计事务所无变化；目前容诚会计师事务所（特殊普通合伙）已为本基金提供审计服务1年，本报告期应支付给容诚会计师事务所（特殊普通合伙）的报酬为人民币64,000.00元。</w:t>
      </w:r>
    </w:p>
    <w:p w14:paraId="5696DB04">
      <w:pPr>
        <w:pStyle w:val="23"/>
      </w:pPr>
      <w:bookmarkStart w:id="188" w:name="_Toc27856"/>
      <w:r>
        <w:t>管理人、托管人及相关从业人员受调查或处罚等情况</w:t>
      </w:r>
      <w:bookmarkEnd w:id="188"/>
    </w:p>
    <w:p w14:paraId="22D28483">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8666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BA523F6">
            <w:pPr>
              <w:jc w:val="center"/>
            </w:pPr>
            <w:r>
              <w:rPr>
                <w:rFonts w:hint="eastAsia"/>
                <w:b/>
              </w:rPr>
              <w:t>管理人受调查或处罚等情况</w:t>
            </w:r>
          </w:p>
        </w:tc>
        <w:tc>
          <w:tcPr>
            <w:tcW w:w="4153" w:type="dxa"/>
            <w:shd w:val="clear" w:color="auto" w:fill="BFBFBF"/>
            <w:vAlign w:val="center"/>
          </w:tcPr>
          <w:p w14:paraId="589A457A">
            <w:pPr>
              <w:jc w:val="center"/>
            </w:pPr>
            <w:r>
              <w:rPr>
                <w:rFonts w:hint="eastAsia"/>
                <w:b/>
              </w:rPr>
              <w:t>内容</w:t>
            </w:r>
          </w:p>
        </w:tc>
      </w:tr>
      <w:tr w14:paraId="325D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C6A19A">
            <w:r>
              <w:rPr>
                <w:rFonts w:hint="eastAsia"/>
              </w:rPr>
              <w:t>受到调查或处罚等措施的主体</w:t>
            </w:r>
          </w:p>
        </w:tc>
        <w:tc>
          <w:tcPr>
            <w:tcW w:w="4153" w:type="dxa"/>
            <w:vAlign w:val="center"/>
          </w:tcPr>
          <w:p w14:paraId="41142ECD">
            <w:r>
              <w:rPr>
                <w:rFonts w:hint="eastAsia"/>
              </w:rPr>
              <w:t>管理人</w:t>
            </w:r>
          </w:p>
        </w:tc>
      </w:tr>
      <w:tr w14:paraId="79C7D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486FE7">
            <w:r>
              <w:rPr>
                <w:rFonts w:hint="eastAsia"/>
              </w:rPr>
              <w:t>受到调查或处罚等措施的时间</w:t>
            </w:r>
          </w:p>
        </w:tc>
        <w:tc>
          <w:tcPr>
            <w:tcW w:w="4153" w:type="dxa"/>
            <w:vAlign w:val="center"/>
          </w:tcPr>
          <w:p w14:paraId="186B2249">
            <w:pPr>
              <w:rPr>
                <w:rFonts w:hint="eastAsia"/>
              </w:rPr>
            </w:pPr>
            <w:r>
              <w:rPr>
                <w:rFonts w:hint="eastAsia"/>
              </w:rPr>
              <w:t>2025-10-17；
</w:t>
            </w:r>
            <w:r>
              <w:rPr>
                <w:rFonts w:hint="eastAsia"/>
              </w:rPr>
              <w:br w:type="textWrapping"/>
            </w:r>
            <w:r>
              <w:rPr>
                <w:rFonts w:hint="eastAsia"/>
              </w:rPr>
              <w:t>2025-11-18</w:t>
            </w:r>
          </w:p>
        </w:tc>
      </w:tr>
      <w:tr w14:paraId="2C454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093B69">
            <w:r>
              <w:rPr>
                <w:rFonts w:hint="eastAsia"/>
              </w:rPr>
              <w:t>采取调查或处罚等措施的机构</w:t>
            </w:r>
          </w:p>
        </w:tc>
        <w:tc>
          <w:tcPr>
            <w:tcW w:w="4153" w:type="dxa"/>
            <w:vAlign w:val="center"/>
          </w:tcPr>
          <w:p w14:paraId="6B13B68A">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241E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B25485">
            <w:r>
              <w:rPr>
                <w:rFonts w:hint="eastAsia"/>
              </w:rPr>
              <w:t>受到调查或处罚等措施类型</w:t>
            </w:r>
          </w:p>
        </w:tc>
        <w:tc>
          <w:tcPr>
            <w:tcW w:w="4153" w:type="dxa"/>
            <w:vAlign w:val="center"/>
          </w:tcPr>
          <w:p w14:paraId="28688686">
            <w:pPr>
              <w:rPr>
                <w:rFonts w:hint="eastAsia"/>
              </w:rPr>
            </w:pPr>
            <w:r>
              <w:rPr>
                <w:rFonts w:hint="eastAsia"/>
              </w:rPr>
              <w:t>行政监管措施；
</w:t>
            </w:r>
            <w:r>
              <w:rPr>
                <w:rFonts w:hint="eastAsia"/>
              </w:rPr>
              <w:br w:type="textWrapping"/>
            </w:r>
            <w:r>
              <w:rPr>
                <w:rFonts w:hint="eastAsia"/>
              </w:rPr>
              <w:t>行政处罚</w:t>
            </w:r>
          </w:p>
        </w:tc>
      </w:tr>
      <w:tr w14:paraId="10F73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AD1273">
            <w:r>
              <w:rPr>
                <w:rFonts w:hint="eastAsia"/>
              </w:rPr>
              <w:t>受到的具体措施类型</w:t>
            </w:r>
          </w:p>
        </w:tc>
        <w:tc>
          <w:tcPr>
            <w:tcW w:w="4153" w:type="dxa"/>
            <w:vAlign w:val="center"/>
          </w:tcPr>
          <w:p w14:paraId="00A36A61">
            <w:pPr>
              <w:rPr>
                <w:rFonts w:hint="eastAsia"/>
              </w:rPr>
            </w:pPr>
            <w:r>
              <w:rPr>
                <w:rFonts w:hint="eastAsia"/>
              </w:rPr>
              <w:t>责令改正；
</w:t>
            </w:r>
            <w:r>
              <w:rPr>
                <w:rFonts w:hint="eastAsia"/>
              </w:rPr>
              <w:br w:type="textWrapping"/>
            </w:r>
            <w:r>
              <w:rPr>
                <w:rFonts w:hint="eastAsia"/>
              </w:rPr>
              <w:t>警告、罚款</w:t>
            </w:r>
          </w:p>
        </w:tc>
      </w:tr>
      <w:tr w14:paraId="5B48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B2A37D">
            <w:r>
              <w:rPr>
                <w:rFonts w:hint="eastAsia"/>
              </w:rPr>
              <w:t>受到调查或处罚等措施的原因</w:t>
            </w:r>
          </w:p>
        </w:tc>
        <w:tc>
          <w:tcPr>
            <w:tcW w:w="4153" w:type="dxa"/>
            <w:vAlign w:val="center"/>
          </w:tcPr>
          <w:p w14:paraId="54DC1C6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4DB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67D7E5">
            <w:r>
              <w:rPr>
                <w:rFonts w:hint="eastAsia"/>
              </w:rPr>
              <w:t>受到处罚的依据</w:t>
            </w:r>
          </w:p>
        </w:tc>
        <w:tc>
          <w:tcPr>
            <w:tcW w:w="4153" w:type="dxa"/>
            <w:vAlign w:val="center"/>
          </w:tcPr>
          <w:p w14:paraId="2FDD04A5">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9C4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C392EC">
            <w:r>
              <w:rPr>
                <w:rFonts w:hint="eastAsia"/>
              </w:rPr>
              <w:t>管理人采取整改措施的情况</w:t>
            </w:r>
          </w:p>
        </w:tc>
        <w:tc>
          <w:tcPr>
            <w:tcW w:w="4153" w:type="dxa"/>
            <w:vAlign w:val="center"/>
          </w:tcPr>
          <w:p w14:paraId="5ADE84B6">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9EB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930880">
            <w:r>
              <w:rPr>
                <w:rFonts w:hint="eastAsia"/>
              </w:rPr>
              <w:t>其他</w:t>
            </w:r>
          </w:p>
        </w:tc>
        <w:tc>
          <w:tcPr>
            <w:tcW w:w="4153" w:type="dxa"/>
            <w:vAlign w:val="center"/>
          </w:tcPr>
          <w:p w14:paraId="3F08E670">
            <w:r>
              <w:rPr>
                <w:rFonts w:hint="eastAsia"/>
              </w:rPr>
              <w:t>-</w:t>
            </w:r>
          </w:p>
        </w:tc>
      </w:tr>
    </w:tbl>
    <w:p w14:paraId="4273C828">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265F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shd w:val="clear" w:color="auto" w:fill="BFBFBF"/>
            <w:vAlign w:val="center"/>
          </w:tcPr>
          <w:p w14:paraId="583A4FC0">
            <w:pPr>
              <w:jc w:val="center"/>
            </w:pPr>
            <w:r>
              <w:rPr>
                <w:rFonts w:hint="eastAsia"/>
                <w:b/>
              </w:rPr>
              <w:t>管理人相关从业人员受调查或处罚等情况</w:t>
            </w:r>
          </w:p>
        </w:tc>
        <w:tc>
          <w:tcPr>
            <w:tcW w:w="4153" w:type="dxa"/>
            <w:shd w:val="clear" w:color="auto" w:fill="BFBFBF"/>
            <w:vAlign w:val="center"/>
          </w:tcPr>
          <w:p w14:paraId="67E876BA">
            <w:pPr>
              <w:jc w:val="center"/>
            </w:pPr>
            <w:r>
              <w:rPr>
                <w:rFonts w:hint="eastAsia"/>
                <w:b/>
              </w:rPr>
              <w:t>内容</w:t>
            </w:r>
          </w:p>
        </w:tc>
      </w:tr>
      <w:tr w14:paraId="0B1BF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903DE6">
            <w:r>
              <w:rPr>
                <w:rFonts w:hint="eastAsia"/>
              </w:rPr>
              <w:t>受到调查或处罚等措施的主体</w:t>
            </w:r>
          </w:p>
        </w:tc>
        <w:tc>
          <w:tcPr>
            <w:tcW w:w="4153" w:type="dxa"/>
            <w:vAlign w:val="center"/>
          </w:tcPr>
          <w:p w14:paraId="7599CEC5">
            <w:r>
              <w:rPr>
                <w:rFonts w:hint="eastAsia"/>
              </w:rPr>
              <w:t>高级管理人员</w:t>
            </w:r>
          </w:p>
        </w:tc>
      </w:tr>
      <w:tr w14:paraId="0EB5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DE5005">
            <w:r>
              <w:rPr>
                <w:rFonts w:hint="eastAsia"/>
              </w:rPr>
              <w:t>受到调查或处罚等措施的时间</w:t>
            </w:r>
          </w:p>
        </w:tc>
        <w:tc>
          <w:tcPr>
            <w:tcW w:w="4153" w:type="dxa"/>
            <w:vAlign w:val="center"/>
          </w:tcPr>
          <w:p w14:paraId="5252B769">
            <w:r>
              <w:rPr>
                <w:rFonts w:hint="eastAsia"/>
              </w:rPr>
              <w:t>2025-10-17</w:t>
            </w:r>
          </w:p>
        </w:tc>
      </w:tr>
      <w:tr w14:paraId="7CA4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59A381">
            <w:r>
              <w:rPr>
                <w:rFonts w:hint="eastAsia"/>
              </w:rPr>
              <w:t>采取调查或处罚等措施的机构</w:t>
            </w:r>
          </w:p>
        </w:tc>
        <w:tc>
          <w:tcPr>
            <w:tcW w:w="4153" w:type="dxa"/>
            <w:vAlign w:val="center"/>
          </w:tcPr>
          <w:p w14:paraId="6ED9F973">
            <w:r>
              <w:rPr>
                <w:rFonts w:hint="eastAsia"/>
              </w:rPr>
              <w:t>中国证监会深圳监管局</w:t>
            </w:r>
          </w:p>
        </w:tc>
      </w:tr>
      <w:tr w14:paraId="7D47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B7D74B">
            <w:r>
              <w:rPr>
                <w:rFonts w:hint="eastAsia"/>
              </w:rPr>
              <w:t>受到调查或处罚等措施类型</w:t>
            </w:r>
          </w:p>
        </w:tc>
        <w:tc>
          <w:tcPr>
            <w:tcW w:w="4153" w:type="dxa"/>
            <w:vAlign w:val="center"/>
          </w:tcPr>
          <w:p w14:paraId="1F424483">
            <w:r>
              <w:rPr>
                <w:rFonts w:hint="eastAsia"/>
              </w:rPr>
              <w:t>行政监管措施</w:t>
            </w:r>
          </w:p>
        </w:tc>
      </w:tr>
      <w:tr w14:paraId="51D9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7D041C">
            <w:r>
              <w:rPr>
                <w:rFonts w:hint="eastAsia"/>
              </w:rPr>
              <w:t>受到的具体措施类型</w:t>
            </w:r>
          </w:p>
        </w:tc>
        <w:tc>
          <w:tcPr>
            <w:tcW w:w="4153" w:type="dxa"/>
            <w:vAlign w:val="center"/>
          </w:tcPr>
          <w:p w14:paraId="7465D8B2">
            <w:r>
              <w:rPr>
                <w:rFonts w:hint="eastAsia"/>
              </w:rPr>
              <w:t>出具警示函</w:t>
            </w:r>
          </w:p>
        </w:tc>
      </w:tr>
      <w:tr w14:paraId="46F0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882ECC">
            <w:r>
              <w:rPr>
                <w:rFonts w:hint="eastAsia"/>
              </w:rPr>
              <w:t>受到调查或处罚等措施的原因</w:t>
            </w:r>
          </w:p>
        </w:tc>
        <w:tc>
          <w:tcPr>
            <w:tcW w:w="4153" w:type="dxa"/>
            <w:vAlign w:val="center"/>
          </w:tcPr>
          <w:p w14:paraId="623D5B0C">
            <w:r>
              <w:rPr>
                <w:rFonts w:hint="eastAsia"/>
              </w:rPr>
              <w:t>人员管理、其他问题(销售管理)</w:t>
            </w:r>
          </w:p>
        </w:tc>
      </w:tr>
      <w:tr w14:paraId="40D7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AAE720">
            <w:r>
              <w:rPr>
                <w:rFonts w:hint="eastAsia"/>
              </w:rPr>
              <w:t>受到处罚的依据</w:t>
            </w:r>
          </w:p>
        </w:tc>
        <w:tc>
          <w:tcPr>
            <w:tcW w:w="4153" w:type="dxa"/>
            <w:vAlign w:val="center"/>
          </w:tcPr>
          <w:p w14:paraId="1B1C7B7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F00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47AF64">
            <w:r>
              <w:rPr>
                <w:rFonts w:hint="eastAsia"/>
              </w:rPr>
              <w:t>管理人采取整改措施的情况（如提出整改意见）</w:t>
            </w:r>
          </w:p>
        </w:tc>
        <w:tc>
          <w:tcPr>
            <w:tcW w:w="4153" w:type="dxa"/>
            <w:vAlign w:val="center"/>
          </w:tcPr>
          <w:p w14:paraId="0AD4DB9D">
            <w:r>
              <w:rPr>
                <w:rFonts w:hint="eastAsia"/>
              </w:rPr>
              <w:t>截至报告期末公司已通过完善制度、优化流程等整改措施完成整改，整改成果已经中国证监会深圳监管局验收通过</w:t>
            </w:r>
          </w:p>
        </w:tc>
      </w:tr>
      <w:tr w14:paraId="7158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ED96D2">
            <w:r>
              <w:rPr>
                <w:rFonts w:hint="eastAsia"/>
              </w:rPr>
              <w:t>其他</w:t>
            </w:r>
          </w:p>
        </w:tc>
        <w:tc>
          <w:tcPr>
            <w:tcW w:w="4153" w:type="dxa"/>
            <w:vAlign w:val="center"/>
          </w:tcPr>
          <w:p w14:paraId="0366385B">
            <w:pPr>
              <w:jc w:val="right"/>
            </w:pPr>
            <w:r>
              <w:rPr>
                <w:rFonts w:hint="eastAsia"/>
              </w:rPr>
              <w:t>-</w:t>
            </w:r>
          </w:p>
        </w:tc>
      </w:tr>
    </w:tbl>
    <w:p w14:paraId="3111CFCB">
      <w:pPr>
        <w:pStyle w:val="28"/>
      </w:pPr>
      <w:bookmarkStart w:id="191" w:name="_Toc191"/>
      <w:r>
        <w:t>托管人受调查或处罚等情况</w:t>
      </w:r>
      <w:bookmarkEnd w:id="191"/>
    </w:p>
    <w:p w14:paraId="0B6F44BD">
      <w:pPr>
        <w:pStyle w:val="18"/>
        <w:rPr>
          <w:rFonts w:hint="eastAsia"/>
        </w:rPr>
      </w:pPr>
      <w:r>
        <w:rPr>
          <w:rFonts w:hint="eastAsia"/>
        </w:rPr>
        <w:t>无。</w:t>
      </w:r>
    </w:p>
    <w:p w14:paraId="7D9F28B3">
      <w:pPr>
        <w:pStyle w:val="28"/>
      </w:pPr>
      <w:bookmarkStart w:id="192" w:name="_Toc192"/>
      <w:r>
        <w:t>托管人相关从业人员受调查或处罚等情况</w:t>
      </w:r>
      <w:bookmarkEnd w:id="192"/>
    </w:p>
    <w:p w14:paraId="796A041B">
      <w:pPr>
        <w:pStyle w:val="18"/>
        <w:rPr>
          <w:rFonts w:hint="eastAsia"/>
        </w:rPr>
      </w:pPr>
      <w:r>
        <w:rPr>
          <w:rFonts w:hint="eastAsia"/>
        </w:rPr>
        <w:t>无。</w:t>
      </w:r>
    </w:p>
    <w:p w14:paraId="4313CB86">
      <w:pPr>
        <w:pStyle w:val="23"/>
      </w:pPr>
      <w:bookmarkStart w:id="193" w:name="_Toc933"/>
      <w:r>
        <w:t>基金租用证券公司交易单元的有关情况</w:t>
      </w:r>
      <w:bookmarkEnd w:id="193"/>
    </w:p>
    <w:p w14:paraId="341CFDC9">
      <w:pPr>
        <w:pStyle w:val="28"/>
      </w:pPr>
      <w:bookmarkStart w:id="194" w:name="_Toc194"/>
      <w:r>
        <w:t>基金租用证券公司交易单元进行股票投资及佣金支付情况</w:t>
      </w:r>
      <w:bookmarkEnd w:id="194"/>
    </w:p>
    <w:p w14:paraId="4CF77E7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E42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C43D954">
            <w:pPr>
              <w:jc w:val="center"/>
            </w:pPr>
            <w:r>
              <w:rPr>
                <w:rFonts w:hint="eastAsia"/>
                <w:b/>
              </w:rPr>
              <w:t>券商名称</w:t>
            </w:r>
          </w:p>
        </w:tc>
        <w:tc>
          <w:tcPr>
            <w:tcW w:w="775" w:type="dxa"/>
            <w:vMerge w:val="restart"/>
            <w:shd w:val="clear" w:color="auto" w:fill="BFBFBF"/>
            <w:vAlign w:val="center"/>
          </w:tcPr>
          <w:p w14:paraId="2765B801">
            <w:pPr>
              <w:jc w:val="center"/>
            </w:pPr>
            <w:r>
              <w:rPr>
                <w:rFonts w:hint="eastAsia"/>
                <w:b/>
              </w:rPr>
              <w:t>交易单元数量</w:t>
            </w:r>
          </w:p>
        </w:tc>
        <w:tc>
          <w:tcPr>
            <w:tcW w:w="1699" w:type="dxa"/>
            <w:gridSpan w:val="2"/>
            <w:shd w:val="clear" w:color="auto" w:fill="BFBFBF"/>
            <w:vAlign w:val="center"/>
          </w:tcPr>
          <w:p w14:paraId="097D1BB8">
            <w:pPr>
              <w:jc w:val="center"/>
            </w:pPr>
            <w:r>
              <w:rPr>
                <w:rFonts w:hint="eastAsia"/>
                <w:b/>
              </w:rPr>
              <w:t>股票交易</w:t>
            </w:r>
          </w:p>
        </w:tc>
        <w:tc>
          <w:tcPr>
            <w:tcW w:w="1312" w:type="dxa"/>
            <w:gridSpan w:val="2"/>
            <w:shd w:val="clear" w:color="auto" w:fill="BFBFBF"/>
            <w:vAlign w:val="center"/>
          </w:tcPr>
          <w:p w14:paraId="0FD54911">
            <w:pPr>
              <w:jc w:val="center"/>
            </w:pPr>
            <w:r>
              <w:rPr>
                <w:rFonts w:hint="eastAsia"/>
                <w:b/>
              </w:rPr>
              <w:t>应支付该券商的佣金</w:t>
            </w:r>
          </w:p>
        </w:tc>
        <w:tc>
          <w:tcPr>
            <w:tcW w:w="946" w:type="dxa"/>
            <w:vMerge w:val="restart"/>
            <w:shd w:val="clear" w:color="auto" w:fill="BFBFBF"/>
            <w:vAlign w:val="center"/>
          </w:tcPr>
          <w:p w14:paraId="16F494C2">
            <w:pPr>
              <w:jc w:val="center"/>
            </w:pPr>
            <w:r>
              <w:rPr>
                <w:rFonts w:hint="eastAsia"/>
                <w:b/>
              </w:rPr>
              <w:t>备注</w:t>
            </w:r>
          </w:p>
        </w:tc>
      </w:tr>
      <w:tr w14:paraId="4701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F1FA364"/>
        </w:tc>
        <w:tc>
          <w:tcPr>
            <w:tcW w:w="775" w:type="dxa"/>
            <w:vMerge w:val="continue"/>
            <w:vAlign w:val="center"/>
          </w:tcPr>
          <w:p w14:paraId="2F498066"/>
        </w:tc>
        <w:tc>
          <w:tcPr>
            <w:tcW w:w="1699" w:type="dxa"/>
            <w:shd w:val="clear" w:color="auto" w:fill="BFBFBF"/>
            <w:vAlign w:val="center"/>
          </w:tcPr>
          <w:p w14:paraId="7921C6AE">
            <w:pPr>
              <w:jc w:val="center"/>
            </w:pPr>
            <w:r>
              <w:rPr>
                <w:rFonts w:hint="eastAsia"/>
                <w:b/>
              </w:rPr>
              <w:t>成交金额</w:t>
            </w:r>
          </w:p>
        </w:tc>
        <w:tc>
          <w:tcPr>
            <w:tcW w:w="1201" w:type="dxa"/>
            <w:shd w:val="clear" w:color="auto" w:fill="BFBFBF"/>
            <w:vAlign w:val="center"/>
          </w:tcPr>
          <w:p w14:paraId="5051BB53">
            <w:pPr>
              <w:jc w:val="center"/>
            </w:pPr>
            <w:r>
              <w:rPr>
                <w:rFonts w:hint="eastAsia"/>
                <w:b/>
              </w:rPr>
              <w:t>占当期股票成交总额的比例</w:t>
            </w:r>
          </w:p>
        </w:tc>
        <w:tc>
          <w:tcPr>
            <w:tcW w:w="1312" w:type="dxa"/>
            <w:shd w:val="clear" w:color="auto" w:fill="BFBFBF"/>
            <w:vAlign w:val="center"/>
          </w:tcPr>
          <w:p w14:paraId="1F51473E">
            <w:pPr>
              <w:jc w:val="center"/>
            </w:pPr>
            <w:r>
              <w:rPr>
                <w:rFonts w:hint="eastAsia"/>
                <w:b/>
              </w:rPr>
              <w:t>佣金</w:t>
            </w:r>
          </w:p>
        </w:tc>
        <w:tc>
          <w:tcPr>
            <w:tcW w:w="1256" w:type="dxa"/>
            <w:shd w:val="clear" w:color="auto" w:fill="BFBFBF"/>
            <w:vAlign w:val="center"/>
          </w:tcPr>
          <w:p w14:paraId="0EAD8609">
            <w:pPr>
              <w:jc w:val="center"/>
            </w:pPr>
            <w:r>
              <w:rPr>
                <w:rFonts w:hint="eastAsia"/>
                <w:b/>
              </w:rPr>
              <w:t>占当期佣金总量的比例</w:t>
            </w:r>
          </w:p>
        </w:tc>
        <w:tc>
          <w:tcPr>
            <w:tcW w:w="946" w:type="dxa"/>
            <w:vMerge w:val="continue"/>
            <w:vAlign w:val="center"/>
          </w:tcPr>
          <w:p w14:paraId="72760444"/>
        </w:tc>
      </w:tr>
      <w:tr w14:paraId="536B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AB52A00">
            <w:r>
              <w:rPr>
                <w:rFonts w:hint="eastAsia"/>
              </w:rPr>
              <w:t>广发证券</w:t>
            </w:r>
          </w:p>
        </w:tc>
        <w:tc>
          <w:tcPr>
            <w:tcW w:w="775" w:type="dxa"/>
            <w:vAlign w:val="center"/>
          </w:tcPr>
          <w:p w14:paraId="5DD49AAF">
            <w:pPr>
              <w:jc w:val="right"/>
            </w:pPr>
            <w:r>
              <w:rPr>
                <w:rFonts w:hint="eastAsia"/>
              </w:rPr>
              <w:t>1</w:t>
            </w:r>
          </w:p>
        </w:tc>
        <w:tc>
          <w:tcPr>
            <w:tcW w:w="1699" w:type="dxa"/>
            <w:vAlign w:val="center"/>
          </w:tcPr>
          <w:p w14:paraId="488C4592">
            <w:pPr>
              <w:jc w:val="right"/>
            </w:pPr>
            <w:r>
              <w:rPr>
                <w:rFonts w:hint="eastAsia"/>
              </w:rPr>
              <w:t>-</w:t>
            </w:r>
          </w:p>
        </w:tc>
        <w:tc>
          <w:tcPr>
            <w:tcW w:w="1201" w:type="dxa"/>
            <w:vAlign w:val="center"/>
          </w:tcPr>
          <w:p w14:paraId="1AE610DA">
            <w:pPr>
              <w:jc w:val="right"/>
            </w:pPr>
            <w:r>
              <w:rPr>
                <w:rFonts w:hint="eastAsia"/>
              </w:rPr>
              <w:t>-</w:t>
            </w:r>
          </w:p>
        </w:tc>
        <w:tc>
          <w:tcPr>
            <w:tcW w:w="1312" w:type="dxa"/>
            <w:vAlign w:val="center"/>
          </w:tcPr>
          <w:p w14:paraId="383D26F6">
            <w:pPr>
              <w:jc w:val="right"/>
            </w:pPr>
            <w:r>
              <w:rPr>
                <w:rFonts w:hint="eastAsia"/>
              </w:rPr>
              <w:t>-</w:t>
            </w:r>
          </w:p>
        </w:tc>
        <w:tc>
          <w:tcPr>
            <w:tcW w:w="1256" w:type="dxa"/>
            <w:vAlign w:val="center"/>
          </w:tcPr>
          <w:p w14:paraId="2889CE3D">
            <w:pPr>
              <w:jc w:val="right"/>
            </w:pPr>
            <w:r>
              <w:rPr>
                <w:rFonts w:hint="eastAsia"/>
              </w:rPr>
              <w:t>-</w:t>
            </w:r>
          </w:p>
        </w:tc>
        <w:tc>
          <w:tcPr>
            <w:tcW w:w="946" w:type="dxa"/>
            <w:vAlign w:val="center"/>
          </w:tcPr>
          <w:p w14:paraId="4914E4F7">
            <w:pPr>
              <w:jc w:val="right"/>
            </w:pPr>
            <w:r>
              <w:rPr>
                <w:rFonts w:hint="eastAsia"/>
              </w:rPr>
              <w:t>-</w:t>
            </w:r>
          </w:p>
        </w:tc>
      </w:tr>
      <w:tr w14:paraId="64BED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17B6D08">
            <w:r>
              <w:rPr>
                <w:rFonts w:hint="eastAsia"/>
              </w:rPr>
              <w:t>国泰海通</w:t>
            </w:r>
          </w:p>
        </w:tc>
        <w:tc>
          <w:tcPr>
            <w:tcW w:w="775" w:type="dxa"/>
            <w:vAlign w:val="center"/>
          </w:tcPr>
          <w:p w14:paraId="36DEE65C">
            <w:pPr>
              <w:jc w:val="right"/>
            </w:pPr>
            <w:r>
              <w:rPr>
                <w:rFonts w:hint="eastAsia"/>
              </w:rPr>
              <w:t>1</w:t>
            </w:r>
          </w:p>
        </w:tc>
        <w:tc>
          <w:tcPr>
            <w:tcW w:w="1699" w:type="dxa"/>
            <w:vAlign w:val="center"/>
          </w:tcPr>
          <w:p w14:paraId="41C9A711">
            <w:pPr>
              <w:jc w:val="right"/>
            </w:pPr>
            <w:r>
              <w:rPr>
                <w:rFonts w:hint="eastAsia"/>
              </w:rPr>
              <w:t>-</w:t>
            </w:r>
          </w:p>
        </w:tc>
        <w:tc>
          <w:tcPr>
            <w:tcW w:w="1201" w:type="dxa"/>
            <w:vAlign w:val="center"/>
          </w:tcPr>
          <w:p w14:paraId="73937833">
            <w:pPr>
              <w:jc w:val="right"/>
            </w:pPr>
            <w:r>
              <w:rPr>
                <w:rFonts w:hint="eastAsia"/>
              </w:rPr>
              <w:t>-</w:t>
            </w:r>
          </w:p>
        </w:tc>
        <w:tc>
          <w:tcPr>
            <w:tcW w:w="1312" w:type="dxa"/>
            <w:vAlign w:val="center"/>
          </w:tcPr>
          <w:p w14:paraId="45711D56">
            <w:pPr>
              <w:jc w:val="right"/>
            </w:pPr>
            <w:r>
              <w:rPr>
                <w:rFonts w:hint="eastAsia"/>
              </w:rPr>
              <w:t>-</w:t>
            </w:r>
          </w:p>
        </w:tc>
        <w:tc>
          <w:tcPr>
            <w:tcW w:w="1256" w:type="dxa"/>
            <w:vAlign w:val="center"/>
          </w:tcPr>
          <w:p w14:paraId="234AA1E7">
            <w:pPr>
              <w:jc w:val="right"/>
            </w:pPr>
            <w:r>
              <w:rPr>
                <w:rFonts w:hint="eastAsia"/>
              </w:rPr>
              <w:t>-</w:t>
            </w:r>
          </w:p>
        </w:tc>
        <w:tc>
          <w:tcPr>
            <w:tcW w:w="946" w:type="dxa"/>
            <w:vAlign w:val="center"/>
          </w:tcPr>
          <w:p w14:paraId="14BE4F74">
            <w:pPr>
              <w:jc w:val="right"/>
            </w:pPr>
            <w:r>
              <w:rPr>
                <w:rFonts w:hint="eastAsia"/>
              </w:rPr>
              <w:t>-</w:t>
            </w:r>
          </w:p>
        </w:tc>
      </w:tr>
      <w:tr w14:paraId="3538F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C7FA7E">
            <w:r>
              <w:rPr>
                <w:rFonts w:hint="eastAsia"/>
              </w:rPr>
              <w:t>华泰证券</w:t>
            </w:r>
          </w:p>
        </w:tc>
        <w:tc>
          <w:tcPr>
            <w:tcW w:w="775" w:type="dxa"/>
            <w:vAlign w:val="center"/>
          </w:tcPr>
          <w:p w14:paraId="5903BD1F">
            <w:pPr>
              <w:jc w:val="right"/>
            </w:pPr>
            <w:r>
              <w:rPr>
                <w:rFonts w:hint="eastAsia"/>
              </w:rPr>
              <w:t>1</w:t>
            </w:r>
          </w:p>
        </w:tc>
        <w:tc>
          <w:tcPr>
            <w:tcW w:w="1699" w:type="dxa"/>
            <w:vAlign w:val="center"/>
          </w:tcPr>
          <w:p w14:paraId="29E467C6">
            <w:pPr>
              <w:jc w:val="right"/>
            </w:pPr>
            <w:r>
              <w:rPr>
                <w:rFonts w:hint="eastAsia"/>
              </w:rPr>
              <w:t>-</w:t>
            </w:r>
          </w:p>
        </w:tc>
        <w:tc>
          <w:tcPr>
            <w:tcW w:w="1201" w:type="dxa"/>
            <w:vAlign w:val="center"/>
          </w:tcPr>
          <w:p w14:paraId="58CC5B86">
            <w:pPr>
              <w:jc w:val="right"/>
            </w:pPr>
            <w:r>
              <w:rPr>
                <w:rFonts w:hint="eastAsia"/>
              </w:rPr>
              <w:t>-</w:t>
            </w:r>
          </w:p>
        </w:tc>
        <w:tc>
          <w:tcPr>
            <w:tcW w:w="1312" w:type="dxa"/>
            <w:vAlign w:val="center"/>
          </w:tcPr>
          <w:p w14:paraId="1A5D4406">
            <w:pPr>
              <w:jc w:val="right"/>
            </w:pPr>
            <w:r>
              <w:rPr>
                <w:rFonts w:hint="eastAsia"/>
              </w:rPr>
              <w:t>-</w:t>
            </w:r>
          </w:p>
        </w:tc>
        <w:tc>
          <w:tcPr>
            <w:tcW w:w="1256" w:type="dxa"/>
            <w:vAlign w:val="center"/>
          </w:tcPr>
          <w:p w14:paraId="0095D726">
            <w:pPr>
              <w:jc w:val="right"/>
            </w:pPr>
            <w:r>
              <w:rPr>
                <w:rFonts w:hint="eastAsia"/>
              </w:rPr>
              <w:t>-</w:t>
            </w:r>
          </w:p>
        </w:tc>
        <w:tc>
          <w:tcPr>
            <w:tcW w:w="946" w:type="dxa"/>
            <w:vAlign w:val="center"/>
          </w:tcPr>
          <w:p w14:paraId="133CE05B">
            <w:pPr>
              <w:jc w:val="right"/>
            </w:pPr>
            <w:r>
              <w:rPr>
                <w:rFonts w:hint="eastAsia"/>
              </w:rPr>
              <w:t>-</w:t>
            </w:r>
          </w:p>
        </w:tc>
      </w:tr>
      <w:tr w14:paraId="1B505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654CDC">
            <w:r>
              <w:rPr>
                <w:rFonts w:hint="eastAsia"/>
              </w:rPr>
              <w:t>招商证券</w:t>
            </w:r>
          </w:p>
        </w:tc>
        <w:tc>
          <w:tcPr>
            <w:tcW w:w="775" w:type="dxa"/>
            <w:vAlign w:val="center"/>
          </w:tcPr>
          <w:p w14:paraId="634816A9">
            <w:pPr>
              <w:jc w:val="right"/>
            </w:pPr>
            <w:r>
              <w:rPr>
                <w:rFonts w:hint="eastAsia"/>
              </w:rPr>
              <w:t>1</w:t>
            </w:r>
          </w:p>
        </w:tc>
        <w:tc>
          <w:tcPr>
            <w:tcW w:w="1699" w:type="dxa"/>
            <w:vAlign w:val="center"/>
          </w:tcPr>
          <w:p w14:paraId="2724B677">
            <w:pPr>
              <w:jc w:val="right"/>
            </w:pPr>
            <w:r>
              <w:rPr>
                <w:rFonts w:hint="eastAsia"/>
              </w:rPr>
              <w:t>-</w:t>
            </w:r>
          </w:p>
        </w:tc>
        <w:tc>
          <w:tcPr>
            <w:tcW w:w="1201" w:type="dxa"/>
            <w:vAlign w:val="center"/>
          </w:tcPr>
          <w:p w14:paraId="79BABBC6">
            <w:pPr>
              <w:jc w:val="right"/>
            </w:pPr>
            <w:r>
              <w:rPr>
                <w:rFonts w:hint="eastAsia"/>
              </w:rPr>
              <w:t>-</w:t>
            </w:r>
          </w:p>
        </w:tc>
        <w:tc>
          <w:tcPr>
            <w:tcW w:w="1312" w:type="dxa"/>
            <w:vAlign w:val="center"/>
          </w:tcPr>
          <w:p w14:paraId="354F3C17">
            <w:pPr>
              <w:jc w:val="right"/>
            </w:pPr>
            <w:r>
              <w:rPr>
                <w:rFonts w:hint="eastAsia"/>
              </w:rPr>
              <w:t>-</w:t>
            </w:r>
          </w:p>
        </w:tc>
        <w:tc>
          <w:tcPr>
            <w:tcW w:w="1256" w:type="dxa"/>
            <w:vAlign w:val="center"/>
          </w:tcPr>
          <w:p w14:paraId="2885F5F9">
            <w:pPr>
              <w:jc w:val="right"/>
            </w:pPr>
            <w:r>
              <w:rPr>
                <w:rFonts w:hint="eastAsia"/>
              </w:rPr>
              <w:t>-</w:t>
            </w:r>
          </w:p>
        </w:tc>
        <w:tc>
          <w:tcPr>
            <w:tcW w:w="946" w:type="dxa"/>
            <w:vAlign w:val="center"/>
          </w:tcPr>
          <w:p w14:paraId="48A75A42">
            <w:pPr>
              <w:jc w:val="right"/>
            </w:pPr>
            <w:r>
              <w:rPr>
                <w:rFonts w:hint="eastAsia"/>
              </w:rPr>
              <w:t>-</w:t>
            </w:r>
          </w:p>
        </w:tc>
      </w:tr>
      <w:tr w14:paraId="782D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73BF3EB">
            <w:r>
              <w:rPr>
                <w:rFonts w:hint="eastAsia"/>
              </w:rPr>
              <w:t>中金公司</w:t>
            </w:r>
          </w:p>
        </w:tc>
        <w:tc>
          <w:tcPr>
            <w:tcW w:w="775" w:type="dxa"/>
            <w:vAlign w:val="center"/>
          </w:tcPr>
          <w:p w14:paraId="6470A312">
            <w:pPr>
              <w:jc w:val="right"/>
            </w:pPr>
            <w:r>
              <w:rPr>
                <w:rFonts w:hint="eastAsia"/>
              </w:rPr>
              <w:t>1</w:t>
            </w:r>
          </w:p>
        </w:tc>
        <w:tc>
          <w:tcPr>
            <w:tcW w:w="1699" w:type="dxa"/>
            <w:vAlign w:val="center"/>
          </w:tcPr>
          <w:p w14:paraId="587CB017">
            <w:pPr>
              <w:jc w:val="right"/>
            </w:pPr>
            <w:r>
              <w:rPr>
                <w:rFonts w:hint="eastAsia"/>
              </w:rPr>
              <w:t>-</w:t>
            </w:r>
          </w:p>
        </w:tc>
        <w:tc>
          <w:tcPr>
            <w:tcW w:w="1201" w:type="dxa"/>
            <w:vAlign w:val="center"/>
          </w:tcPr>
          <w:p w14:paraId="42E2D52D">
            <w:pPr>
              <w:jc w:val="right"/>
            </w:pPr>
            <w:r>
              <w:rPr>
                <w:rFonts w:hint="eastAsia"/>
              </w:rPr>
              <w:t>-</w:t>
            </w:r>
          </w:p>
        </w:tc>
        <w:tc>
          <w:tcPr>
            <w:tcW w:w="1312" w:type="dxa"/>
            <w:vAlign w:val="center"/>
          </w:tcPr>
          <w:p w14:paraId="4246A060">
            <w:pPr>
              <w:jc w:val="right"/>
            </w:pPr>
            <w:r>
              <w:rPr>
                <w:rFonts w:hint="eastAsia"/>
              </w:rPr>
              <w:t>-</w:t>
            </w:r>
          </w:p>
        </w:tc>
        <w:tc>
          <w:tcPr>
            <w:tcW w:w="1256" w:type="dxa"/>
            <w:vAlign w:val="center"/>
          </w:tcPr>
          <w:p w14:paraId="493DB4ED">
            <w:pPr>
              <w:jc w:val="right"/>
            </w:pPr>
            <w:r>
              <w:rPr>
                <w:rFonts w:hint="eastAsia"/>
              </w:rPr>
              <w:t>-</w:t>
            </w:r>
          </w:p>
        </w:tc>
        <w:tc>
          <w:tcPr>
            <w:tcW w:w="946" w:type="dxa"/>
            <w:vAlign w:val="center"/>
          </w:tcPr>
          <w:p w14:paraId="180A685C">
            <w:pPr>
              <w:jc w:val="right"/>
            </w:pPr>
            <w:r>
              <w:rPr>
                <w:rFonts w:hint="eastAsia"/>
              </w:rPr>
              <w:t>-</w:t>
            </w:r>
          </w:p>
        </w:tc>
      </w:tr>
    </w:tbl>
    <w:p w14:paraId="33EFC20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DD83513">
      <w:pPr>
        <w:pStyle w:val="47"/>
        <w:rPr>
          <w:rFonts w:hint="eastAsia"/>
        </w:rPr>
      </w:pPr>
      <w:r>
        <w:tab/>
      </w:r>
      <w:r>
        <w:rPr>
          <w:rFonts w:hint="eastAsia"/>
        </w:rPr>
        <w:t>1、选择标准</w:t>
      </w:r>
    </w:p>
    <w:p w14:paraId="7E5B689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9668140">
      <w:pPr>
        <w:pStyle w:val="47"/>
        <w:rPr>
          <w:rFonts w:hint="eastAsia"/>
        </w:rPr>
      </w:pPr>
      <w:r>
        <w:tab/>
      </w:r>
      <w:r>
        <w:rPr>
          <w:rFonts w:hint="eastAsia"/>
        </w:rPr>
        <w:t>2、选择程序</w:t>
      </w:r>
    </w:p>
    <w:p w14:paraId="365406F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81BE2EF">
      <w:pPr>
        <w:pStyle w:val="47"/>
        <w:rPr>
          <w:rFonts w:hint="eastAsia"/>
        </w:rPr>
      </w:pPr>
      <w:r>
        <w:tab/>
      </w:r>
      <w:r>
        <w:rPr>
          <w:rFonts w:hint="eastAsia"/>
        </w:rPr>
        <w:t>（2）基金管理人根据其建立的服务评价及交易量分配机制，定期对证券公司开展评价后，根据评价结果进行交易量的分配。</w:t>
      </w:r>
    </w:p>
    <w:p w14:paraId="4D94D2EF">
      <w:pPr>
        <w:pStyle w:val="47"/>
        <w:rPr>
          <w:rFonts w:hint="eastAsia"/>
        </w:rPr>
      </w:pPr>
      <w:r>
        <w:tab/>
      </w:r>
      <w:r>
        <w:rPr>
          <w:rFonts w:hint="eastAsia"/>
        </w:rPr>
        <w:t>3、报告期内基金租用券商交易单元的变更情况：新增交易单元：广发证券、国泰海通、华泰证券、招商证券、中金公司；减少交易单元：无。</w:t>
      </w:r>
    </w:p>
    <w:p w14:paraId="44E43333">
      <w:pPr>
        <w:pStyle w:val="28"/>
      </w:pPr>
      <w:bookmarkStart w:id="195" w:name="_Toc195"/>
      <w:r>
        <w:t>基金租用证券公司交易单元进行其他证券投资的情况</w:t>
      </w:r>
      <w:bookmarkEnd w:id="195"/>
    </w:p>
    <w:p w14:paraId="1997396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33E1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E152B8F">
            <w:pPr>
              <w:jc w:val="center"/>
            </w:pPr>
            <w:r>
              <w:rPr>
                <w:rFonts w:hint="eastAsia"/>
                <w:b/>
              </w:rPr>
              <w:t>券商名称</w:t>
            </w:r>
          </w:p>
        </w:tc>
        <w:tc>
          <w:tcPr>
            <w:tcW w:w="1508" w:type="dxa"/>
            <w:gridSpan w:val="2"/>
            <w:shd w:val="clear" w:color="auto" w:fill="BFBFBF"/>
            <w:vAlign w:val="center"/>
          </w:tcPr>
          <w:p w14:paraId="007A27B0">
            <w:pPr>
              <w:jc w:val="center"/>
            </w:pPr>
            <w:r>
              <w:rPr>
                <w:rFonts w:hint="eastAsia"/>
                <w:b/>
              </w:rPr>
              <w:t>债券交易</w:t>
            </w:r>
          </w:p>
        </w:tc>
        <w:tc>
          <w:tcPr>
            <w:tcW w:w="1697" w:type="dxa"/>
            <w:gridSpan w:val="2"/>
            <w:shd w:val="clear" w:color="auto" w:fill="BFBFBF"/>
            <w:vAlign w:val="center"/>
          </w:tcPr>
          <w:p w14:paraId="1E58003D">
            <w:pPr>
              <w:jc w:val="center"/>
            </w:pPr>
            <w:r>
              <w:rPr>
                <w:rFonts w:hint="eastAsia"/>
                <w:b/>
              </w:rPr>
              <w:t>债券回购交易</w:t>
            </w:r>
          </w:p>
        </w:tc>
        <w:tc>
          <w:tcPr>
            <w:tcW w:w="1508" w:type="dxa"/>
            <w:gridSpan w:val="2"/>
            <w:shd w:val="clear" w:color="auto" w:fill="BFBFBF"/>
            <w:vAlign w:val="center"/>
          </w:tcPr>
          <w:p w14:paraId="349AC6D9">
            <w:pPr>
              <w:jc w:val="center"/>
            </w:pPr>
            <w:r>
              <w:rPr>
                <w:rFonts w:hint="eastAsia"/>
                <w:b/>
              </w:rPr>
              <w:t>权证交易</w:t>
            </w:r>
          </w:p>
        </w:tc>
      </w:tr>
      <w:tr w14:paraId="10CE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C5792EB"/>
        </w:tc>
        <w:tc>
          <w:tcPr>
            <w:tcW w:w="1508" w:type="dxa"/>
            <w:shd w:val="clear" w:color="auto" w:fill="BFBFBF"/>
            <w:vAlign w:val="center"/>
          </w:tcPr>
          <w:p w14:paraId="049D5506">
            <w:pPr>
              <w:jc w:val="center"/>
            </w:pPr>
            <w:r>
              <w:rPr>
                <w:rFonts w:hint="eastAsia"/>
                <w:b/>
              </w:rPr>
              <w:t>成交金额</w:t>
            </w:r>
          </w:p>
        </w:tc>
        <w:tc>
          <w:tcPr>
            <w:tcW w:w="895" w:type="dxa"/>
            <w:shd w:val="clear" w:color="auto" w:fill="BFBFBF"/>
            <w:vAlign w:val="center"/>
          </w:tcPr>
          <w:p w14:paraId="41FFC7EC">
            <w:pPr>
              <w:jc w:val="center"/>
            </w:pPr>
            <w:r>
              <w:rPr>
                <w:rFonts w:hint="eastAsia"/>
                <w:b/>
              </w:rPr>
              <w:t>占当期债券成交总额的比例</w:t>
            </w:r>
          </w:p>
        </w:tc>
        <w:tc>
          <w:tcPr>
            <w:tcW w:w="1697" w:type="dxa"/>
            <w:shd w:val="clear" w:color="auto" w:fill="BFBFBF"/>
            <w:vAlign w:val="center"/>
          </w:tcPr>
          <w:p w14:paraId="50CC6A0D">
            <w:pPr>
              <w:jc w:val="center"/>
            </w:pPr>
            <w:r>
              <w:rPr>
                <w:rFonts w:hint="eastAsia"/>
                <w:b/>
              </w:rPr>
              <w:t>成交金额</w:t>
            </w:r>
          </w:p>
        </w:tc>
        <w:tc>
          <w:tcPr>
            <w:tcW w:w="895" w:type="dxa"/>
            <w:shd w:val="clear" w:color="auto" w:fill="BFBFBF"/>
            <w:vAlign w:val="center"/>
          </w:tcPr>
          <w:p w14:paraId="082A1196">
            <w:pPr>
              <w:jc w:val="center"/>
            </w:pPr>
            <w:r>
              <w:rPr>
                <w:rFonts w:hint="eastAsia"/>
                <w:b/>
              </w:rPr>
              <w:t>占当期债券回购成交总额的比例</w:t>
            </w:r>
          </w:p>
        </w:tc>
        <w:tc>
          <w:tcPr>
            <w:tcW w:w="1508" w:type="dxa"/>
            <w:shd w:val="clear" w:color="auto" w:fill="BFBFBF"/>
            <w:vAlign w:val="center"/>
          </w:tcPr>
          <w:p w14:paraId="3D3F68E4">
            <w:pPr>
              <w:jc w:val="center"/>
            </w:pPr>
            <w:r>
              <w:rPr>
                <w:rFonts w:hint="eastAsia"/>
                <w:b/>
              </w:rPr>
              <w:t>成交金额</w:t>
            </w:r>
          </w:p>
        </w:tc>
        <w:tc>
          <w:tcPr>
            <w:tcW w:w="900" w:type="dxa"/>
            <w:shd w:val="clear" w:color="auto" w:fill="BFBFBF"/>
            <w:vAlign w:val="center"/>
          </w:tcPr>
          <w:p w14:paraId="1C65C0A2">
            <w:pPr>
              <w:jc w:val="center"/>
            </w:pPr>
            <w:r>
              <w:rPr>
                <w:rFonts w:hint="eastAsia"/>
                <w:b/>
              </w:rPr>
              <w:t>占当期权证成交总额的比例</w:t>
            </w:r>
          </w:p>
        </w:tc>
      </w:tr>
      <w:tr w14:paraId="0EE7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19D56A5">
            <w:r>
              <w:rPr>
                <w:rFonts w:hint="eastAsia"/>
              </w:rPr>
              <w:t>广发证券</w:t>
            </w:r>
          </w:p>
        </w:tc>
        <w:tc>
          <w:tcPr>
            <w:tcW w:w="1508" w:type="dxa"/>
            <w:vAlign w:val="center"/>
          </w:tcPr>
          <w:p w14:paraId="38BE0DAD">
            <w:pPr>
              <w:jc w:val="right"/>
            </w:pPr>
            <w:r>
              <w:rPr>
                <w:rFonts w:hint="eastAsia"/>
              </w:rPr>
              <w:t>-</w:t>
            </w:r>
          </w:p>
        </w:tc>
        <w:tc>
          <w:tcPr>
            <w:tcW w:w="895" w:type="dxa"/>
            <w:vAlign w:val="center"/>
          </w:tcPr>
          <w:p w14:paraId="22064D89">
            <w:pPr>
              <w:jc w:val="right"/>
            </w:pPr>
            <w:r>
              <w:rPr>
                <w:rFonts w:hint="eastAsia"/>
              </w:rPr>
              <w:t>-</w:t>
            </w:r>
          </w:p>
        </w:tc>
        <w:tc>
          <w:tcPr>
            <w:tcW w:w="1697" w:type="dxa"/>
            <w:vAlign w:val="center"/>
          </w:tcPr>
          <w:p w14:paraId="63EA7E93">
            <w:pPr>
              <w:jc w:val="right"/>
            </w:pPr>
            <w:r>
              <w:rPr>
                <w:rFonts w:hint="eastAsia"/>
              </w:rPr>
              <w:t>-</w:t>
            </w:r>
          </w:p>
        </w:tc>
        <w:tc>
          <w:tcPr>
            <w:tcW w:w="895" w:type="dxa"/>
            <w:vAlign w:val="center"/>
          </w:tcPr>
          <w:p w14:paraId="0CEC5D27">
            <w:pPr>
              <w:jc w:val="right"/>
            </w:pPr>
            <w:r>
              <w:rPr>
                <w:rFonts w:hint="eastAsia"/>
              </w:rPr>
              <w:t>-</w:t>
            </w:r>
          </w:p>
        </w:tc>
        <w:tc>
          <w:tcPr>
            <w:tcW w:w="1508" w:type="dxa"/>
            <w:vAlign w:val="center"/>
          </w:tcPr>
          <w:p w14:paraId="376AC3E4">
            <w:pPr>
              <w:jc w:val="right"/>
            </w:pPr>
            <w:r>
              <w:rPr>
                <w:rFonts w:hint="eastAsia"/>
              </w:rPr>
              <w:t>-</w:t>
            </w:r>
          </w:p>
        </w:tc>
        <w:tc>
          <w:tcPr>
            <w:tcW w:w="900" w:type="dxa"/>
            <w:vAlign w:val="center"/>
          </w:tcPr>
          <w:p w14:paraId="2A0D7A77">
            <w:pPr>
              <w:jc w:val="right"/>
            </w:pPr>
            <w:r>
              <w:rPr>
                <w:rFonts w:hint="eastAsia"/>
              </w:rPr>
              <w:t>-</w:t>
            </w:r>
          </w:p>
        </w:tc>
      </w:tr>
      <w:tr w14:paraId="417D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7CD4BF8">
            <w:r>
              <w:rPr>
                <w:rFonts w:hint="eastAsia"/>
              </w:rPr>
              <w:t>国泰海通</w:t>
            </w:r>
          </w:p>
        </w:tc>
        <w:tc>
          <w:tcPr>
            <w:tcW w:w="1508" w:type="dxa"/>
            <w:vAlign w:val="center"/>
          </w:tcPr>
          <w:p w14:paraId="2A9A38CD">
            <w:pPr>
              <w:jc w:val="right"/>
            </w:pPr>
            <w:r>
              <w:rPr>
                <w:rFonts w:hint="eastAsia"/>
              </w:rPr>
              <w:t>880,899,076.00</w:t>
            </w:r>
          </w:p>
        </w:tc>
        <w:tc>
          <w:tcPr>
            <w:tcW w:w="895" w:type="dxa"/>
            <w:vAlign w:val="center"/>
          </w:tcPr>
          <w:p w14:paraId="70C263E0">
            <w:pPr>
              <w:jc w:val="right"/>
            </w:pPr>
            <w:r>
              <w:rPr>
                <w:rFonts w:hint="eastAsia"/>
              </w:rPr>
              <w:t>83.00%</w:t>
            </w:r>
          </w:p>
        </w:tc>
        <w:tc>
          <w:tcPr>
            <w:tcW w:w="1697" w:type="dxa"/>
            <w:vAlign w:val="center"/>
          </w:tcPr>
          <w:p w14:paraId="5424BFE2">
            <w:pPr>
              <w:jc w:val="right"/>
            </w:pPr>
            <w:r>
              <w:rPr>
                <w:rFonts w:hint="eastAsia"/>
              </w:rPr>
              <w:t>16,258,000,000.00</w:t>
            </w:r>
          </w:p>
        </w:tc>
        <w:tc>
          <w:tcPr>
            <w:tcW w:w="895" w:type="dxa"/>
            <w:vAlign w:val="center"/>
          </w:tcPr>
          <w:p w14:paraId="28DE0443">
            <w:pPr>
              <w:jc w:val="right"/>
            </w:pPr>
            <w:r>
              <w:rPr>
                <w:rFonts w:hint="eastAsia"/>
              </w:rPr>
              <w:t>91.00%</w:t>
            </w:r>
          </w:p>
        </w:tc>
        <w:tc>
          <w:tcPr>
            <w:tcW w:w="1508" w:type="dxa"/>
            <w:vAlign w:val="center"/>
          </w:tcPr>
          <w:p w14:paraId="2DB748B0">
            <w:pPr>
              <w:jc w:val="right"/>
            </w:pPr>
            <w:r>
              <w:rPr>
                <w:rFonts w:hint="eastAsia"/>
              </w:rPr>
              <w:t>-</w:t>
            </w:r>
          </w:p>
        </w:tc>
        <w:tc>
          <w:tcPr>
            <w:tcW w:w="900" w:type="dxa"/>
            <w:vAlign w:val="center"/>
          </w:tcPr>
          <w:p w14:paraId="58BF4683">
            <w:pPr>
              <w:jc w:val="right"/>
            </w:pPr>
            <w:r>
              <w:rPr>
                <w:rFonts w:hint="eastAsia"/>
              </w:rPr>
              <w:t>-</w:t>
            </w:r>
          </w:p>
        </w:tc>
      </w:tr>
      <w:tr w14:paraId="0C74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1150E91">
            <w:r>
              <w:rPr>
                <w:rFonts w:hint="eastAsia"/>
              </w:rPr>
              <w:t>华泰证券</w:t>
            </w:r>
          </w:p>
        </w:tc>
        <w:tc>
          <w:tcPr>
            <w:tcW w:w="1508" w:type="dxa"/>
            <w:vAlign w:val="center"/>
          </w:tcPr>
          <w:p w14:paraId="55FB04BA">
            <w:pPr>
              <w:jc w:val="right"/>
            </w:pPr>
            <w:r>
              <w:rPr>
                <w:rFonts w:hint="eastAsia"/>
              </w:rPr>
              <w:t>180,393,210.00</w:t>
            </w:r>
          </w:p>
        </w:tc>
        <w:tc>
          <w:tcPr>
            <w:tcW w:w="895" w:type="dxa"/>
            <w:vAlign w:val="center"/>
          </w:tcPr>
          <w:p w14:paraId="0B8C577C">
            <w:pPr>
              <w:jc w:val="right"/>
            </w:pPr>
            <w:r>
              <w:rPr>
                <w:rFonts w:hint="eastAsia"/>
              </w:rPr>
              <w:t>17.00%</w:t>
            </w:r>
          </w:p>
        </w:tc>
        <w:tc>
          <w:tcPr>
            <w:tcW w:w="1697" w:type="dxa"/>
            <w:vAlign w:val="center"/>
          </w:tcPr>
          <w:p w14:paraId="12F95840">
            <w:pPr>
              <w:jc w:val="right"/>
            </w:pPr>
            <w:r>
              <w:rPr>
                <w:rFonts w:hint="eastAsia"/>
              </w:rPr>
              <w:t>1,607,800,000.00</w:t>
            </w:r>
          </w:p>
        </w:tc>
        <w:tc>
          <w:tcPr>
            <w:tcW w:w="895" w:type="dxa"/>
            <w:vAlign w:val="center"/>
          </w:tcPr>
          <w:p w14:paraId="5F48D685">
            <w:pPr>
              <w:jc w:val="right"/>
            </w:pPr>
            <w:r>
              <w:rPr>
                <w:rFonts w:hint="eastAsia"/>
              </w:rPr>
              <w:t>9.00%</w:t>
            </w:r>
          </w:p>
        </w:tc>
        <w:tc>
          <w:tcPr>
            <w:tcW w:w="1508" w:type="dxa"/>
            <w:vAlign w:val="center"/>
          </w:tcPr>
          <w:p w14:paraId="10FD2A0B">
            <w:pPr>
              <w:jc w:val="right"/>
            </w:pPr>
            <w:r>
              <w:rPr>
                <w:rFonts w:hint="eastAsia"/>
              </w:rPr>
              <w:t>-</w:t>
            </w:r>
          </w:p>
        </w:tc>
        <w:tc>
          <w:tcPr>
            <w:tcW w:w="900" w:type="dxa"/>
            <w:vAlign w:val="center"/>
          </w:tcPr>
          <w:p w14:paraId="78720FC7">
            <w:pPr>
              <w:jc w:val="right"/>
            </w:pPr>
            <w:r>
              <w:rPr>
                <w:rFonts w:hint="eastAsia"/>
              </w:rPr>
              <w:t>-</w:t>
            </w:r>
          </w:p>
        </w:tc>
      </w:tr>
      <w:tr w14:paraId="6CF3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E1D0358">
            <w:r>
              <w:rPr>
                <w:rFonts w:hint="eastAsia"/>
              </w:rPr>
              <w:t>招商证券</w:t>
            </w:r>
          </w:p>
        </w:tc>
        <w:tc>
          <w:tcPr>
            <w:tcW w:w="1508" w:type="dxa"/>
            <w:vAlign w:val="center"/>
          </w:tcPr>
          <w:p w14:paraId="5664DFC4">
            <w:pPr>
              <w:jc w:val="right"/>
            </w:pPr>
            <w:r>
              <w:rPr>
                <w:rFonts w:hint="eastAsia"/>
              </w:rPr>
              <w:t>-</w:t>
            </w:r>
          </w:p>
        </w:tc>
        <w:tc>
          <w:tcPr>
            <w:tcW w:w="895" w:type="dxa"/>
            <w:vAlign w:val="center"/>
          </w:tcPr>
          <w:p w14:paraId="79BDB291">
            <w:pPr>
              <w:jc w:val="right"/>
            </w:pPr>
            <w:r>
              <w:rPr>
                <w:rFonts w:hint="eastAsia"/>
              </w:rPr>
              <w:t>-</w:t>
            </w:r>
          </w:p>
        </w:tc>
        <w:tc>
          <w:tcPr>
            <w:tcW w:w="1697" w:type="dxa"/>
            <w:vAlign w:val="center"/>
          </w:tcPr>
          <w:p w14:paraId="5DFD2020">
            <w:pPr>
              <w:jc w:val="right"/>
            </w:pPr>
            <w:r>
              <w:rPr>
                <w:rFonts w:hint="eastAsia"/>
              </w:rPr>
              <w:t>-</w:t>
            </w:r>
          </w:p>
        </w:tc>
        <w:tc>
          <w:tcPr>
            <w:tcW w:w="895" w:type="dxa"/>
            <w:vAlign w:val="center"/>
          </w:tcPr>
          <w:p w14:paraId="1A7FD29D">
            <w:pPr>
              <w:jc w:val="right"/>
            </w:pPr>
            <w:r>
              <w:rPr>
                <w:rFonts w:hint="eastAsia"/>
              </w:rPr>
              <w:t>-</w:t>
            </w:r>
          </w:p>
        </w:tc>
        <w:tc>
          <w:tcPr>
            <w:tcW w:w="1508" w:type="dxa"/>
            <w:vAlign w:val="center"/>
          </w:tcPr>
          <w:p w14:paraId="7A5A4F16">
            <w:pPr>
              <w:jc w:val="right"/>
            </w:pPr>
            <w:r>
              <w:rPr>
                <w:rFonts w:hint="eastAsia"/>
              </w:rPr>
              <w:t>-</w:t>
            </w:r>
          </w:p>
        </w:tc>
        <w:tc>
          <w:tcPr>
            <w:tcW w:w="900" w:type="dxa"/>
            <w:vAlign w:val="center"/>
          </w:tcPr>
          <w:p w14:paraId="1787C0CD">
            <w:pPr>
              <w:jc w:val="right"/>
            </w:pPr>
            <w:r>
              <w:rPr>
                <w:rFonts w:hint="eastAsia"/>
              </w:rPr>
              <w:t>-</w:t>
            </w:r>
          </w:p>
        </w:tc>
      </w:tr>
      <w:tr w14:paraId="2423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B32C300">
            <w:r>
              <w:rPr>
                <w:rFonts w:hint="eastAsia"/>
              </w:rPr>
              <w:t>中金公司</w:t>
            </w:r>
          </w:p>
        </w:tc>
        <w:tc>
          <w:tcPr>
            <w:tcW w:w="1508" w:type="dxa"/>
            <w:vAlign w:val="center"/>
          </w:tcPr>
          <w:p w14:paraId="12EAC9C7">
            <w:pPr>
              <w:jc w:val="right"/>
            </w:pPr>
            <w:r>
              <w:rPr>
                <w:rFonts w:hint="eastAsia"/>
              </w:rPr>
              <w:t>-</w:t>
            </w:r>
          </w:p>
        </w:tc>
        <w:tc>
          <w:tcPr>
            <w:tcW w:w="895" w:type="dxa"/>
            <w:vAlign w:val="center"/>
          </w:tcPr>
          <w:p w14:paraId="0658C199">
            <w:pPr>
              <w:jc w:val="right"/>
            </w:pPr>
            <w:r>
              <w:rPr>
                <w:rFonts w:hint="eastAsia"/>
              </w:rPr>
              <w:t>-</w:t>
            </w:r>
          </w:p>
        </w:tc>
        <w:tc>
          <w:tcPr>
            <w:tcW w:w="1697" w:type="dxa"/>
            <w:vAlign w:val="center"/>
          </w:tcPr>
          <w:p w14:paraId="70363142">
            <w:pPr>
              <w:jc w:val="right"/>
            </w:pPr>
            <w:r>
              <w:rPr>
                <w:rFonts w:hint="eastAsia"/>
              </w:rPr>
              <w:t>-</w:t>
            </w:r>
          </w:p>
        </w:tc>
        <w:tc>
          <w:tcPr>
            <w:tcW w:w="895" w:type="dxa"/>
            <w:vAlign w:val="center"/>
          </w:tcPr>
          <w:p w14:paraId="107593E9">
            <w:pPr>
              <w:jc w:val="right"/>
            </w:pPr>
            <w:r>
              <w:rPr>
                <w:rFonts w:hint="eastAsia"/>
              </w:rPr>
              <w:t>-</w:t>
            </w:r>
          </w:p>
        </w:tc>
        <w:tc>
          <w:tcPr>
            <w:tcW w:w="1508" w:type="dxa"/>
            <w:vAlign w:val="center"/>
          </w:tcPr>
          <w:p w14:paraId="785584D9">
            <w:pPr>
              <w:jc w:val="right"/>
            </w:pPr>
            <w:r>
              <w:rPr>
                <w:rFonts w:hint="eastAsia"/>
              </w:rPr>
              <w:t>-</w:t>
            </w:r>
          </w:p>
        </w:tc>
        <w:tc>
          <w:tcPr>
            <w:tcW w:w="900" w:type="dxa"/>
            <w:vAlign w:val="center"/>
          </w:tcPr>
          <w:p w14:paraId="34F2B390">
            <w:pPr>
              <w:jc w:val="right"/>
            </w:pPr>
            <w:r>
              <w:rPr>
                <w:rFonts w:hint="eastAsia"/>
              </w:rPr>
              <w:t>-</w:t>
            </w:r>
          </w:p>
        </w:tc>
      </w:tr>
    </w:tbl>
    <w:p w14:paraId="43F72B0E">
      <w:pPr>
        <w:pStyle w:val="23"/>
      </w:pPr>
      <w:bookmarkStart w:id="196" w:name="_Toc31515"/>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AD8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2" w:type="dxa"/>
            <w:shd w:val="clear" w:color="auto" w:fill="BFBFBF"/>
            <w:vAlign w:val="center"/>
          </w:tcPr>
          <w:p w14:paraId="63E30212">
            <w:pPr>
              <w:jc w:val="center"/>
            </w:pPr>
            <w:r>
              <w:rPr>
                <w:rFonts w:hint="eastAsia"/>
                <w:b/>
              </w:rPr>
              <w:t>序号</w:t>
            </w:r>
          </w:p>
        </w:tc>
        <w:tc>
          <w:tcPr>
            <w:tcW w:w="4319" w:type="dxa"/>
            <w:shd w:val="clear" w:color="auto" w:fill="BFBFBF"/>
            <w:vAlign w:val="center"/>
          </w:tcPr>
          <w:p w14:paraId="2F2776C1">
            <w:pPr>
              <w:jc w:val="center"/>
            </w:pPr>
            <w:r>
              <w:rPr>
                <w:rFonts w:hint="eastAsia"/>
                <w:b/>
              </w:rPr>
              <w:t>公告事项</w:t>
            </w:r>
          </w:p>
        </w:tc>
        <w:tc>
          <w:tcPr>
            <w:tcW w:w="2076" w:type="dxa"/>
            <w:shd w:val="clear" w:color="auto" w:fill="BFBFBF"/>
            <w:vAlign w:val="center"/>
          </w:tcPr>
          <w:p w14:paraId="5E5A52BD">
            <w:pPr>
              <w:jc w:val="center"/>
            </w:pPr>
            <w:r>
              <w:rPr>
                <w:rFonts w:hint="eastAsia"/>
                <w:b/>
              </w:rPr>
              <w:t>法定披露方式</w:t>
            </w:r>
          </w:p>
        </w:tc>
        <w:tc>
          <w:tcPr>
            <w:tcW w:w="1218" w:type="dxa"/>
            <w:shd w:val="clear" w:color="auto" w:fill="BFBFBF"/>
            <w:vAlign w:val="center"/>
          </w:tcPr>
          <w:p w14:paraId="05512BA1">
            <w:pPr>
              <w:jc w:val="center"/>
            </w:pPr>
            <w:r>
              <w:rPr>
                <w:rFonts w:hint="eastAsia"/>
                <w:b/>
              </w:rPr>
              <w:t>法定披露日期</w:t>
            </w:r>
          </w:p>
        </w:tc>
      </w:tr>
      <w:tr w14:paraId="5EAD7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B796F14">
            <w:pPr>
              <w:jc w:val="center"/>
            </w:pPr>
            <w:r>
              <w:rPr>
                <w:rFonts w:hint="eastAsia"/>
              </w:rPr>
              <w:t>1</w:t>
            </w:r>
          </w:p>
        </w:tc>
        <w:tc>
          <w:tcPr>
            <w:tcW w:w="4319" w:type="dxa"/>
            <w:vAlign w:val="center"/>
          </w:tcPr>
          <w:p w14:paraId="72DA6A85">
            <w:r>
              <w:rPr>
                <w:rFonts w:hint="eastAsia"/>
              </w:rPr>
              <w:t>南方稳航120天滚动持有债券型证券投资基金基金合同及招募说明书提示性公告</w:t>
            </w:r>
          </w:p>
        </w:tc>
        <w:tc>
          <w:tcPr>
            <w:tcW w:w="2076" w:type="dxa"/>
            <w:vAlign w:val="center"/>
          </w:tcPr>
          <w:p w14:paraId="3070DA39">
            <w:r>
              <w:rPr>
                <w:rFonts w:hint="eastAsia"/>
              </w:rPr>
              <w:t>证券时报、基金管理人网站、中国证监会基金电子披露网站</w:t>
            </w:r>
          </w:p>
        </w:tc>
        <w:tc>
          <w:tcPr>
            <w:tcW w:w="1218" w:type="dxa"/>
            <w:vAlign w:val="center"/>
          </w:tcPr>
          <w:p w14:paraId="34852178">
            <w:r>
              <w:rPr>
                <w:rFonts w:hint="eastAsia"/>
              </w:rPr>
              <w:t>2025-08-14</w:t>
            </w:r>
          </w:p>
        </w:tc>
      </w:tr>
      <w:tr w14:paraId="0758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8969524">
            <w:pPr>
              <w:jc w:val="center"/>
            </w:pPr>
            <w:r>
              <w:rPr>
                <w:rFonts w:hint="eastAsia"/>
              </w:rPr>
              <w:t>2</w:t>
            </w:r>
          </w:p>
        </w:tc>
        <w:tc>
          <w:tcPr>
            <w:tcW w:w="4319" w:type="dxa"/>
            <w:vAlign w:val="center"/>
          </w:tcPr>
          <w:p w14:paraId="3BCF5703">
            <w:r>
              <w:rPr>
                <w:rFonts w:hint="eastAsia"/>
              </w:rPr>
              <w:t>关于南方稳航120天滚动持有债券型证券投资基金基金份额发售时间的提示性公告</w:t>
            </w:r>
          </w:p>
        </w:tc>
        <w:tc>
          <w:tcPr>
            <w:tcW w:w="2076" w:type="dxa"/>
            <w:vAlign w:val="center"/>
          </w:tcPr>
          <w:p w14:paraId="7A7932E0">
            <w:r>
              <w:rPr>
                <w:rFonts w:hint="eastAsia"/>
              </w:rPr>
              <w:t>证券时报、基金管理人网站、中国证监会基金电子披露网站</w:t>
            </w:r>
          </w:p>
        </w:tc>
        <w:tc>
          <w:tcPr>
            <w:tcW w:w="1218" w:type="dxa"/>
            <w:vAlign w:val="center"/>
          </w:tcPr>
          <w:p w14:paraId="5D01DC7D">
            <w:r>
              <w:rPr>
                <w:rFonts w:hint="eastAsia"/>
              </w:rPr>
              <w:t>2025-09-09</w:t>
            </w:r>
          </w:p>
        </w:tc>
      </w:tr>
    </w:tbl>
    <w:p w14:paraId="2047D567">
      <w:pPr>
        <w:pStyle w:val="26"/>
      </w:pPr>
      <w:bookmarkStart w:id="197" w:name="_Toc13837"/>
      <w:r>
        <w:t>影响投资者决策的其他重要信息</w:t>
      </w:r>
      <w:bookmarkEnd w:id="197"/>
    </w:p>
    <w:p w14:paraId="61D9D409">
      <w:pPr>
        <w:pStyle w:val="23"/>
      </w:pPr>
      <w:bookmarkStart w:id="198" w:name="_Toc24997"/>
      <w:r>
        <w:t>报告期内单一投资者持有基金份额比例达到或超过20%的情况</w:t>
      </w:r>
      <w:bookmarkEnd w:id="198"/>
    </w:p>
    <w:p w14:paraId="7F2A0ED0">
      <w:pPr>
        <w:pStyle w:val="18"/>
        <w:rPr>
          <w:rFonts w:hint="eastAsia"/>
        </w:rPr>
      </w:pPr>
      <w:r>
        <w:rPr>
          <w:rFonts w:hint="eastAsia"/>
        </w:rPr>
        <w:t>报告期内单一投资者持有基金份额比例不存在达到或超过20%的情况。</w:t>
      </w:r>
    </w:p>
    <w:p w14:paraId="144A14E6">
      <w:pPr>
        <w:pStyle w:val="23"/>
      </w:pPr>
      <w:bookmarkStart w:id="199" w:name="_Toc18494"/>
      <w:r>
        <w:t>影响投资者决策的其他重要信息</w:t>
      </w:r>
      <w:bookmarkEnd w:id="199"/>
    </w:p>
    <w:p w14:paraId="655E209A">
      <w:pPr>
        <w:pStyle w:val="18"/>
        <w:rPr>
          <w:rFonts w:hint="eastAsia"/>
        </w:rPr>
      </w:pPr>
      <w:r>
        <w:rPr>
          <w:rFonts w:hint="eastAsia"/>
        </w:rPr>
        <w:t>无。</w:t>
      </w:r>
    </w:p>
    <w:p w14:paraId="307A87C1">
      <w:pPr>
        <w:pStyle w:val="26"/>
      </w:pPr>
      <w:bookmarkStart w:id="200" w:name="_Toc7236"/>
      <w:r>
        <w:t>备查文件目录</w:t>
      </w:r>
      <w:bookmarkEnd w:id="200"/>
    </w:p>
    <w:p w14:paraId="7488A3B2">
      <w:pPr>
        <w:pStyle w:val="23"/>
      </w:pPr>
      <w:bookmarkStart w:id="201" w:name="_Toc31986"/>
      <w:r>
        <w:t>备查文件目录</w:t>
      </w:r>
      <w:bookmarkEnd w:id="201"/>
    </w:p>
    <w:p w14:paraId="6AE08A64">
      <w:pPr>
        <w:pStyle w:val="18"/>
        <w:rPr>
          <w:rFonts w:hint="eastAsia"/>
        </w:rPr>
      </w:pPr>
      <w:r>
        <w:rPr>
          <w:rFonts w:hint="eastAsia"/>
        </w:rPr>
        <w:t>1、中国证监会批准设立南方稳航120天滚动持有债券型证券投资基金的文件；</w:t>
      </w:r>
    </w:p>
    <w:p w14:paraId="5810ADC1">
      <w:pPr>
        <w:pStyle w:val="18"/>
        <w:rPr>
          <w:rFonts w:hint="eastAsia"/>
        </w:rPr>
      </w:pPr>
      <w:r>
        <w:rPr>
          <w:rFonts w:hint="eastAsia"/>
        </w:rPr>
        <w:t>2、《南方稳航120天滚动持有债券型证券投资基金基金合同》；</w:t>
      </w:r>
    </w:p>
    <w:p w14:paraId="1B53CDD3">
      <w:pPr>
        <w:pStyle w:val="18"/>
        <w:rPr>
          <w:rFonts w:hint="eastAsia"/>
        </w:rPr>
      </w:pPr>
      <w:r>
        <w:rPr>
          <w:rFonts w:hint="eastAsia"/>
        </w:rPr>
        <w:t>3、《南方稳航120天滚动持有债券型证券投资基金托管协议》；</w:t>
      </w:r>
    </w:p>
    <w:p w14:paraId="4695D38E">
      <w:pPr>
        <w:pStyle w:val="18"/>
        <w:rPr>
          <w:rFonts w:hint="eastAsia"/>
        </w:rPr>
      </w:pPr>
      <w:r>
        <w:rPr>
          <w:rFonts w:hint="eastAsia"/>
        </w:rPr>
        <w:t>4、基金管理人业务资格批件、营业执照；</w:t>
      </w:r>
    </w:p>
    <w:p w14:paraId="0DAC2E46">
      <w:pPr>
        <w:pStyle w:val="18"/>
        <w:rPr>
          <w:rFonts w:hint="eastAsia"/>
        </w:rPr>
      </w:pPr>
      <w:r>
        <w:rPr>
          <w:rFonts w:hint="eastAsia"/>
        </w:rPr>
        <w:t>5、报告期内在选定报刊上披露的各项公告；</w:t>
      </w:r>
    </w:p>
    <w:p w14:paraId="768739A7">
      <w:pPr>
        <w:pStyle w:val="18"/>
        <w:rPr>
          <w:rFonts w:hint="eastAsia"/>
        </w:rPr>
      </w:pPr>
      <w:r>
        <w:rPr>
          <w:rFonts w:hint="eastAsia"/>
        </w:rPr>
        <w:t>6、《南方稳航120天滚动持有债券型证券投资基金2025年年度报告》原文。</w:t>
      </w:r>
    </w:p>
    <w:p w14:paraId="59383266">
      <w:pPr>
        <w:pStyle w:val="23"/>
      </w:pPr>
      <w:bookmarkStart w:id="202" w:name="_Toc10258"/>
      <w:r>
        <w:t>存放地点</w:t>
      </w:r>
      <w:bookmarkEnd w:id="202"/>
    </w:p>
    <w:p w14:paraId="075396BF">
      <w:pPr>
        <w:pStyle w:val="18"/>
        <w:rPr>
          <w:rFonts w:hint="eastAsia"/>
        </w:rPr>
      </w:pPr>
      <w:r>
        <w:rPr>
          <w:rFonts w:hint="eastAsia"/>
        </w:rPr>
        <w:t>深圳市福田区莲花街道益田路5999号基金大厦32-42楼。</w:t>
      </w:r>
    </w:p>
    <w:p w14:paraId="6528A1AA">
      <w:pPr>
        <w:pStyle w:val="23"/>
      </w:pPr>
      <w:bookmarkStart w:id="203" w:name="_Toc21734"/>
      <w:r>
        <w:t>查阅方式</w:t>
      </w:r>
      <w:bookmarkEnd w:id="203"/>
    </w:p>
    <w:p w14:paraId="47ECB6F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BB731">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21B1F">
    <w:pPr>
      <w:pStyle w:val="7"/>
      <w:pBdr>
        <w:bottom w:val="single" w:color="auto" w:sz="4" w:space="1"/>
      </w:pBdr>
      <w:jc w:val="right"/>
    </w:pPr>
    <w:r>
      <w:t>南方稳航120天滚动持有债券型证券投资基金2025年年度报告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AEF8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A8A3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2026-03-28T02:10:33Z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5B2B2E024DAF4BCB9503EA28F3D8E5A7_12</vt:lpwstr>
  </property>
</Properties>
</file>