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8EC47">
      <w:pPr>
        <w:pStyle w:val="18"/>
        <w:ind w:firstLine="420"/>
      </w:pPr>
      <w:bookmarkStart w:id="214" w:name="_GoBack"/>
      <w:bookmarkEnd w:id="214"/>
    </w:p>
    <w:p w14:paraId="59D87E04">
      <w:pPr>
        <w:jc w:val="center"/>
        <w:rPr>
          <w:rFonts w:ascii="宋体" w:hAnsi="宋体"/>
          <w:b/>
          <w:bCs/>
          <w:sz w:val="28"/>
          <w:szCs w:val="30"/>
        </w:rPr>
      </w:pPr>
    </w:p>
    <w:p w14:paraId="7A061CA7">
      <w:pPr>
        <w:jc w:val="center"/>
        <w:rPr>
          <w:rFonts w:ascii="宋体" w:hAnsi="宋体"/>
          <w:b/>
          <w:bCs/>
          <w:sz w:val="48"/>
          <w:szCs w:val="30"/>
        </w:rPr>
      </w:pPr>
      <w:r>
        <w:rPr>
          <w:rFonts w:ascii="宋体" w:hAnsi="宋体"/>
          <w:b/>
          <w:bCs/>
          <w:sz w:val="48"/>
          <w:szCs w:val="30"/>
        </w:rPr>
        <w:t>南方稳见3个月持有期混合型基金中基金（FOF）2025年年度报告</w:t>
      </w:r>
    </w:p>
    <w:p w14:paraId="6FC27E26">
      <w:pPr>
        <w:jc w:val="center"/>
        <w:rPr>
          <w:rFonts w:ascii="宋体" w:hAnsi="宋体"/>
          <w:b/>
          <w:bCs/>
          <w:sz w:val="48"/>
          <w:szCs w:val="30"/>
        </w:rPr>
      </w:pPr>
      <w:bookmarkStart w:id="0" w:name="OLE_LINK2"/>
      <w:bookmarkStart w:id="1" w:name="OLE_LINK1"/>
    </w:p>
    <w:p w14:paraId="260361A8">
      <w:pPr>
        <w:jc w:val="center"/>
        <w:rPr>
          <w:rFonts w:ascii="宋体" w:hAnsi="宋体"/>
          <w:b/>
          <w:bCs/>
          <w:sz w:val="28"/>
          <w:szCs w:val="30"/>
        </w:rPr>
      </w:pPr>
    </w:p>
    <w:bookmarkEnd w:id="0"/>
    <w:bookmarkEnd w:id="1"/>
    <w:p w14:paraId="4A0213A9">
      <w:pPr>
        <w:jc w:val="center"/>
        <w:rPr>
          <w:rFonts w:ascii="宋体" w:hAnsi="宋体"/>
          <w:b/>
          <w:bCs/>
          <w:sz w:val="28"/>
          <w:szCs w:val="30"/>
        </w:rPr>
      </w:pPr>
      <w:r>
        <w:rPr>
          <w:rFonts w:ascii="宋体" w:hAnsi="宋体"/>
          <w:b/>
          <w:bCs/>
          <w:sz w:val="28"/>
          <w:szCs w:val="30"/>
        </w:rPr>
        <w:t>2025年12月31日</w:t>
      </w:r>
    </w:p>
    <w:p w14:paraId="436300ED">
      <w:pPr>
        <w:jc w:val="center"/>
        <w:rPr>
          <w:rFonts w:ascii="宋体" w:hAnsi="宋体"/>
          <w:sz w:val="28"/>
          <w:szCs w:val="30"/>
        </w:rPr>
      </w:pPr>
    </w:p>
    <w:p w14:paraId="51E898AB">
      <w:pPr>
        <w:jc w:val="center"/>
        <w:rPr>
          <w:rFonts w:ascii="宋体" w:hAnsi="宋体"/>
          <w:sz w:val="28"/>
          <w:szCs w:val="30"/>
        </w:rPr>
      </w:pPr>
    </w:p>
    <w:p w14:paraId="6224D8B7">
      <w:pPr>
        <w:jc w:val="center"/>
        <w:rPr>
          <w:rFonts w:ascii="宋体" w:hAnsi="宋体"/>
          <w:sz w:val="28"/>
          <w:szCs w:val="30"/>
        </w:rPr>
      </w:pPr>
    </w:p>
    <w:p w14:paraId="3BA6A49C">
      <w:pPr>
        <w:jc w:val="center"/>
        <w:rPr>
          <w:rFonts w:ascii="宋体" w:hAnsi="宋体"/>
          <w:sz w:val="28"/>
          <w:szCs w:val="30"/>
        </w:rPr>
      </w:pPr>
    </w:p>
    <w:p w14:paraId="5B23366B">
      <w:pPr>
        <w:jc w:val="center"/>
        <w:rPr>
          <w:rFonts w:ascii="宋体" w:hAnsi="宋体"/>
          <w:sz w:val="28"/>
          <w:szCs w:val="30"/>
        </w:rPr>
      </w:pPr>
    </w:p>
    <w:p w14:paraId="4F00F9CA">
      <w:pPr>
        <w:jc w:val="center"/>
        <w:rPr>
          <w:rFonts w:ascii="宋体" w:hAnsi="宋体"/>
          <w:sz w:val="28"/>
          <w:szCs w:val="30"/>
        </w:rPr>
      </w:pPr>
    </w:p>
    <w:p w14:paraId="75643D0D">
      <w:pPr>
        <w:jc w:val="center"/>
        <w:rPr>
          <w:rFonts w:ascii="宋体" w:hAnsi="宋体"/>
          <w:sz w:val="28"/>
          <w:szCs w:val="30"/>
        </w:rPr>
      </w:pPr>
    </w:p>
    <w:p w14:paraId="21927C5B">
      <w:pPr>
        <w:jc w:val="center"/>
        <w:rPr>
          <w:rFonts w:ascii="宋体" w:hAnsi="宋体"/>
          <w:sz w:val="28"/>
          <w:szCs w:val="30"/>
        </w:rPr>
      </w:pPr>
    </w:p>
    <w:p w14:paraId="6340B049">
      <w:pPr>
        <w:jc w:val="center"/>
        <w:rPr>
          <w:rFonts w:ascii="宋体" w:hAnsi="宋体"/>
          <w:sz w:val="28"/>
          <w:szCs w:val="30"/>
        </w:rPr>
      </w:pPr>
    </w:p>
    <w:p w14:paraId="2B82A03B">
      <w:pPr>
        <w:jc w:val="center"/>
        <w:rPr>
          <w:rFonts w:ascii="宋体" w:hAnsi="宋体"/>
          <w:sz w:val="28"/>
          <w:szCs w:val="30"/>
        </w:rPr>
      </w:pPr>
    </w:p>
    <w:p w14:paraId="47A63AD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B68A047">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76700567">
      <w:pPr>
        <w:ind w:firstLine="1687" w:firstLineChars="600"/>
        <w:rPr>
          <w:rFonts w:ascii="宋体" w:hAnsi="宋体"/>
          <w:b/>
          <w:bCs/>
          <w:sz w:val="28"/>
          <w:szCs w:val="30"/>
        </w:rPr>
      </w:pPr>
      <w:r>
        <w:rPr>
          <w:rFonts w:hint="eastAsia" w:ascii="宋体" w:hAnsi="宋体"/>
          <w:b/>
          <w:bCs/>
          <w:sz w:val="28"/>
          <w:szCs w:val="30"/>
        </w:rPr>
        <w:t>送出日期：2026年3月31日</w:t>
      </w:r>
    </w:p>
    <w:p w14:paraId="08B227B5">
      <w:pPr>
        <w:ind w:firstLine="1687" w:firstLineChars="600"/>
        <w:rPr>
          <w:rFonts w:ascii="宋体" w:hAnsi="宋体"/>
          <w:b/>
          <w:bCs/>
          <w:sz w:val="28"/>
          <w:szCs w:val="30"/>
        </w:rPr>
      </w:pPr>
    </w:p>
    <w:p w14:paraId="571294D9">
      <w:pPr>
        <w:snapToGrid w:val="0"/>
        <w:spacing w:line="360" w:lineRule="auto"/>
        <w:jc w:val="left"/>
      </w:pPr>
      <w:r>
        <w:br w:type="page"/>
      </w:r>
    </w:p>
    <w:p w14:paraId="004281CE"/>
    <w:p w14:paraId="2CE6C8AE">
      <w:pPr>
        <w:pStyle w:val="26"/>
      </w:pPr>
      <w:bookmarkStart w:id="2" w:name="_Toc5048"/>
      <w:r>
        <w:t>重要提示及目录</w:t>
      </w:r>
      <w:bookmarkEnd w:id="2"/>
    </w:p>
    <w:p w14:paraId="6BF7EBF9">
      <w:pPr>
        <w:pStyle w:val="23"/>
      </w:pPr>
      <w:bookmarkStart w:id="3" w:name="_Toc29786"/>
      <w:r>
        <w:t>重要提示</w:t>
      </w:r>
      <w:bookmarkEnd w:id="3"/>
    </w:p>
    <w:p w14:paraId="3E321E2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0951960">
      <w:pPr>
        <w:pStyle w:val="18"/>
        <w:rPr>
          <w:rFonts w:hint="eastAsia"/>
        </w:rPr>
      </w:pPr>
      <w:r>
        <w:rPr>
          <w:rFonts w:hint="eastAsia"/>
        </w:rPr>
        <w:t>本年度报告已经三分之二以上独立董事签字同意，并由董事长签发。</w:t>
      </w:r>
    </w:p>
    <w:p w14:paraId="06C234D8">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3F94455D">
      <w:pPr>
        <w:pStyle w:val="18"/>
        <w:rPr>
          <w:rFonts w:hint="eastAsia"/>
        </w:rPr>
      </w:pPr>
      <w:r>
        <w:rPr>
          <w:rFonts w:hint="eastAsia"/>
        </w:rPr>
        <w:t>基金管理人承诺以诚实信用、勤勉尽责的原则管理和运用基金资产，但不保证基金一定盈利。</w:t>
      </w:r>
    </w:p>
    <w:p w14:paraId="65E4DBAF">
      <w:pPr>
        <w:pStyle w:val="18"/>
        <w:rPr>
          <w:rFonts w:hint="eastAsia"/>
        </w:rPr>
      </w:pPr>
      <w:r>
        <w:rPr>
          <w:rFonts w:hint="eastAsia"/>
        </w:rPr>
        <w:t>基金的过往业绩并不代表其未来表现。投资有风险，投资者在作出投资决策前应仔细阅读本基金的招募说明书及其更新。</w:t>
      </w:r>
    </w:p>
    <w:p w14:paraId="14A21F3D">
      <w:pPr>
        <w:pStyle w:val="18"/>
        <w:rPr>
          <w:rFonts w:hint="eastAsia"/>
        </w:rPr>
      </w:pPr>
      <w:r>
        <w:rPr>
          <w:rFonts w:hint="eastAsia"/>
        </w:rPr>
        <w:t>本报告期自2025年4月28日（基金合同生效日）起至12月31日止。</w:t>
      </w:r>
    </w:p>
    <w:p w14:paraId="5C869EEA">
      <w:pPr>
        <w:pStyle w:val="23"/>
        <w:pageBreakBefore/>
      </w:pPr>
      <w:bookmarkStart w:id="4" w:name="_Toc21139"/>
      <w:r>
        <w:t>目录</w:t>
      </w:r>
      <w:bookmarkEnd w:id="4"/>
    </w:p>
    <w:sdt>
      <w:sdtPr>
        <w:rPr>
          <w:rFonts w:ascii="宋体" w:hAnsi="宋体" w:eastAsia="宋体"/>
          <w:color w:val="DBDBDB"/>
          <w:sz w:val="21"/>
          <w:szCs w:val="24"/>
          <w:lang w:val="en-US" w:eastAsia="zh-CN" w:bidi="ar-SA"/>
        </w:rPr>
        <w:id w:val="75351"/>
        <w:docPartObj>
          <w:docPartGallery w:val="Table of Contents"/>
          <w:docPartUnique/>
        </w:docPartObj>
      </w:sdtPr>
      <w:sdtEndPr>
        <w:rPr>
          <w:rFonts w:ascii="宋体" w:hAnsi="宋体" w:eastAsia="宋体"/>
          <w:b/>
          <w:color w:val="DBDBDB"/>
          <w:sz w:val="21"/>
          <w:szCs w:val="24"/>
          <w:lang w:val="en-US" w:eastAsia="zh-CN" w:bidi="ar-SA"/>
        </w:rPr>
      </w:sdtEndPr>
      <w:sdtContent>
        <w:p w14:paraId="011950FD">
          <w:pPr>
            <w:pStyle w:val="61"/>
            <w:spacing w:before="0" w:beforeLines="0" w:after="0" w:afterLines="0" w:line="240" w:lineRule="auto"/>
            <w:ind w:left="0" w:leftChars="0" w:right="0" w:rightChars="0" w:firstLine="0" w:firstLineChars="0"/>
            <w:jc w:val="center"/>
            <w:rPr>
              <w:b/>
            </w:rPr>
          </w:pPr>
          <w:r>
            <w:rPr>
              <w:b/>
              <w:lang w:val="zh-CN"/>
            </w:rPr>
            <w:t>目录</w:t>
          </w:r>
        </w:p>
        <w:p w14:paraId="7FBF701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_Toc5048 </w:instrText>
          </w:r>
          <w:r>
            <w:fldChar w:fldCharType="separate"/>
          </w:r>
          <w:r>
            <w:rPr>
              <w:rFonts w:hint="eastAsia"/>
            </w:rPr>
            <w:t xml:space="preserve">§1 </w:t>
          </w:r>
          <w:r>
            <w:t>重要提示及目录</w:t>
          </w:r>
          <w:r>
            <w:tab/>
          </w:r>
          <w:r>
            <w:fldChar w:fldCharType="begin"/>
          </w:r>
          <w:r>
            <w:instrText xml:space="preserve"> PAGEREF _Toc5048 \h </w:instrText>
          </w:r>
          <w:r>
            <w:fldChar w:fldCharType="separate"/>
          </w:r>
          <w:r>
            <w:t>1</w:t>
          </w:r>
          <w:r>
            <w:fldChar w:fldCharType="end"/>
          </w:r>
          <w:r>
            <w:fldChar w:fldCharType="end"/>
          </w:r>
        </w:p>
        <w:p w14:paraId="6AF01BF4">
          <w:pPr>
            <w:pStyle w:val="10"/>
            <w:tabs>
              <w:tab w:val="right" w:leader="dot" w:pos="8306"/>
            </w:tabs>
          </w:pPr>
          <w:r>
            <w:fldChar w:fldCharType="begin"/>
          </w:r>
          <w:r>
            <w:instrText xml:space="preserve"> HYPERLINK \l _Toc29786 </w:instrText>
          </w:r>
          <w:r>
            <w:fldChar w:fldCharType="separate"/>
          </w:r>
          <w:r>
            <w:rPr>
              <w:rFonts w:hint="eastAsia"/>
            </w:rPr>
            <w:t xml:space="preserve">1.1 </w:t>
          </w:r>
          <w:r>
            <w:t>重要提示</w:t>
          </w:r>
          <w:r>
            <w:tab/>
          </w:r>
          <w:r>
            <w:fldChar w:fldCharType="begin"/>
          </w:r>
          <w:r>
            <w:instrText xml:space="preserve"> PAGEREF _Toc29786 \h </w:instrText>
          </w:r>
          <w:r>
            <w:fldChar w:fldCharType="separate"/>
          </w:r>
          <w:r>
            <w:t>1</w:t>
          </w:r>
          <w:r>
            <w:fldChar w:fldCharType="end"/>
          </w:r>
          <w:r>
            <w:fldChar w:fldCharType="end"/>
          </w:r>
        </w:p>
        <w:p w14:paraId="0B3052E6">
          <w:pPr>
            <w:pStyle w:val="10"/>
            <w:tabs>
              <w:tab w:val="right" w:leader="dot" w:pos="8306"/>
            </w:tabs>
          </w:pPr>
          <w:r>
            <w:fldChar w:fldCharType="begin"/>
          </w:r>
          <w:r>
            <w:instrText xml:space="preserve"> HYPERLINK \l _Toc21139 </w:instrText>
          </w:r>
          <w:r>
            <w:fldChar w:fldCharType="separate"/>
          </w:r>
          <w:r>
            <w:rPr>
              <w:rFonts w:hint="eastAsia"/>
            </w:rPr>
            <w:t xml:space="preserve">1.2 </w:t>
          </w:r>
          <w:r>
            <w:t>目录</w:t>
          </w:r>
          <w:r>
            <w:tab/>
          </w:r>
          <w:r>
            <w:fldChar w:fldCharType="begin"/>
          </w:r>
          <w:r>
            <w:instrText xml:space="preserve"> PAGEREF _Toc21139 \h </w:instrText>
          </w:r>
          <w:r>
            <w:fldChar w:fldCharType="separate"/>
          </w:r>
          <w:r>
            <w:t>2</w:t>
          </w:r>
          <w:r>
            <w:fldChar w:fldCharType="end"/>
          </w:r>
          <w:r>
            <w:fldChar w:fldCharType="end"/>
          </w:r>
        </w:p>
        <w:p w14:paraId="4CB7DD93">
          <w:pPr>
            <w:pStyle w:val="8"/>
            <w:tabs>
              <w:tab w:val="right" w:leader="dot" w:pos="8306"/>
            </w:tabs>
          </w:pPr>
          <w:r>
            <w:fldChar w:fldCharType="begin"/>
          </w:r>
          <w:r>
            <w:instrText xml:space="preserve"> HYPERLINK \l _Toc9530 </w:instrText>
          </w:r>
          <w:r>
            <w:fldChar w:fldCharType="separate"/>
          </w:r>
          <w:r>
            <w:rPr>
              <w:rFonts w:hint="eastAsia"/>
            </w:rPr>
            <w:t xml:space="preserve">§2 </w:t>
          </w:r>
          <w:r>
            <w:t>基金简介</w:t>
          </w:r>
          <w:r>
            <w:tab/>
          </w:r>
          <w:r>
            <w:fldChar w:fldCharType="begin"/>
          </w:r>
          <w:r>
            <w:instrText xml:space="preserve"> PAGEREF _Toc9530 \h </w:instrText>
          </w:r>
          <w:r>
            <w:fldChar w:fldCharType="separate"/>
          </w:r>
          <w:r>
            <w:t>4</w:t>
          </w:r>
          <w:r>
            <w:fldChar w:fldCharType="end"/>
          </w:r>
          <w:r>
            <w:fldChar w:fldCharType="end"/>
          </w:r>
        </w:p>
        <w:p w14:paraId="11796B74">
          <w:pPr>
            <w:pStyle w:val="10"/>
            <w:tabs>
              <w:tab w:val="right" w:leader="dot" w:pos="8306"/>
            </w:tabs>
          </w:pPr>
          <w:r>
            <w:fldChar w:fldCharType="begin"/>
          </w:r>
          <w:r>
            <w:instrText xml:space="preserve"> HYPERLINK \l _Toc23619 </w:instrText>
          </w:r>
          <w:r>
            <w:fldChar w:fldCharType="separate"/>
          </w:r>
          <w:r>
            <w:rPr>
              <w:rFonts w:hint="eastAsia"/>
            </w:rPr>
            <w:t xml:space="preserve">2.1 </w:t>
          </w:r>
          <w:r>
            <w:t>基金基本情况</w:t>
          </w:r>
          <w:r>
            <w:tab/>
          </w:r>
          <w:r>
            <w:fldChar w:fldCharType="begin"/>
          </w:r>
          <w:r>
            <w:instrText xml:space="preserve"> PAGEREF _Toc23619 \h </w:instrText>
          </w:r>
          <w:r>
            <w:fldChar w:fldCharType="separate"/>
          </w:r>
          <w:r>
            <w:t>4</w:t>
          </w:r>
          <w:r>
            <w:fldChar w:fldCharType="end"/>
          </w:r>
          <w:r>
            <w:fldChar w:fldCharType="end"/>
          </w:r>
        </w:p>
        <w:p w14:paraId="595DB8D2">
          <w:pPr>
            <w:pStyle w:val="10"/>
            <w:tabs>
              <w:tab w:val="right" w:leader="dot" w:pos="8306"/>
            </w:tabs>
          </w:pPr>
          <w:r>
            <w:fldChar w:fldCharType="begin"/>
          </w:r>
          <w:r>
            <w:instrText xml:space="preserve"> HYPERLINK \l _Toc1376 </w:instrText>
          </w:r>
          <w:r>
            <w:fldChar w:fldCharType="separate"/>
          </w:r>
          <w:r>
            <w:rPr>
              <w:rFonts w:hint="eastAsia"/>
            </w:rPr>
            <w:t xml:space="preserve">2.2 </w:t>
          </w:r>
          <w:r>
            <w:t>基金产品说明</w:t>
          </w:r>
          <w:r>
            <w:tab/>
          </w:r>
          <w:r>
            <w:fldChar w:fldCharType="begin"/>
          </w:r>
          <w:r>
            <w:instrText xml:space="preserve"> PAGEREF _Toc1376 \h </w:instrText>
          </w:r>
          <w:r>
            <w:fldChar w:fldCharType="separate"/>
          </w:r>
          <w:r>
            <w:t>4</w:t>
          </w:r>
          <w:r>
            <w:fldChar w:fldCharType="end"/>
          </w:r>
          <w:r>
            <w:fldChar w:fldCharType="end"/>
          </w:r>
        </w:p>
        <w:p w14:paraId="3F1B90B9">
          <w:pPr>
            <w:pStyle w:val="10"/>
            <w:tabs>
              <w:tab w:val="right" w:leader="dot" w:pos="8306"/>
            </w:tabs>
          </w:pPr>
          <w:r>
            <w:fldChar w:fldCharType="begin"/>
          </w:r>
          <w:r>
            <w:instrText xml:space="preserve"> HYPERLINK \l _Toc19917 </w:instrText>
          </w:r>
          <w:r>
            <w:fldChar w:fldCharType="separate"/>
          </w:r>
          <w:r>
            <w:rPr>
              <w:rFonts w:hint="eastAsia"/>
            </w:rPr>
            <w:t xml:space="preserve">2.3 </w:t>
          </w:r>
          <w:r>
            <w:t>基金管理人和基金托管人</w:t>
          </w:r>
          <w:r>
            <w:tab/>
          </w:r>
          <w:r>
            <w:fldChar w:fldCharType="begin"/>
          </w:r>
          <w:r>
            <w:instrText xml:space="preserve"> PAGEREF _Toc19917 \h </w:instrText>
          </w:r>
          <w:r>
            <w:fldChar w:fldCharType="separate"/>
          </w:r>
          <w:r>
            <w:t>4</w:t>
          </w:r>
          <w:r>
            <w:fldChar w:fldCharType="end"/>
          </w:r>
          <w:r>
            <w:fldChar w:fldCharType="end"/>
          </w:r>
        </w:p>
        <w:p w14:paraId="7AA4AF4C">
          <w:pPr>
            <w:pStyle w:val="10"/>
            <w:tabs>
              <w:tab w:val="right" w:leader="dot" w:pos="8306"/>
            </w:tabs>
          </w:pPr>
          <w:r>
            <w:fldChar w:fldCharType="begin"/>
          </w:r>
          <w:r>
            <w:instrText xml:space="preserve"> HYPERLINK \l _Toc24038 </w:instrText>
          </w:r>
          <w:r>
            <w:fldChar w:fldCharType="separate"/>
          </w:r>
          <w:r>
            <w:rPr>
              <w:rFonts w:hint="eastAsia"/>
            </w:rPr>
            <w:t xml:space="preserve">2.4 </w:t>
          </w:r>
          <w:r>
            <w:t>信息披露方式</w:t>
          </w:r>
          <w:r>
            <w:tab/>
          </w:r>
          <w:r>
            <w:fldChar w:fldCharType="begin"/>
          </w:r>
          <w:r>
            <w:instrText xml:space="preserve"> PAGEREF _Toc24038 \h </w:instrText>
          </w:r>
          <w:r>
            <w:fldChar w:fldCharType="separate"/>
          </w:r>
          <w:r>
            <w:t>5</w:t>
          </w:r>
          <w:r>
            <w:fldChar w:fldCharType="end"/>
          </w:r>
          <w:r>
            <w:fldChar w:fldCharType="end"/>
          </w:r>
        </w:p>
        <w:p w14:paraId="5939202D">
          <w:pPr>
            <w:pStyle w:val="10"/>
            <w:tabs>
              <w:tab w:val="right" w:leader="dot" w:pos="8306"/>
            </w:tabs>
          </w:pPr>
          <w:r>
            <w:fldChar w:fldCharType="begin"/>
          </w:r>
          <w:r>
            <w:instrText xml:space="preserve"> HYPERLINK \l _Toc4972 </w:instrText>
          </w:r>
          <w:r>
            <w:fldChar w:fldCharType="separate"/>
          </w:r>
          <w:r>
            <w:rPr>
              <w:rFonts w:hint="eastAsia"/>
            </w:rPr>
            <w:t xml:space="preserve">2.5 </w:t>
          </w:r>
          <w:r>
            <w:t>其他相关资料</w:t>
          </w:r>
          <w:r>
            <w:tab/>
          </w:r>
          <w:r>
            <w:fldChar w:fldCharType="begin"/>
          </w:r>
          <w:r>
            <w:instrText xml:space="preserve"> PAGEREF _Toc4972 \h </w:instrText>
          </w:r>
          <w:r>
            <w:fldChar w:fldCharType="separate"/>
          </w:r>
          <w:r>
            <w:t>5</w:t>
          </w:r>
          <w:r>
            <w:fldChar w:fldCharType="end"/>
          </w:r>
          <w:r>
            <w:fldChar w:fldCharType="end"/>
          </w:r>
        </w:p>
        <w:p w14:paraId="7A7B226D">
          <w:pPr>
            <w:pStyle w:val="8"/>
            <w:tabs>
              <w:tab w:val="right" w:leader="dot" w:pos="8306"/>
            </w:tabs>
          </w:pPr>
          <w:r>
            <w:fldChar w:fldCharType="begin"/>
          </w:r>
          <w:r>
            <w:instrText xml:space="preserve"> HYPERLINK \l _Toc7063 </w:instrText>
          </w:r>
          <w:r>
            <w:fldChar w:fldCharType="separate"/>
          </w:r>
          <w:r>
            <w:rPr>
              <w:rFonts w:hint="eastAsia"/>
            </w:rPr>
            <w:t xml:space="preserve">§3 </w:t>
          </w:r>
          <w:r>
            <w:t>主要财务指标和基金净值表现</w:t>
          </w:r>
          <w:r>
            <w:tab/>
          </w:r>
          <w:r>
            <w:fldChar w:fldCharType="begin"/>
          </w:r>
          <w:r>
            <w:instrText xml:space="preserve"> PAGEREF _Toc7063 \h </w:instrText>
          </w:r>
          <w:r>
            <w:fldChar w:fldCharType="separate"/>
          </w:r>
          <w:r>
            <w:t>5</w:t>
          </w:r>
          <w:r>
            <w:fldChar w:fldCharType="end"/>
          </w:r>
          <w:r>
            <w:fldChar w:fldCharType="end"/>
          </w:r>
        </w:p>
        <w:p w14:paraId="59B81F98">
          <w:pPr>
            <w:pStyle w:val="10"/>
            <w:tabs>
              <w:tab w:val="right" w:leader="dot" w:pos="8306"/>
            </w:tabs>
          </w:pPr>
          <w:r>
            <w:fldChar w:fldCharType="begin"/>
          </w:r>
          <w:r>
            <w:instrText xml:space="preserve"> HYPERLINK \l _Toc14927 </w:instrText>
          </w:r>
          <w:r>
            <w:fldChar w:fldCharType="separate"/>
          </w:r>
          <w:r>
            <w:rPr>
              <w:rFonts w:hint="eastAsia"/>
            </w:rPr>
            <w:t xml:space="preserve">3.1 </w:t>
          </w:r>
          <w:r>
            <w:t>主要会计数据和财务指标</w:t>
          </w:r>
          <w:r>
            <w:tab/>
          </w:r>
          <w:r>
            <w:fldChar w:fldCharType="begin"/>
          </w:r>
          <w:r>
            <w:instrText xml:space="preserve"> PAGEREF _Toc14927 \h </w:instrText>
          </w:r>
          <w:r>
            <w:fldChar w:fldCharType="separate"/>
          </w:r>
          <w:r>
            <w:t>5</w:t>
          </w:r>
          <w:r>
            <w:fldChar w:fldCharType="end"/>
          </w:r>
          <w:r>
            <w:fldChar w:fldCharType="end"/>
          </w:r>
        </w:p>
        <w:p w14:paraId="1DA86969">
          <w:pPr>
            <w:pStyle w:val="10"/>
            <w:tabs>
              <w:tab w:val="right" w:leader="dot" w:pos="8306"/>
            </w:tabs>
          </w:pPr>
          <w:r>
            <w:fldChar w:fldCharType="begin"/>
          </w:r>
          <w:r>
            <w:instrText xml:space="preserve"> HYPERLINK \l _Toc25648 </w:instrText>
          </w:r>
          <w:r>
            <w:fldChar w:fldCharType="separate"/>
          </w:r>
          <w:r>
            <w:rPr>
              <w:rFonts w:hint="eastAsia"/>
            </w:rPr>
            <w:t xml:space="preserve">3.2 </w:t>
          </w:r>
          <w:r>
            <w:t>基金净值表现</w:t>
          </w:r>
          <w:r>
            <w:tab/>
          </w:r>
          <w:r>
            <w:fldChar w:fldCharType="begin"/>
          </w:r>
          <w:r>
            <w:instrText xml:space="preserve"> PAGEREF _Toc25648 \h </w:instrText>
          </w:r>
          <w:r>
            <w:fldChar w:fldCharType="separate"/>
          </w:r>
          <w:r>
            <w:t>6</w:t>
          </w:r>
          <w:r>
            <w:fldChar w:fldCharType="end"/>
          </w:r>
          <w:r>
            <w:fldChar w:fldCharType="end"/>
          </w:r>
        </w:p>
        <w:p w14:paraId="4AD4FFC4">
          <w:pPr>
            <w:pStyle w:val="10"/>
            <w:tabs>
              <w:tab w:val="right" w:leader="dot" w:pos="8306"/>
            </w:tabs>
          </w:pPr>
          <w:r>
            <w:fldChar w:fldCharType="begin"/>
          </w:r>
          <w:r>
            <w:instrText xml:space="preserve"> HYPERLINK \l _Toc4447 </w:instrText>
          </w:r>
          <w:r>
            <w:fldChar w:fldCharType="separate"/>
          </w:r>
          <w:r>
            <w:rPr>
              <w:rFonts w:hint="eastAsia"/>
            </w:rPr>
            <w:t xml:space="preserve">3.3 </w:t>
          </w:r>
          <w:r>
            <w:t>过去三年基金的利润分配情况</w:t>
          </w:r>
          <w:r>
            <w:tab/>
          </w:r>
          <w:r>
            <w:fldChar w:fldCharType="begin"/>
          </w:r>
          <w:r>
            <w:instrText xml:space="preserve"> PAGEREF _Toc4447 \h </w:instrText>
          </w:r>
          <w:r>
            <w:fldChar w:fldCharType="separate"/>
          </w:r>
          <w:r>
            <w:t>9</w:t>
          </w:r>
          <w:r>
            <w:fldChar w:fldCharType="end"/>
          </w:r>
          <w:r>
            <w:fldChar w:fldCharType="end"/>
          </w:r>
        </w:p>
        <w:p w14:paraId="4F34D27B">
          <w:pPr>
            <w:pStyle w:val="8"/>
            <w:tabs>
              <w:tab w:val="right" w:leader="dot" w:pos="8306"/>
            </w:tabs>
          </w:pPr>
          <w:r>
            <w:fldChar w:fldCharType="begin"/>
          </w:r>
          <w:r>
            <w:instrText xml:space="preserve"> HYPERLINK \l _Toc4752 </w:instrText>
          </w:r>
          <w:r>
            <w:fldChar w:fldCharType="separate"/>
          </w:r>
          <w:r>
            <w:rPr>
              <w:rFonts w:hint="eastAsia"/>
            </w:rPr>
            <w:t xml:space="preserve">§4 </w:t>
          </w:r>
          <w:r>
            <w:t>管理人报告</w:t>
          </w:r>
          <w:r>
            <w:tab/>
          </w:r>
          <w:r>
            <w:fldChar w:fldCharType="begin"/>
          </w:r>
          <w:r>
            <w:instrText xml:space="preserve"> PAGEREF _Toc4752 \h </w:instrText>
          </w:r>
          <w:r>
            <w:fldChar w:fldCharType="separate"/>
          </w:r>
          <w:r>
            <w:t>9</w:t>
          </w:r>
          <w:r>
            <w:fldChar w:fldCharType="end"/>
          </w:r>
          <w:r>
            <w:fldChar w:fldCharType="end"/>
          </w:r>
        </w:p>
        <w:p w14:paraId="4088DCFE">
          <w:pPr>
            <w:pStyle w:val="10"/>
            <w:tabs>
              <w:tab w:val="right" w:leader="dot" w:pos="8306"/>
            </w:tabs>
          </w:pPr>
          <w:r>
            <w:fldChar w:fldCharType="begin"/>
          </w:r>
          <w:r>
            <w:instrText xml:space="preserve"> HYPERLINK \l _Toc6449 </w:instrText>
          </w:r>
          <w:r>
            <w:fldChar w:fldCharType="separate"/>
          </w:r>
          <w:r>
            <w:rPr>
              <w:rFonts w:hint="eastAsia"/>
            </w:rPr>
            <w:t xml:space="preserve">4.1 </w:t>
          </w:r>
          <w:r>
            <w:t>基金管理人及基金经理情况</w:t>
          </w:r>
          <w:r>
            <w:tab/>
          </w:r>
          <w:r>
            <w:fldChar w:fldCharType="begin"/>
          </w:r>
          <w:r>
            <w:instrText xml:space="preserve"> PAGEREF _Toc6449 \h </w:instrText>
          </w:r>
          <w:r>
            <w:fldChar w:fldCharType="separate"/>
          </w:r>
          <w:r>
            <w:t>9</w:t>
          </w:r>
          <w:r>
            <w:fldChar w:fldCharType="end"/>
          </w:r>
          <w:r>
            <w:fldChar w:fldCharType="end"/>
          </w:r>
        </w:p>
        <w:p w14:paraId="18A7CC93">
          <w:pPr>
            <w:pStyle w:val="10"/>
            <w:tabs>
              <w:tab w:val="right" w:leader="dot" w:pos="8306"/>
            </w:tabs>
          </w:pPr>
          <w:r>
            <w:fldChar w:fldCharType="begin"/>
          </w:r>
          <w:r>
            <w:instrText xml:space="preserve"> HYPERLINK \l _Toc14687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_Toc14687 \h </w:instrText>
          </w:r>
          <w:r>
            <w:fldChar w:fldCharType="separate"/>
          </w:r>
          <w:r>
            <w:t>10</w:t>
          </w:r>
          <w:r>
            <w:fldChar w:fldCharType="end"/>
          </w:r>
          <w:r>
            <w:fldChar w:fldCharType="end"/>
          </w:r>
        </w:p>
        <w:p w14:paraId="409C902E">
          <w:pPr>
            <w:pStyle w:val="10"/>
            <w:tabs>
              <w:tab w:val="right" w:leader="dot" w:pos="8306"/>
            </w:tabs>
          </w:pPr>
          <w:r>
            <w:fldChar w:fldCharType="begin"/>
          </w:r>
          <w:r>
            <w:instrText xml:space="preserve"> HYPERLINK \l _Toc1169 </w:instrText>
          </w:r>
          <w:r>
            <w:fldChar w:fldCharType="separate"/>
          </w:r>
          <w:r>
            <w:rPr>
              <w:rFonts w:hint="eastAsia"/>
            </w:rPr>
            <w:t xml:space="preserve">4.3 </w:t>
          </w:r>
          <w:r>
            <w:t>管理人对报告期内公平交易情况的专项说明</w:t>
          </w:r>
          <w:r>
            <w:tab/>
          </w:r>
          <w:r>
            <w:fldChar w:fldCharType="begin"/>
          </w:r>
          <w:r>
            <w:instrText xml:space="preserve"> PAGEREF _Toc1169 \h </w:instrText>
          </w:r>
          <w:r>
            <w:fldChar w:fldCharType="separate"/>
          </w:r>
          <w:r>
            <w:t>10</w:t>
          </w:r>
          <w:r>
            <w:fldChar w:fldCharType="end"/>
          </w:r>
          <w:r>
            <w:fldChar w:fldCharType="end"/>
          </w:r>
        </w:p>
        <w:p w14:paraId="7525903D">
          <w:pPr>
            <w:pStyle w:val="10"/>
            <w:tabs>
              <w:tab w:val="right" w:leader="dot" w:pos="8306"/>
            </w:tabs>
          </w:pPr>
          <w:r>
            <w:fldChar w:fldCharType="begin"/>
          </w:r>
          <w:r>
            <w:instrText xml:space="preserve"> HYPERLINK \l _Toc2040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_Toc2040 \h </w:instrText>
          </w:r>
          <w:r>
            <w:fldChar w:fldCharType="separate"/>
          </w:r>
          <w:r>
            <w:t>11</w:t>
          </w:r>
          <w:r>
            <w:fldChar w:fldCharType="end"/>
          </w:r>
          <w:r>
            <w:fldChar w:fldCharType="end"/>
          </w:r>
        </w:p>
        <w:p w14:paraId="36FD9A79">
          <w:pPr>
            <w:pStyle w:val="10"/>
            <w:tabs>
              <w:tab w:val="right" w:leader="dot" w:pos="8306"/>
            </w:tabs>
          </w:pPr>
          <w:r>
            <w:fldChar w:fldCharType="begin"/>
          </w:r>
          <w:r>
            <w:instrText xml:space="preserve"> HYPERLINK \l _Toc22082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_Toc22082 \h </w:instrText>
          </w:r>
          <w:r>
            <w:fldChar w:fldCharType="separate"/>
          </w:r>
          <w:r>
            <w:t>12</w:t>
          </w:r>
          <w:r>
            <w:fldChar w:fldCharType="end"/>
          </w:r>
          <w:r>
            <w:fldChar w:fldCharType="end"/>
          </w:r>
        </w:p>
        <w:p w14:paraId="70656A65">
          <w:pPr>
            <w:pStyle w:val="10"/>
            <w:tabs>
              <w:tab w:val="right" w:leader="dot" w:pos="8306"/>
            </w:tabs>
          </w:pPr>
          <w:r>
            <w:fldChar w:fldCharType="begin"/>
          </w:r>
          <w:r>
            <w:instrText xml:space="preserve"> HYPERLINK \l _Toc2967 </w:instrText>
          </w:r>
          <w:r>
            <w:fldChar w:fldCharType="separate"/>
          </w:r>
          <w:r>
            <w:rPr>
              <w:rFonts w:hint="eastAsia"/>
            </w:rPr>
            <w:t xml:space="preserve">4.6 </w:t>
          </w:r>
          <w:r>
            <w:t>管理人内部有关本基金的监察稽核工作情况</w:t>
          </w:r>
          <w:r>
            <w:tab/>
          </w:r>
          <w:r>
            <w:fldChar w:fldCharType="begin"/>
          </w:r>
          <w:r>
            <w:instrText xml:space="preserve"> PAGEREF _Toc2967 \h </w:instrText>
          </w:r>
          <w:r>
            <w:fldChar w:fldCharType="separate"/>
          </w:r>
          <w:r>
            <w:t>13</w:t>
          </w:r>
          <w:r>
            <w:fldChar w:fldCharType="end"/>
          </w:r>
          <w:r>
            <w:fldChar w:fldCharType="end"/>
          </w:r>
        </w:p>
        <w:p w14:paraId="091568E3">
          <w:pPr>
            <w:pStyle w:val="10"/>
            <w:tabs>
              <w:tab w:val="right" w:leader="dot" w:pos="8306"/>
            </w:tabs>
          </w:pPr>
          <w:r>
            <w:fldChar w:fldCharType="begin"/>
          </w:r>
          <w:r>
            <w:instrText xml:space="preserve"> HYPERLINK \l _Toc19947 </w:instrText>
          </w:r>
          <w:r>
            <w:fldChar w:fldCharType="separate"/>
          </w:r>
          <w:r>
            <w:rPr>
              <w:rFonts w:hint="eastAsia"/>
            </w:rPr>
            <w:t xml:space="preserve">4.7 </w:t>
          </w:r>
          <w:r>
            <w:t>管理人对报告期内基金估值程序等事项的说明</w:t>
          </w:r>
          <w:r>
            <w:tab/>
          </w:r>
          <w:r>
            <w:fldChar w:fldCharType="begin"/>
          </w:r>
          <w:r>
            <w:instrText xml:space="preserve"> PAGEREF _Toc19947 \h </w:instrText>
          </w:r>
          <w:r>
            <w:fldChar w:fldCharType="separate"/>
          </w:r>
          <w:r>
            <w:t>14</w:t>
          </w:r>
          <w:r>
            <w:fldChar w:fldCharType="end"/>
          </w:r>
          <w:r>
            <w:fldChar w:fldCharType="end"/>
          </w:r>
        </w:p>
        <w:p w14:paraId="34D66FF1">
          <w:pPr>
            <w:pStyle w:val="10"/>
            <w:tabs>
              <w:tab w:val="right" w:leader="dot" w:pos="8306"/>
            </w:tabs>
          </w:pPr>
          <w:r>
            <w:fldChar w:fldCharType="begin"/>
          </w:r>
          <w:r>
            <w:instrText xml:space="preserve"> HYPERLINK \l _Toc22308 </w:instrText>
          </w:r>
          <w:r>
            <w:fldChar w:fldCharType="separate"/>
          </w:r>
          <w:r>
            <w:rPr>
              <w:rFonts w:hint="eastAsia"/>
            </w:rPr>
            <w:t xml:space="preserve">4.8 </w:t>
          </w:r>
          <w:r>
            <w:t>管理人对报告期内基金利润分配情况的说明</w:t>
          </w:r>
          <w:r>
            <w:tab/>
          </w:r>
          <w:r>
            <w:fldChar w:fldCharType="begin"/>
          </w:r>
          <w:r>
            <w:instrText xml:space="preserve"> PAGEREF _Toc22308 \h </w:instrText>
          </w:r>
          <w:r>
            <w:fldChar w:fldCharType="separate"/>
          </w:r>
          <w:r>
            <w:t>14</w:t>
          </w:r>
          <w:r>
            <w:fldChar w:fldCharType="end"/>
          </w:r>
          <w:r>
            <w:fldChar w:fldCharType="end"/>
          </w:r>
        </w:p>
        <w:p w14:paraId="2A66D426">
          <w:pPr>
            <w:pStyle w:val="10"/>
            <w:tabs>
              <w:tab w:val="right" w:leader="dot" w:pos="8306"/>
            </w:tabs>
          </w:pPr>
          <w:r>
            <w:fldChar w:fldCharType="begin"/>
          </w:r>
          <w:r>
            <w:instrText xml:space="preserve"> HYPERLINK \l _Toc9548 </w:instrText>
          </w:r>
          <w:r>
            <w:fldChar w:fldCharType="separate"/>
          </w:r>
          <w:r>
            <w:rPr>
              <w:rFonts w:hint="eastAsia"/>
            </w:rPr>
            <w:t xml:space="preserve">4.9 </w:t>
          </w:r>
          <w:r>
            <w:t>报告期内基金持有人数或基金资产净值预警说明</w:t>
          </w:r>
          <w:r>
            <w:tab/>
          </w:r>
          <w:r>
            <w:fldChar w:fldCharType="begin"/>
          </w:r>
          <w:r>
            <w:instrText xml:space="preserve"> PAGEREF _Toc9548 \h </w:instrText>
          </w:r>
          <w:r>
            <w:fldChar w:fldCharType="separate"/>
          </w:r>
          <w:r>
            <w:t>14</w:t>
          </w:r>
          <w:r>
            <w:fldChar w:fldCharType="end"/>
          </w:r>
          <w:r>
            <w:fldChar w:fldCharType="end"/>
          </w:r>
        </w:p>
        <w:p w14:paraId="1F24DEE8">
          <w:pPr>
            <w:pStyle w:val="8"/>
            <w:tabs>
              <w:tab w:val="right" w:leader="dot" w:pos="8306"/>
            </w:tabs>
          </w:pPr>
          <w:r>
            <w:fldChar w:fldCharType="begin"/>
          </w:r>
          <w:r>
            <w:instrText xml:space="preserve"> HYPERLINK \l _Toc11785 </w:instrText>
          </w:r>
          <w:r>
            <w:fldChar w:fldCharType="separate"/>
          </w:r>
          <w:r>
            <w:rPr>
              <w:rFonts w:hint="eastAsia"/>
            </w:rPr>
            <w:t xml:space="preserve">§5 </w:t>
          </w:r>
          <w:r>
            <w:t>托管人报告</w:t>
          </w:r>
          <w:r>
            <w:tab/>
          </w:r>
          <w:r>
            <w:fldChar w:fldCharType="begin"/>
          </w:r>
          <w:r>
            <w:instrText xml:space="preserve"> PAGEREF _Toc11785 \h </w:instrText>
          </w:r>
          <w:r>
            <w:fldChar w:fldCharType="separate"/>
          </w:r>
          <w:r>
            <w:t>15</w:t>
          </w:r>
          <w:r>
            <w:fldChar w:fldCharType="end"/>
          </w:r>
          <w:r>
            <w:fldChar w:fldCharType="end"/>
          </w:r>
        </w:p>
        <w:p w14:paraId="284CF2DB">
          <w:pPr>
            <w:pStyle w:val="10"/>
            <w:tabs>
              <w:tab w:val="right" w:leader="dot" w:pos="8306"/>
            </w:tabs>
          </w:pPr>
          <w:r>
            <w:fldChar w:fldCharType="begin"/>
          </w:r>
          <w:r>
            <w:instrText xml:space="preserve"> HYPERLINK \l _Toc26666 </w:instrText>
          </w:r>
          <w:r>
            <w:fldChar w:fldCharType="separate"/>
          </w:r>
          <w:r>
            <w:rPr>
              <w:rFonts w:hint="eastAsia"/>
            </w:rPr>
            <w:t xml:space="preserve">5.1 </w:t>
          </w:r>
          <w:r>
            <w:t>报告期内本基金托管人遵规守信情况声明</w:t>
          </w:r>
          <w:r>
            <w:tab/>
          </w:r>
          <w:r>
            <w:fldChar w:fldCharType="begin"/>
          </w:r>
          <w:r>
            <w:instrText xml:space="preserve"> PAGEREF _Toc26666 \h </w:instrText>
          </w:r>
          <w:r>
            <w:fldChar w:fldCharType="separate"/>
          </w:r>
          <w:r>
            <w:t>15</w:t>
          </w:r>
          <w:r>
            <w:fldChar w:fldCharType="end"/>
          </w:r>
          <w:r>
            <w:fldChar w:fldCharType="end"/>
          </w:r>
        </w:p>
        <w:p w14:paraId="6657C0F6">
          <w:pPr>
            <w:pStyle w:val="10"/>
            <w:tabs>
              <w:tab w:val="right" w:leader="dot" w:pos="8306"/>
            </w:tabs>
          </w:pPr>
          <w:r>
            <w:fldChar w:fldCharType="begin"/>
          </w:r>
          <w:r>
            <w:instrText xml:space="preserve"> HYPERLINK \l _Toc29422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_Toc29422 \h </w:instrText>
          </w:r>
          <w:r>
            <w:fldChar w:fldCharType="separate"/>
          </w:r>
          <w:r>
            <w:t>15</w:t>
          </w:r>
          <w:r>
            <w:fldChar w:fldCharType="end"/>
          </w:r>
          <w:r>
            <w:fldChar w:fldCharType="end"/>
          </w:r>
        </w:p>
        <w:p w14:paraId="1DB828A3">
          <w:pPr>
            <w:pStyle w:val="10"/>
            <w:tabs>
              <w:tab w:val="right" w:leader="dot" w:pos="8306"/>
            </w:tabs>
          </w:pPr>
          <w:r>
            <w:fldChar w:fldCharType="begin"/>
          </w:r>
          <w:r>
            <w:instrText xml:space="preserve"> HYPERLINK \l _Toc17561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_Toc17561 \h </w:instrText>
          </w:r>
          <w:r>
            <w:fldChar w:fldCharType="separate"/>
          </w:r>
          <w:r>
            <w:t>15</w:t>
          </w:r>
          <w:r>
            <w:fldChar w:fldCharType="end"/>
          </w:r>
          <w:r>
            <w:fldChar w:fldCharType="end"/>
          </w:r>
        </w:p>
        <w:p w14:paraId="4CA6EFBE">
          <w:pPr>
            <w:pStyle w:val="8"/>
            <w:tabs>
              <w:tab w:val="right" w:leader="dot" w:pos="8306"/>
            </w:tabs>
          </w:pPr>
          <w:r>
            <w:fldChar w:fldCharType="begin"/>
          </w:r>
          <w:r>
            <w:instrText xml:space="preserve"> HYPERLINK \l _Toc24934 </w:instrText>
          </w:r>
          <w:r>
            <w:fldChar w:fldCharType="separate"/>
          </w:r>
          <w:r>
            <w:rPr>
              <w:rFonts w:hint="eastAsia"/>
            </w:rPr>
            <w:t xml:space="preserve">§6 </w:t>
          </w:r>
          <w:r>
            <w:t>审计报告</w:t>
          </w:r>
          <w:r>
            <w:tab/>
          </w:r>
          <w:r>
            <w:fldChar w:fldCharType="begin"/>
          </w:r>
          <w:r>
            <w:instrText xml:space="preserve"> PAGEREF _Toc24934 \h </w:instrText>
          </w:r>
          <w:r>
            <w:fldChar w:fldCharType="separate"/>
          </w:r>
          <w:r>
            <w:t>15</w:t>
          </w:r>
          <w:r>
            <w:fldChar w:fldCharType="end"/>
          </w:r>
          <w:r>
            <w:fldChar w:fldCharType="end"/>
          </w:r>
        </w:p>
        <w:p w14:paraId="1E660D15">
          <w:pPr>
            <w:pStyle w:val="10"/>
            <w:tabs>
              <w:tab w:val="right" w:leader="dot" w:pos="8306"/>
            </w:tabs>
          </w:pPr>
          <w:r>
            <w:fldChar w:fldCharType="begin"/>
          </w:r>
          <w:r>
            <w:instrText xml:space="preserve"> HYPERLINK \l _Toc24198 </w:instrText>
          </w:r>
          <w:r>
            <w:fldChar w:fldCharType="separate"/>
          </w:r>
          <w:r>
            <w:rPr>
              <w:rFonts w:hint="eastAsia"/>
            </w:rPr>
            <w:t xml:space="preserve">6.1 </w:t>
          </w:r>
          <w:r>
            <w:t>审计报告基本信息</w:t>
          </w:r>
          <w:r>
            <w:tab/>
          </w:r>
          <w:r>
            <w:fldChar w:fldCharType="begin"/>
          </w:r>
          <w:r>
            <w:instrText xml:space="preserve"> PAGEREF _Toc24198 \h </w:instrText>
          </w:r>
          <w:r>
            <w:fldChar w:fldCharType="separate"/>
          </w:r>
          <w:r>
            <w:t>15</w:t>
          </w:r>
          <w:r>
            <w:fldChar w:fldCharType="end"/>
          </w:r>
          <w:r>
            <w:fldChar w:fldCharType="end"/>
          </w:r>
        </w:p>
        <w:p w14:paraId="39B298C5">
          <w:pPr>
            <w:pStyle w:val="10"/>
            <w:tabs>
              <w:tab w:val="right" w:leader="dot" w:pos="8306"/>
            </w:tabs>
          </w:pPr>
          <w:r>
            <w:fldChar w:fldCharType="begin"/>
          </w:r>
          <w:r>
            <w:instrText xml:space="preserve"> HYPERLINK \l _Toc4544 </w:instrText>
          </w:r>
          <w:r>
            <w:fldChar w:fldCharType="separate"/>
          </w:r>
          <w:r>
            <w:rPr>
              <w:rFonts w:hint="eastAsia"/>
            </w:rPr>
            <w:t xml:space="preserve">6.2 </w:t>
          </w:r>
          <w:r>
            <w:t>审计报告的基本内容</w:t>
          </w:r>
          <w:r>
            <w:tab/>
          </w:r>
          <w:r>
            <w:fldChar w:fldCharType="begin"/>
          </w:r>
          <w:r>
            <w:instrText xml:space="preserve"> PAGEREF _Toc4544 \h </w:instrText>
          </w:r>
          <w:r>
            <w:fldChar w:fldCharType="separate"/>
          </w:r>
          <w:r>
            <w:t>15</w:t>
          </w:r>
          <w:r>
            <w:fldChar w:fldCharType="end"/>
          </w:r>
          <w:r>
            <w:fldChar w:fldCharType="end"/>
          </w:r>
        </w:p>
        <w:p w14:paraId="5DA4F71A">
          <w:pPr>
            <w:pStyle w:val="8"/>
            <w:tabs>
              <w:tab w:val="right" w:leader="dot" w:pos="8306"/>
            </w:tabs>
          </w:pPr>
          <w:r>
            <w:fldChar w:fldCharType="begin"/>
          </w:r>
          <w:r>
            <w:instrText xml:space="preserve"> HYPERLINK \l _Toc18613 </w:instrText>
          </w:r>
          <w:r>
            <w:fldChar w:fldCharType="separate"/>
          </w:r>
          <w:r>
            <w:rPr>
              <w:rFonts w:hint="eastAsia"/>
            </w:rPr>
            <w:t xml:space="preserve">§7 </w:t>
          </w:r>
          <w:r>
            <w:t>年度财务报表</w:t>
          </w:r>
          <w:r>
            <w:tab/>
          </w:r>
          <w:r>
            <w:fldChar w:fldCharType="begin"/>
          </w:r>
          <w:r>
            <w:instrText xml:space="preserve"> PAGEREF _Toc18613 \h </w:instrText>
          </w:r>
          <w:r>
            <w:fldChar w:fldCharType="separate"/>
          </w:r>
          <w:r>
            <w:t>17</w:t>
          </w:r>
          <w:r>
            <w:fldChar w:fldCharType="end"/>
          </w:r>
          <w:r>
            <w:fldChar w:fldCharType="end"/>
          </w:r>
        </w:p>
        <w:p w14:paraId="41D87B1E">
          <w:pPr>
            <w:pStyle w:val="10"/>
            <w:tabs>
              <w:tab w:val="right" w:leader="dot" w:pos="8306"/>
            </w:tabs>
          </w:pPr>
          <w:r>
            <w:fldChar w:fldCharType="begin"/>
          </w:r>
          <w:r>
            <w:instrText xml:space="preserve"> HYPERLINK \l _Toc5777 </w:instrText>
          </w:r>
          <w:r>
            <w:fldChar w:fldCharType="separate"/>
          </w:r>
          <w:r>
            <w:rPr>
              <w:rFonts w:hint="eastAsia"/>
            </w:rPr>
            <w:t xml:space="preserve">7.1 </w:t>
          </w:r>
          <w:r>
            <w:t>资产负债表</w:t>
          </w:r>
          <w:r>
            <w:tab/>
          </w:r>
          <w:r>
            <w:fldChar w:fldCharType="begin"/>
          </w:r>
          <w:r>
            <w:instrText xml:space="preserve"> PAGEREF _Toc5777 \h </w:instrText>
          </w:r>
          <w:r>
            <w:fldChar w:fldCharType="separate"/>
          </w:r>
          <w:r>
            <w:t>18</w:t>
          </w:r>
          <w:r>
            <w:fldChar w:fldCharType="end"/>
          </w:r>
          <w:r>
            <w:fldChar w:fldCharType="end"/>
          </w:r>
        </w:p>
        <w:p w14:paraId="4F980F98">
          <w:pPr>
            <w:pStyle w:val="10"/>
            <w:tabs>
              <w:tab w:val="right" w:leader="dot" w:pos="8306"/>
            </w:tabs>
          </w:pPr>
          <w:r>
            <w:fldChar w:fldCharType="begin"/>
          </w:r>
          <w:r>
            <w:instrText xml:space="preserve"> HYPERLINK \l _Toc24558 </w:instrText>
          </w:r>
          <w:r>
            <w:fldChar w:fldCharType="separate"/>
          </w:r>
          <w:r>
            <w:rPr>
              <w:rFonts w:hint="eastAsia"/>
            </w:rPr>
            <w:t xml:space="preserve">7.2 </w:t>
          </w:r>
          <w:r>
            <w:t>利润表</w:t>
          </w:r>
          <w:r>
            <w:tab/>
          </w:r>
          <w:r>
            <w:fldChar w:fldCharType="begin"/>
          </w:r>
          <w:r>
            <w:instrText xml:space="preserve"> PAGEREF _Toc24558 \h </w:instrText>
          </w:r>
          <w:r>
            <w:fldChar w:fldCharType="separate"/>
          </w:r>
          <w:r>
            <w:t>19</w:t>
          </w:r>
          <w:r>
            <w:fldChar w:fldCharType="end"/>
          </w:r>
          <w:r>
            <w:fldChar w:fldCharType="end"/>
          </w:r>
        </w:p>
        <w:p w14:paraId="41B04E71">
          <w:pPr>
            <w:pStyle w:val="10"/>
            <w:tabs>
              <w:tab w:val="right" w:leader="dot" w:pos="8306"/>
            </w:tabs>
          </w:pPr>
          <w:r>
            <w:fldChar w:fldCharType="begin"/>
          </w:r>
          <w:r>
            <w:instrText xml:space="preserve"> HYPERLINK \l _Toc21878 </w:instrText>
          </w:r>
          <w:r>
            <w:fldChar w:fldCharType="separate"/>
          </w:r>
          <w:r>
            <w:rPr>
              <w:rFonts w:hint="eastAsia"/>
            </w:rPr>
            <w:t xml:space="preserve">7.3 </w:t>
          </w:r>
          <w:r>
            <w:t>净资产变动表</w:t>
          </w:r>
          <w:r>
            <w:tab/>
          </w:r>
          <w:r>
            <w:fldChar w:fldCharType="begin"/>
          </w:r>
          <w:r>
            <w:instrText xml:space="preserve"> PAGEREF _Toc21878 \h </w:instrText>
          </w:r>
          <w:r>
            <w:fldChar w:fldCharType="separate"/>
          </w:r>
          <w:r>
            <w:t>20</w:t>
          </w:r>
          <w:r>
            <w:fldChar w:fldCharType="end"/>
          </w:r>
          <w:r>
            <w:fldChar w:fldCharType="end"/>
          </w:r>
        </w:p>
        <w:p w14:paraId="57F054B4">
          <w:pPr>
            <w:pStyle w:val="10"/>
            <w:tabs>
              <w:tab w:val="right" w:leader="dot" w:pos="8306"/>
            </w:tabs>
          </w:pPr>
          <w:r>
            <w:fldChar w:fldCharType="begin"/>
          </w:r>
          <w:r>
            <w:instrText xml:space="preserve"> HYPERLINK \l _Toc26037 </w:instrText>
          </w:r>
          <w:r>
            <w:fldChar w:fldCharType="separate"/>
          </w:r>
          <w:r>
            <w:rPr>
              <w:rFonts w:hint="eastAsia"/>
            </w:rPr>
            <w:t xml:space="preserve">7.4 </w:t>
          </w:r>
          <w:r>
            <w:t>报表附注</w:t>
          </w:r>
          <w:r>
            <w:tab/>
          </w:r>
          <w:r>
            <w:fldChar w:fldCharType="begin"/>
          </w:r>
          <w:r>
            <w:instrText xml:space="preserve"> PAGEREF _Toc26037 \h </w:instrText>
          </w:r>
          <w:r>
            <w:fldChar w:fldCharType="separate"/>
          </w:r>
          <w:r>
            <w:t>21</w:t>
          </w:r>
          <w:r>
            <w:fldChar w:fldCharType="end"/>
          </w:r>
          <w:r>
            <w:fldChar w:fldCharType="end"/>
          </w:r>
        </w:p>
        <w:p w14:paraId="3A791F9A">
          <w:pPr>
            <w:pStyle w:val="8"/>
            <w:tabs>
              <w:tab w:val="right" w:leader="dot" w:pos="8306"/>
            </w:tabs>
          </w:pPr>
          <w:r>
            <w:fldChar w:fldCharType="begin"/>
          </w:r>
          <w:r>
            <w:instrText xml:space="preserve"> HYPERLINK \l _Toc29027 </w:instrText>
          </w:r>
          <w:r>
            <w:fldChar w:fldCharType="separate"/>
          </w:r>
          <w:r>
            <w:rPr>
              <w:rFonts w:hint="eastAsia"/>
            </w:rPr>
            <w:t xml:space="preserve">§8 </w:t>
          </w:r>
          <w:r>
            <w:t>投资组合报告</w:t>
          </w:r>
          <w:r>
            <w:tab/>
          </w:r>
          <w:r>
            <w:fldChar w:fldCharType="begin"/>
          </w:r>
          <w:r>
            <w:instrText xml:space="preserve"> PAGEREF _Toc29027 \h </w:instrText>
          </w:r>
          <w:r>
            <w:fldChar w:fldCharType="separate"/>
          </w:r>
          <w:r>
            <w:t>47</w:t>
          </w:r>
          <w:r>
            <w:fldChar w:fldCharType="end"/>
          </w:r>
          <w:r>
            <w:fldChar w:fldCharType="end"/>
          </w:r>
        </w:p>
        <w:p w14:paraId="3798186D">
          <w:pPr>
            <w:pStyle w:val="10"/>
            <w:tabs>
              <w:tab w:val="right" w:leader="dot" w:pos="8306"/>
            </w:tabs>
          </w:pPr>
          <w:r>
            <w:fldChar w:fldCharType="begin"/>
          </w:r>
          <w:r>
            <w:instrText xml:space="preserve"> HYPERLINK \l _Toc11337 </w:instrText>
          </w:r>
          <w:r>
            <w:fldChar w:fldCharType="separate"/>
          </w:r>
          <w:r>
            <w:rPr>
              <w:rFonts w:hint="eastAsia"/>
            </w:rPr>
            <w:t xml:space="preserve">8.1 </w:t>
          </w:r>
          <w:r>
            <w:t>期末基金资产组合情况</w:t>
          </w:r>
          <w:r>
            <w:tab/>
          </w:r>
          <w:r>
            <w:fldChar w:fldCharType="begin"/>
          </w:r>
          <w:r>
            <w:instrText xml:space="preserve"> PAGEREF _Toc11337 \h </w:instrText>
          </w:r>
          <w:r>
            <w:fldChar w:fldCharType="separate"/>
          </w:r>
          <w:r>
            <w:t>47</w:t>
          </w:r>
          <w:r>
            <w:fldChar w:fldCharType="end"/>
          </w:r>
          <w:r>
            <w:fldChar w:fldCharType="end"/>
          </w:r>
        </w:p>
        <w:p w14:paraId="5B86CBDA">
          <w:pPr>
            <w:pStyle w:val="10"/>
            <w:tabs>
              <w:tab w:val="right" w:leader="dot" w:pos="8306"/>
            </w:tabs>
          </w:pPr>
          <w:r>
            <w:fldChar w:fldCharType="begin"/>
          </w:r>
          <w:r>
            <w:instrText xml:space="preserve"> HYPERLINK \l _Toc26682 </w:instrText>
          </w:r>
          <w:r>
            <w:fldChar w:fldCharType="separate"/>
          </w:r>
          <w:r>
            <w:rPr>
              <w:rFonts w:hint="eastAsia"/>
            </w:rPr>
            <w:t xml:space="preserve">8.2 </w:t>
          </w:r>
          <w:r>
            <w:t>报告期末按行业分类的股票投资组合</w:t>
          </w:r>
          <w:r>
            <w:tab/>
          </w:r>
          <w:r>
            <w:fldChar w:fldCharType="begin"/>
          </w:r>
          <w:r>
            <w:instrText xml:space="preserve"> PAGEREF _Toc26682 \h </w:instrText>
          </w:r>
          <w:r>
            <w:fldChar w:fldCharType="separate"/>
          </w:r>
          <w:r>
            <w:t>48</w:t>
          </w:r>
          <w:r>
            <w:fldChar w:fldCharType="end"/>
          </w:r>
          <w:r>
            <w:fldChar w:fldCharType="end"/>
          </w:r>
        </w:p>
        <w:p w14:paraId="1C29A051">
          <w:pPr>
            <w:pStyle w:val="10"/>
            <w:tabs>
              <w:tab w:val="right" w:leader="dot" w:pos="8306"/>
            </w:tabs>
          </w:pPr>
          <w:r>
            <w:fldChar w:fldCharType="begin"/>
          </w:r>
          <w:r>
            <w:instrText xml:space="preserve"> HYPERLINK \l _Toc6956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_Toc6956 \h </w:instrText>
          </w:r>
          <w:r>
            <w:fldChar w:fldCharType="separate"/>
          </w:r>
          <w:r>
            <w:t>48</w:t>
          </w:r>
          <w:r>
            <w:fldChar w:fldCharType="end"/>
          </w:r>
          <w:r>
            <w:fldChar w:fldCharType="end"/>
          </w:r>
        </w:p>
        <w:p w14:paraId="214917AB">
          <w:pPr>
            <w:pStyle w:val="10"/>
            <w:tabs>
              <w:tab w:val="right" w:leader="dot" w:pos="8306"/>
            </w:tabs>
          </w:pPr>
          <w:r>
            <w:fldChar w:fldCharType="begin"/>
          </w:r>
          <w:r>
            <w:instrText xml:space="preserve"> HYPERLINK \l _Toc2036 </w:instrText>
          </w:r>
          <w:r>
            <w:fldChar w:fldCharType="separate"/>
          </w:r>
          <w:r>
            <w:rPr>
              <w:rFonts w:hint="eastAsia"/>
            </w:rPr>
            <w:t xml:space="preserve">8.4 </w:t>
          </w:r>
          <w:r>
            <w:t>报告期内股票投资组合的重大变动</w:t>
          </w:r>
          <w:r>
            <w:tab/>
          </w:r>
          <w:r>
            <w:fldChar w:fldCharType="begin"/>
          </w:r>
          <w:r>
            <w:instrText xml:space="preserve"> PAGEREF _Toc2036 \h </w:instrText>
          </w:r>
          <w:r>
            <w:fldChar w:fldCharType="separate"/>
          </w:r>
          <w:r>
            <w:t>48</w:t>
          </w:r>
          <w:r>
            <w:fldChar w:fldCharType="end"/>
          </w:r>
          <w:r>
            <w:fldChar w:fldCharType="end"/>
          </w:r>
        </w:p>
        <w:p w14:paraId="59EBFA3A">
          <w:pPr>
            <w:pStyle w:val="10"/>
            <w:tabs>
              <w:tab w:val="right" w:leader="dot" w:pos="8306"/>
            </w:tabs>
          </w:pPr>
          <w:r>
            <w:fldChar w:fldCharType="begin"/>
          </w:r>
          <w:r>
            <w:instrText xml:space="preserve"> HYPERLINK \l _Toc17137 </w:instrText>
          </w:r>
          <w:r>
            <w:fldChar w:fldCharType="separate"/>
          </w:r>
          <w:r>
            <w:rPr>
              <w:rFonts w:hint="eastAsia"/>
            </w:rPr>
            <w:t xml:space="preserve">8.5 </w:t>
          </w:r>
          <w:r>
            <w:t>期末按债券品种分类的债券投资组合</w:t>
          </w:r>
          <w:r>
            <w:tab/>
          </w:r>
          <w:r>
            <w:fldChar w:fldCharType="begin"/>
          </w:r>
          <w:r>
            <w:instrText xml:space="preserve"> PAGEREF _Toc17137 \h </w:instrText>
          </w:r>
          <w:r>
            <w:fldChar w:fldCharType="separate"/>
          </w:r>
          <w:r>
            <w:t>48</w:t>
          </w:r>
          <w:r>
            <w:fldChar w:fldCharType="end"/>
          </w:r>
          <w:r>
            <w:fldChar w:fldCharType="end"/>
          </w:r>
        </w:p>
        <w:p w14:paraId="27D5AE8C">
          <w:pPr>
            <w:pStyle w:val="10"/>
            <w:tabs>
              <w:tab w:val="right" w:leader="dot" w:pos="8306"/>
            </w:tabs>
          </w:pPr>
          <w:r>
            <w:fldChar w:fldCharType="begin"/>
          </w:r>
          <w:r>
            <w:instrText xml:space="preserve"> HYPERLINK \l _Toc6000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_Toc6000 \h </w:instrText>
          </w:r>
          <w:r>
            <w:fldChar w:fldCharType="separate"/>
          </w:r>
          <w:r>
            <w:t>49</w:t>
          </w:r>
          <w:r>
            <w:fldChar w:fldCharType="end"/>
          </w:r>
          <w:r>
            <w:fldChar w:fldCharType="end"/>
          </w:r>
        </w:p>
        <w:p w14:paraId="72B11554">
          <w:pPr>
            <w:pStyle w:val="10"/>
            <w:tabs>
              <w:tab w:val="right" w:leader="dot" w:pos="8306"/>
            </w:tabs>
          </w:pPr>
          <w:r>
            <w:fldChar w:fldCharType="begin"/>
          </w:r>
          <w:r>
            <w:instrText xml:space="preserve"> HYPERLINK \l _Toc11587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_Toc11587 \h </w:instrText>
          </w:r>
          <w:r>
            <w:fldChar w:fldCharType="separate"/>
          </w:r>
          <w:r>
            <w:t>49</w:t>
          </w:r>
          <w:r>
            <w:fldChar w:fldCharType="end"/>
          </w:r>
          <w:r>
            <w:fldChar w:fldCharType="end"/>
          </w:r>
        </w:p>
        <w:p w14:paraId="5B30CE80">
          <w:pPr>
            <w:pStyle w:val="10"/>
            <w:tabs>
              <w:tab w:val="right" w:leader="dot" w:pos="8306"/>
            </w:tabs>
          </w:pPr>
          <w:r>
            <w:fldChar w:fldCharType="begin"/>
          </w:r>
          <w:r>
            <w:instrText xml:space="preserve"> HYPERLINK \l _Toc1737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_Toc1737 \h </w:instrText>
          </w:r>
          <w:r>
            <w:fldChar w:fldCharType="separate"/>
          </w:r>
          <w:r>
            <w:t>49</w:t>
          </w:r>
          <w:r>
            <w:fldChar w:fldCharType="end"/>
          </w:r>
          <w:r>
            <w:fldChar w:fldCharType="end"/>
          </w:r>
        </w:p>
        <w:p w14:paraId="6069A9ED">
          <w:pPr>
            <w:pStyle w:val="10"/>
            <w:tabs>
              <w:tab w:val="right" w:leader="dot" w:pos="8306"/>
            </w:tabs>
          </w:pPr>
          <w:r>
            <w:fldChar w:fldCharType="begin"/>
          </w:r>
          <w:r>
            <w:instrText xml:space="preserve"> HYPERLINK \l _Toc27242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_Toc27242 \h </w:instrText>
          </w:r>
          <w:r>
            <w:fldChar w:fldCharType="separate"/>
          </w:r>
          <w:r>
            <w:t>49</w:t>
          </w:r>
          <w:r>
            <w:fldChar w:fldCharType="end"/>
          </w:r>
          <w:r>
            <w:fldChar w:fldCharType="end"/>
          </w:r>
        </w:p>
        <w:p w14:paraId="66E2401D">
          <w:pPr>
            <w:pStyle w:val="10"/>
            <w:tabs>
              <w:tab w:val="right" w:leader="dot" w:pos="8306"/>
            </w:tabs>
          </w:pPr>
          <w:r>
            <w:fldChar w:fldCharType="begin"/>
          </w:r>
          <w:r>
            <w:instrText xml:space="preserve"> HYPERLINK \l _Toc27482 </w:instrText>
          </w:r>
          <w:r>
            <w:fldChar w:fldCharType="separate"/>
          </w:r>
          <w:r>
            <w:rPr>
              <w:rFonts w:hint="eastAsia"/>
            </w:rPr>
            <w:t xml:space="preserve">8.10 </w:t>
          </w:r>
          <w:r>
            <w:t>本基金投资股指期货的投资政策</w:t>
          </w:r>
          <w:r>
            <w:tab/>
          </w:r>
          <w:r>
            <w:fldChar w:fldCharType="begin"/>
          </w:r>
          <w:r>
            <w:instrText xml:space="preserve"> PAGEREF _Toc27482 \h </w:instrText>
          </w:r>
          <w:r>
            <w:fldChar w:fldCharType="separate"/>
          </w:r>
          <w:r>
            <w:t>49</w:t>
          </w:r>
          <w:r>
            <w:fldChar w:fldCharType="end"/>
          </w:r>
          <w:r>
            <w:fldChar w:fldCharType="end"/>
          </w:r>
        </w:p>
        <w:p w14:paraId="630DCD95">
          <w:pPr>
            <w:pStyle w:val="10"/>
            <w:tabs>
              <w:tab w:val="right" w:leader="dot" w:pos="8306"/>
            </w:tabs>
          </w:pPr>
          <w:r>
            <w:fldChar w:fldCharType="begin"/>
          </w:r>
          <w:r>
            <w:instrText xml:space="preserve"> HYPERLINK \l _Toc12226 </w:instrText>
          </w:r>
          <w:r>
            <w:fldChar w:fldCharType="separate"/>
          </w:r>
          <w:r>
            <w:rPr>
              <w:rFonts w:hint="eastAsia"/>
            </w:rPr>
            <w:t xml:space="preserve">8.11 </w:t>
          </w:r>
          <w:r>
            <w:t>报告期末本基金投资的国债期货交易情况说明</w:t>
          </w:r>
          <w:r>
            <w:tab/>
          </w:r>
          <w:r>
            <w:fldChar w:fldCharType="begin"/>
          </w:r>
          <w:r>
            <w:instrText xml:space="preserve"> PAGEREF _Toc12226 \h </w:instrText>
          </w:r>
          <w:r>
            <w:fldChar w:fldCharType="separate"/>
          </w:r>
          <w:r>
            <w:t>49</w:t>
          </w:r>
          <w:r>
            <w:fldChar w:fldCharType="end"/>
          </w:r>
          <w:r>
            <w:fldChar w:fldCharType="end"/>
          </w:r>
        </w:p>
        <w:p w14:paraId="3BB38DF3">
          <w:pPr>
            <w:pStyle w:val="10"/>
            <w:tabs>
              <w:tab w:val="right" w:leader="dot" w:pos="8306"/>
            </w:tabs>
          </w:pPr>
          <w:r>
            <w:fldChar w:fldCharType="begin"/>
          </w:r>
          <w:r>
            <w:instrText xml:space="preserve"> HYPERLINK \l _Toc27859 </w:instrText>
          </w:r>
          <w:r>
            <w:fldChar w:fldCharType="separate"/>
          </w:r>
          <w:r>
            <w:rPr>
              <w:rFonts w:hint="eastAsia"/>
            </w:rPr>
            <w:t xml:space="preserve">8.12 </w:t>
          </w:r>
          <w:r>
            <w:t>本报告期投资基金情况</w:t>
          </w:r>
          <w:r>
            <w:tab/>
          </w:r>
          <w:r>
            <w:fldChar w:fldCharType="begin"/>
          </w:r>
          <w:r>
            <w:instrText xml:space="preserve"> PAGEREF _Toc27859 \h </w:instrText>
          </w:r>
          <w:r>
            <w:fldChar w:fldCharType="separate"/>
          </w:r>
          <w:r>
            <w:t>50</w:t>
          </w:r>
          <w:r>
            <w:fldChar w:fldCharType="end"/>
          </w:r>
          <w:r>
            <w:fldChar w:fldCharType="end"/>
          </w:r>
        </w:p>
        <w:p w14:paraId="427826C0">
          <w:pPr>
            <w:pStyle w:val="10"/>
            <w:tabs>
              <w:tab w:val="right" w:leader="dot" w:pos="8306"/>
            </w:tabs>
          </w:pPr>
          <w:r>
            <w:fldChar w:fldCharType="begin"/>
          </w:r>
          <w:r>
            <w:instrText xml:space="preserve"> HYPERLINK \l _Toc14066 </w:instrText>
          </w:r>
          <w:r>
            <w:fldChar w:fldCharType="separate"/>
          </w:r>
          <w:r>
            <w:rPr>
              <w:rFonts w:hint="eastAsia"/>
            </w:rPr>
            <w:t xml:space="preserve">8.13 </w:t>
          </w:r>
          <w:r>
            <w:t>投资组合报告附注</w:t>
          </w:r>
          <w:r>
            <w:tab/>
          </w:r>
          <w:r>
            <w:fldChar w:fldCharType="begin"/>
          </w:r>
          <w:r>
            <w:instrText xml:space="preserve"> PAGEREF _Toc14066 \h </w:instrText>
          </w:r>
          <w:r>
            <w:fldChar w:fldCharType="separate"/>
          </w:r>
          <w:r>
            <w:t>54</w:t>
          </w:r>
          <w:r>
            <w:fldChar w:fldCharType="end"/>
          </w:r>
          <w:r>
            <w:fldChar w:fldCharType="end"/>
          </w:r>
        </w:p>
        <w:p w14:paraId="6E10DE7C">
          <w:pPr>
            <w:pStyle w:val="8"/>
            <w:tabs>
              <w:tab w:val="right" w:leader="dot" w:pos="8306"/>
            </w:tabs>
          </w:pPr>
          <w:r>
            <w:fldChar w:fldCharType="begin"/>
          </w:r>
          <w:r>
            <w:instrText xml:space="preserve"> HYPERLINK \l _Toc13328 </w:instrText>
          </w:r>
          <w:r>
            <w:fldChar w:fldCharType="separate"/>
          </w:r>
          <w:r>
            <w:rPr>
              <w:rFonts w:hint="eastAsia"/>
            </w:rPr>
            <w:t xml:space="preserve">§9 </w:t>
          </w:r>
          <w:r>
            <w:t>基金份额持有人信息</w:t>
          </w:r>
          <w:r>
            <w:tab/>
          </w:r>
          <w:r>
            <w:fldChar w:fldCharType="begin"/>
          </w:r>
          <w:r>
            <w:instrText xml:space="preserve"> PAGEREF _Toc13328 \h </w:instrText>
          </w:r>
          <w:r>
            <w:fldChar w:fldCharType="separate"/>
          </w:r>
          <w:r>
            <w:t>55</w:t>
          </w:r>
          <w:r>
            <w:fldChar w:fldCharType="end"/>
          </w:r>
          <w:r>
            <w:fldChar w:fldCharType="end"/>
          </w:r>
        </w:p>
        <w:p w14:paraId="2100FC61">
          <w:pPr>
            <w:pStyle w:val="10"/>
            <w:tabs>
              <w:tab w:val="right" w:leader="dot" w:pos="8306"/>
            </w:tabs>
          </w:pPr>
          <w:r>
            <w:fldChar w:fldCharType="begin"/>
          </w:r>
          <w:r>
            <w:instrText xml:space="preserve"> HYPERLINK \l _Toc19440 </w:instrText>
          </w:r>
          <w:r>
            <w:fldChar w:fldCharType="separate"/>
          </w:r>
          <w:r>
            <w:rPr>
              <w:rFonts w:hint="eastAsia"/>
            </w:rPr>
            <w:t xml:space="preserve">9.1 </w:t>
          </w:r>
          <w:r>
            <w:t>期末基金份额持有人户数及持有人结构</w:t>
          </w:r>
          <w:r>
            <w:tab/>
          </w:r>
          <w:r>
            <w:fldChar w:fldCharType="begin"/>
          </w:r>
          <w:r>
            <w:instrText xml:space="preserve"> PAGEREF _Toc19440 \h </w:instrText>
          </w:r>
          <w:r>
            <w:fldChar w:fldCharType="separate"/>
          </w:r>
          <w:r>
            <w:t>55</w:t>
          </w:r>
          <w:r>
            <w:fldChar w:fldCharType="end"/>
          </w:r>
          <w:r>
            <w:fldChar w:fldCharType="end"/>
          </w:r>
        </w:p>
        <w:p w14:paraId="131434C0">
          <w:pPr>
            <w:pStyle w:val="10"/>
            <w:tabs>
              <w:tab w:val="right" w:leader="dot" w:pos="8306"/>
            </w:tabs>
          </w:pPr>
          <w:r>
            <w:fldChar w:fldCharType="begin"/>
          </w:r>
          <w:r>
            <w:instrText xml:space="preserve"> HYPERLINK \l _Toc12692 </w:instrText>
          </w:r>
          <w:r>
            <w:fldChar w:fldCharType="separate"/>
          </w:r>
          <w:r>
            <w:rPr>
              <w:rFonts w:hint="eastAsia"/>
            </w:rPr>
            <w:t xml:space="preserve">9.2 </w:t>
          </w:r>
          <w:r>
            <w:t>期末基金管理人的从业人员持有本基金的情况</w:t>
          </w:r>
          <w:r>
            <w:tab/>
          </w:r>
          <w:r>
            <w:fldChar w:fldCharType="begin"/>
          </w:r>
          <w:r>
            <w:instrText xml:space="preserve"> PAGEREF _Toc12692 \h </w:instrText>
          </w:r>
          <w:r>
            <w:fldChar w:fldCharType="separate"/>
          </w:r>
          <w:r>
            <w:t>56</w:t>
          </w:r>
          <w:r>
            <w:fldChar w:fldCharType="end"/>
          </w:r>
          <w:r>
            <w:fldChar w:fldCharType="end"/>
          </w:r>
        </w:p>
        <w:p w14:paraId="4B575AB2">
          <w:pPr>
            <w:pStyle w:val="10"/>
            <w:tabs>
              <w:tab w:val="right" w:leader="dot" w:pos="8306"/>
            </w:tabs>
          </w:pPr>
          <w:r>
            <w:fldChar w:fldCharType="begin"/>
          </w:r>
          <w:r>
            <w:instrText xml:space="preserve"> HYPERLINK \l _Toc10258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_Toc10258 \h </w:instrText>
          </w:r>
          <w:r>
            <w:fldChar w:fldCharType="separate"/>
          </w:r>
          <w:r>
            <w:t>56</w:t>
          </w:r>
          <w:r>
            <w:fldChar w:fldCharType="end"/>
          </w:r>
          <w:r>
            <w:fldChar w:fldCharType="end"/>
          </w:r>
        </w:p>
        <w:p w14:paraId="2D142E95">
          <w:pPr>
            <w:pStyle w:val="8"/>
            <w:tabs>
              <w:tab w:val="right" w:leader="dot" w:pos="8306"/>
            </w:tabs>
          </w:pPr>
          <w:r>
            <w:fldChar w:fldCharType="begin"/>
          </w:r>
          <w:r>
            <w:instrText xml:space="preserve"> HYPERLINK \l _Toc27326 </w:instrText>
          </w:r>
          <w:r>
            <w:fldChar w:fldCharType="separate"/>
          </w:r>
          <w:r>
            <w:rPr>
              <w:rFonts w:hint="eastAsia"/>
            </w:rPr>
            <w:t xml:space="preserve">§10 </w:t>
          </w:r>
          <w:r>
            <w:t>开放式基金份额变动</w:t>
          </w:r>
          <w:r>
            <w:tab/>
          </w:r>
          <w:r>
            <w:fldChar w:fldCharType="begin"/>
          </w:r>
          <w:r>
            <w:instrText xml:space="preserve"> PAGEREF _Toc27326 \h </w:instrText>
          </w:r>
          <w:r>
            <w:fldChar w:fldCharType="separate"/>
          </w:r>
          <w:r>
            <w:t>56</w:t>
          </w:r>
          <w:r>
            <w:fldChar w:fldCharType="end"/>
          </w:r>
          <w:r>
            <w:fldChar w:fldCharType="end"/>
          </w:r>
        </w:p>
        <w:p w14:paraId="5222B4E2">
          <w:pPr>
            <w:pStyle w:val="8"/>
            <w:tabs>
              <w:tab w:val="right" w:leader="dot" w:pos="8306"/>
            </w:tabs>
          </w:pPr>
          <w:r>
            <w:fldChar w:fldCharType="begin"/>
          </w:r>
          <w:r>
            <w:instrText xml:space="preserve"> HYPERLINK \l _Toc5763 </w:instrText>
          </w:r>
          <w:r>
            <w:fldChar w:fldCharType="separate"/>
          </w:r>
          <w:r>
            <w:rPr>
              <w:rFonts w:hint="eastAsia"/>
            </w:rPr>
            <w:t xml:space="preserve">§11 </w:t>
          </w:r>
          <w:r>
            <w:t>重大事件揭示</w:t>
          </w:r>
          <w:r>
            <w:tab/>
          </w:r>
          <w:r>
            <w:fldChar w:fldCharType="begin"/>
          </w:r>
          <w:r>
            <w:instrText xml:space="preserve"> PAGEREF _Toc5763 \h </w:instrText>
          </w:r>
          <w:r>
            <w:fldChar w:fldCharType="separate"/>
          </w:r>
          <w:r>
            <w:t>57</w:t>
          </w:r>
          <w:r>
            <w:fldChar w:fldCharType="end"/>
          </w:r>
          <w:r>
            <w:fldChar w:fldCharType="end"/>
          </w:r>
        </w:p>
        <w:p w14:paraId="7479002E">
          <w:pPr>
            <w:pStyle w:val="10"/>
            <w:tabs>
              <w:tab w:val="right" w:leader="dot" w:pos="8306"/>
            </w:tabs>
          </w:pPr>
          <w:r>
            <w:fldChar w:fldCharType="begin"/>
          </w:r>
          <w:r>
            <w:instrText xml:space="preserve"> HYPERLINK \l _Toc17524 </w:instrText>
          </w:r>
          <w:r>
            <w:fldChar w:fldCharType="separate"/>
          </w:r>
          <w:r>
            <w:rPr>
              <w:rFonts w:hint="eastAsia"/>
            </w:rPr>
            <w:t xml:space="preserve">11.1 </w:t>
          </w:r>
          <w:r>
            <w:t>基金份额持有人大会决议</w:t>
          </w:r>
          <w:r>
            <w:tab/>
          </w:r>
          <w:r>
            <w:fldChar w:fldCharType="begin"/>
          </w:r>
          <w:r>
            <w:instrText xml:space="preserve"> PAGEREF _Toc17524 \h </w:instrText>
          </w:r>
          <w:r>
            <w:fldChar w:fldCharType="separate"/>
          </w:r>
          <w:r>
            <w:t>57</w:t>
          </w:r>
          <w:r>
            <w:fldChar w:fldCharType="end"/>
          </w:r>
          <w:r>
            <w:fldChar w:fldCharType="end"/>
          </w:r>
        </w:p>
        <w:p w14:paraId="58ACA847">
          <w:pPr>
            <w:pStyle w:val="10"/>
            <w:tabs>
              <w:tab w:val="right" w:leader="dot" w:pos="8306"/>
            </w:tabs>
          </w:pPr>
          <w:r>
            <w:fldChar w:fldCharType="begin"/>
          </w:r>
          <w:r>
            <w:instrText xml:space="preserve"> HYPERLINK \l _Toc7254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_Toc7254 \h </w:instrText>
          </w:r>
          <w:r>
            <w:fldChar w:fldCharType="separate"/>
          </w:r>
          <w:r>
            <w:t>57</w:t>
          </w:r>
          <w:r>
            <w:fldChar w:fldCharType="end"/>
          </w:r>
          <w:r>
            <w:fldChar w:fldCharType="end"/>
          </w:r>
        </w:p>
        <w:p w14:paraId="79F4716D">
          <w:pPr>
            <w:pStyle w:val="10"/>
            <w:tabs>
              <w:tab w:val="right" w:leader="dot" w:pos="8306"/>
            </w:tabs>
          </w:pPr>
          <w:r>
            <w:fldChar w:fldCharType="begin"/>
          </w:r>
          <w:r>
            <w:instrText xml:space="preserve"> HYPERLINK \l _Toc20291 </w:instrText>
          </w:r>
          <w:r>
            <w:fldChar w:fldCharType="separate"/>
          </w:r>
          <w:r>
            <w:rPr>
              <w:rFonts w:hint="eastAsia"/>
            </w:rPr>
            <w:t xml:space="preserve">11.3 </w:t>
          </w:r>
          <w:r>
            <w:t>涉及基金管理人、基金财产、基金托管业务的诉讼</w:t>
          </w:r>
          <w:r>
            <w:tab/>
          </w:r>
          <w:r>
            <w:fldChar w:fldCharType="begin"/>
          </w:r>
          <w:r>
            <w:instrText xml:space="preserve"> PAGEREF _Toc20291 \h </w:instrText>
          </w:r>
          <w:r>
            <w:fldChar w:fldCharType="separate"/>
          </w:r>
          <w:r>
            <w:t>57</w:t>
          </w:r>
          <w:r>
            <w:fldChar w:fldCharType="end"/>
          </w:r>
          <w:r>
            <w:fldChar w:fldCharType="end"/>
          </w:r>
        </w:p>
        <w:p w14:paraId="0F8B3640">
          <w:pPr>
            <w:pStyle w:val="10"/>
            <w:tabs>
              <w:tab w:val="right" w:leader="dot" w:pos="8306"/>
            </w:tabs>
          </w:pPr>
          <w:r>
            <w:fldChar w:fldCharType="begin"/>
          </w:r>
          <w:r>
            <w:instrText xml:space="preserve"> HYPERLINK \l _Toc10162 </w:instrText>
          </w:r>
          <w:r>
            <w:fldChar w:fldCharType="separate"/>
          </w:r>
          <w:r>
            <w:rPr>
              <w:rFonts w:hint="eastAsia"/>
            </w:rPr>
            <w:t xml:space="preserve">11.4 </w:t>
          </w:r>
          <w:r>
            <w:t>基金投资策略的改变</w:t>
          </w:r>
          <w:r>
            <w:tab/>
          </w:r>
          <w:r>
            <w:fldChar w:fldCharType="begin"/>
          </w:r>
          <w:r>
            <w:instrText xml:space="preserve"> PAGEREF _Toc10162 \h </w:instrText>
          </w:r>
          <w:r>
            <w:fldChar w:fldCharType="separate"/>
          </w:r>
          <w:r>
            <w:t>57</w:t>
          </w:r>
          <w:r>
            <w:fldChar w:fldCharType="end"/>
          </w:r>
          <w:r>
            <w:fldChar w:fldCharType="end"/>
          </w:r>
        </w:p>
        <w:p w14:paraId="42B19EBE">
          <w:pPr>
            <w:pStyle w:val="10"/>
            <w:tabs>
              <w:tab w:val="right" w:leader="dot" w:pos="8306"/>
            </w:tabs>
          </w:pPr>
          <w:r>
            <w:fldChar w:fldCharType="begin"/>
          </w:r>
          <w:r>
            <w:instrText xml:space="preserve"> HYPERLINK \l _Toc10228 </w:instrText>
          </w:r>
          <w:r>
            <w:fldChar w:fldCharType="separate"/>
          </w:r>
          <w:r>
            <w:rPr>
              <w:rFonts w:hint="eastAsia"/>
            </w:rPr>
            <w:t xml:space="preserve">11.5 </w:t>
          </w:r>
          <w:r>
            <w:t>本报告期持有的基金发生的重大影响事件</w:t>
          </w:r>
          <w:r>
            <w:tab/>
          </w:r>
          <w:r>
            <w:fldChar w:fldCharType="begin"/>
          </w:r>
          <w:r>
            <w:instrText xml:space="preserve"> PAGEREF _Toc10228 \h </w:instrText>
          </w:r>
          <w:r>
            <w:fldChar w:fldCharType="separate"/>
          </w:r>
          <w:r>
            <w:t>57</w:t>
          </w:r>
          <w:r>
            <w:fldChar w:fldCharType="end"/>
          </w:r>
          <w:r>
            <w:fldChar w:fldCharType="end"/>
          </w:r>
        </w:p>
        <w:p w14:paraId="45E30132">
          <w:pPr>
            <w:pStyle w:val="10"/>
            <w:tabs>
              <w:tab w:val="right" w:leader="dot" w:pos="8306"/>
            </w:tabs>
          </w:pPr>
          <w:r>
            <w:fldChar w:fldCharType="begin"/>
          </w:r>
          <w:r>
            <w:instrText xml:space="preserve"> HYPERLINK \l _Toc13039 </w:instrText>
          </w:r>
          <w:r>
            <w:fldChar w:fldCharType="separate"/>
          </w:r>
          <w:r>
            <w:rPr>
              <w:rFonts w:hint="eastAsia"/>
            </w:rPr>
            <w:t xml:space="preserve">11.6 </w:t>
          </w:r>
          <w:r>
            <w:t>为基金进行审计的会计师事务所情况</w:t>
          </w:r>
          <w:r>
            <w:tab/>
          </w:r>
          <w:r>
            <w:fldChar w:fldCharType="begin"/>
          </w:r>
          <w:r>
            <w:instrText xml:space="preserve"> PAGEREF _Toc13039 \h </w:instrText>
          </w:r>
          <w:r>
            <w:fldChar w:fldCharType="separate"/>
          </w:r>
          <w:r>
            <w:t>57</w:t>
          </w:r>
          <w:r>
            <w:fldChar w:fldCharType="end"/>
          </w:r>
          <w:r>
            <w:fldChar w:fldCharType="end"/>
          </w:r>
        </w:p>
        <w:p w14:paraId="55634DDA">
          <w:pPr>
            <w:pStyle w:val="10"/>
            <w:tabs>
              <w:tab w:val="right" w:leader="dot" w:pos="8306"/>
            </w:tabs>
          </w:pPr>
          <w:r>
            <w:fldChar w:fldCharType="begin"/>
          </w:r>
          <w:r>
            <w:instrText xml:space="preserve"> HYPERLINK \l _Toc13672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_Toc13672 \h </w:instrText>
          </w:r>
          <w:r>
            <w:fldChar w:fldCharType="separate"/>
          </w:r>
          <w:r>
            <w:t>57</w:t>
          </w:r>
          <w:r>
            <w:fldChar w:fldCharType="end"/>
          </w:r>
          <w:r>
            <w:fldChar w:fldCharType="end"/>
          </w:r>
        </w:p>
        <w:p w14:paraId="7D81D99E">
          <w:pPr>
            <w:pStyle w:val="10"/>
            <w:tabs>
              <w:tab w:val="right" w:leader="dot" w:pos="8306"/>
            </w:tabs>
          </w:pPr>
          <w:r>
            <w:fldChar w:fldCharType="begin"/>
          </w:r>
          <w:r>
            <w:instrText xml:space="preserve"> HYPERLINK \l _Toc12206 </w:instrText>
          </w:r>
          <w:r>
            <w:fldChar w:fldCharType="separate"/>
          </w:r>
          <w:r>
            <w:rPr>
              <w:rFonts w:hint="eastAsia"/>
            </w:rPr>
            <w:t xml:space="preserve">11.8 </w:t>
          </w:r>
          <w:r>
            <w:t>基金租用证券公司交易单元的有关情况</w:t>
          </w:r>
          <w:r>
            <w:tab/>
          </w:r>
          <w:r>
            <w:fldChar w:fldCharType="begin"/>
          </w:r>
          <w:r>
            <w:instrText xml:space="preserve"> PAGEREF _Toc12206 \h </w:instrText>
          </w:r>
          <w:r>
            <w:fldChar w:fldCharType="separate"/>
          </w:r>
          <w:r>
            <w:t>59</w:t>
          </w:r>
          <w:r>
            <w:fldChar w:fldCharType="end"/>
          </w:r>
          <w:r>
            <w:fldChar w:fldCharType="end"/>
          </w:r>
        </w:p>
        <w:p w14:paraId="3C4DB7FB">
          <w:pPr>
            <w:pStyle w:val="10"/>
            <w:tabs>
              <w:tab w:val="right" w:leader="dot" w:pos="8306"/>
            </w:tabs>
          </w:pPr>
          <w:r>
            <w:fldChar w:fldCharType="begin"/>
          </w:r>
          <w:r>
            <w:instrText xml:space="preserve"> HYPERLINK \l _Toc14329 </w:instrText>
          </w:r>
          <w:r>
            <w:fldChar w:fldCharType="separate"/>
          </w:r>
          <w:r>
            <w:rPr>
              <w:rFonts w:hint="eastAsia"/>
            </w:rPr>
            <w:t xml:space="preserve">11.9 </w:t>
          </w:r>
          <w:r>
            <w:t>其他重大事件</w:t>
          </w:r>
          <w:r>
            <w:tab/>
          </w:r>
          <w:r>
            <w:fldChar w:fldCharType="begin"/>
          </w:r>
          <w:r>
            <w:instrText xml:space="preserve"> PAGEREF _Toc14329 \h </w:instrText>
          </w:r>
          <w:r>
            <w:fldChar w:fldCharType="separate"/>
          </w:r>
          <w:r>
            <w:t>60</w:t>
          </w:r>
          <w:r>
            <w:fldChar w:fldCharType="end"/>
          </w:r>
          <w:r>
            <w:fldChar w:fldCharType="end"/>
          </w:r>
        </w:p>
        <w:p w14:paraId="044DB23E">
          <w:pPr>
            <w:pStyle w:val="8"/>
            <w:tabs>
              <w:tab w:val="right" w:leader="dot" w:pos="8306"/>
            </w:tabs>
          </w:pPr>
          <w:r>
            <w:fldChar w:fldCharType="begin"/>
          </w:r>
          <w:r>
            <w:instrText xml:space="preserve"> HYPERLINK \l _Toc1330 </w:instrText>
          </w:r>
          <w:r>
            <w:fldChar w:fldCharType="separate"/>
          </w:r>
          <w:r>
            <w:rPr>
              <w:rFonts w:hint="eastAsia"/>
            </w:rPr>
            <w:t xml:space="preserve">§12 </w:t>
          </w:r>
          <w:r>
            <w:t>影响投资者决策的其他重要信息</w:t>
          </w:r>
          <w:r>
            <w:tab/>
          </w:r>
          <w:r>
            <w:fldChar w:fldCharType="begin"/>
          </w:r>
          <w:r>
            <w:instrText xml:space="preserve"> PAGEREF _Toc1330 \h </w:instrText>
          </w:r>
          <w:r>
            <w:fldChar w:fldCharType="separate"/>
          </w:r>
          <w:r>
            <w:t>61</w:t>
          </w:r>
          <w:r>
            <w:fldChar w:fldCharType="end"/>
          </w:r>
          <w:r>
            <w:fldChar w:fldCharType="end"/>
          </w:r>
        </w:p>
        <w:p w14:paraId="64CB9DB2">
          <w:pPr>
            <w:pStyle w:val="10"/>
            <w:tabs>
              <w:tab w:val="right" w:leader="dot" w:pos="8306"/>
            </w:tabs>
          </w:pPr>
          <w:r>
            <w:fldChar w:fldCharType="begin"/>
          </w:r>
          <w:r>
            <w:instrText xml:space="preserve"> HYPERLINK \l _Toc18661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_Toc18661 \h </w:instrText>
          </w:r>
          <w:r>
            <w:fldChar w:fldCharType="separate"/>
          </w:r>
          <w:r>
            <w:t>61</w:t>
          </w:r>
          <w:r>
            <w:fldChar w:fldCharType="end"/>
          </w:r>
          <w:r>
            <w:fldChar w:fldCharType="end"/>
          </w:r>
        </w:p>
        <w:p w14:paraId="3B0F101E">
          <w:pPr>
            <w:pStyle w:val="10"/>
            <w:tabs>
              <w:tab w:val="right" w:leader="dot" w:pos="8306"/>
            </w:tabs>
          </w:pPr>
          <w:r>
            <w:fldChar w:fldCharType="begin"/>
          </w:r>
          <w:r>
            <w:instrText xml:space="preserve"> HYPERLINK \l _Toc8870 </w:instrText>
          </w:r>
          <w:r>
            <w:fldChar w:fldCharType="separate"/>
          </w:r>
          <w:r>
            <w:rPr>
              <w:rFonts w:hint="eastAsia"/>
            </w:rPr>
            <w:t xml:space="preserve">12.2 </w:t>
          </w:r>
          <w:r>
            <w:t>影响投资者决策的其他重要信息</w:t>
          </w:r>
          <w:r>
            <w:tab/>
          </w:r>
          <w:r>
            <w:fldChar w:fldCharType="begin"/>
          </w:r>
          <w:r>
            <w:instrText xml:space="preserve"> PAGEREF _Toc8870 \h </w:instrText>
          </w:r>
          <w:r>
            <w:fldChar w:fldCharType="separate"/>
          </w:r>
          <w:r>
            <w:t>61</w:t>
          </w:r>
          <w:r>
            <w:fldChar w:fldCharType="end"/>
          </w:r>
          <w:r>
            <w:fldChar w:fldCharType="end"/>
          </w:r>
        </w:p>
        <w:p w14:paraId="2265B102">
          <w:pPr>
            <w:pStyle w:val="8"/>
            <w:tabs>
              <w:tab w:val="right" w:leader="dot" w:pos="8306"/>
            </w:tabs>
          </w:pPr>
          <w:r>
            <w:fldChar w:fldCharType="begin"/>
          </w:r>
          <w:r>
            <w:instrText xml:space="preserve"> HYPERLINK \l _Toc29190 </w:instrText>
          </w:r>
          <w:r>
            <w:fldChar w:fldCharType="separate"/>
          </w:r>
          <w:r>
            <w:rPr>
              <w:rFonts w:hint="eastAsia"/>
            </w:rPr>
            <w:t xml:space="preserve">§13 </w:t>
          </w:r>
          <w:r>
            <w:t>备查文件目录</w:t>
          </w:r>
          <w:r>
            <w:tab/>
          </w:r>
          <w:r>
            <w:fldChar w:fldCharType="begin"/>
          </w:r>
          <w:r>
            <w:instrText xml:space="preserve"> PAGEREF _Toc29190 \h </w:instrText>
          </w:r>
          <w:r>
            <w:fldChar w:fldCharType="separate"/>
          </w:r>
          <w:r>
            <w:t>61</w:t>
          </w:r>
          <w:r>
            <w:fldChar w:fldCharType="end"/>
          </w:r>
          <w:r>
            <w:fldChar w:fldCharType="end"/>
          </w:r>
        </w:p>
        <w:p w14:paraId="6973FF75">
          <w:pPr>
            <w:pStyle w:val="10"/>
            <w:tabs>
              <w:tab w:val="right" w:leader="dot" w:pos="8306"/>
            </w:tabs>
          </w:pPr>
          <w:r>
            <w:fldChar w:fldCharType="begin"/>
          </w:r>
          <w:r>
            <w:instrText xml:space="preserve"> HYPERLINK \l _Toc19561 </w:instrText>
          </w:r>
          <w:r>
            <w:fldChar w:fldCharType="separate"/>
          </w:r>
          <w:r>
            <w:rPr>
              <w:rFonts w:hint="eastAsia"/>
            </w:rPr>
            <w:t xml:space="preserve">13.1 </w:t>
          </w:r>
          <w:r>
            <w:t>备查文件目录</w:t>
          </w:r>
          <w:r>
            <w:tab/>
          </w:r>
          <w:r>
            <w:fldChar w:fldCharType="begin"/>
          </w:r>
          <w:r>
            <w:instrText xml:space="preserve"> PAGEREF _Toc19561 \h </w:instrText>
          </w:r>
          <w:r>
            <w:fldChar w:fldCharType="separate"/>
          </w:r>
          <w:r>
            <w:t>61</w:t>
          </w:r>
          <w:r>
            <w:fldChar w:fldCharType="end"/>
          </w:r>
          <w:r>
            <w:fldChar w:fldCharType="end"/>
          </w:r>
        </w:p>
        <w:p w14:paraId="6CED368B">
          <w:pPr>
            <w:pStyle w:val="10"/>
            <w:tabs>
              <w:tab w:val="right" w:leader="dot" w:pos="8306"/>
            </w:tabs>
          </w:pPr>
          <w:r>
            <w:fldChar w:fldCharType="begin"/>
          </w:r>
          <w:r>
            <w:instrText xml:space="preserve"> HYPERLINK \l _Toc2156 </w:instrText>
          </w:r>
          <w:r>
            <w:fldChar w:fldCharType="separate"/>
          </w:r>
          <w:r>
            <w:rPr>
              <w:rFonts w:hint="eastAsia"/>
            </w:rPr>
            <w:t xml:space="preserve">13.2 </w:t>
          </w:r>
          <w:r>
            <w:t>存放地点</w:t>
          </w:r>
          <w:r>
            <w:tab/>
          </w:r>
          <w:r>
            <w:fldChar w:fldCharType="begin"/>
          </w:r>
          <w:r>
            <w:instrText xml:space="preserve"> PAGEREF _Toc2156 \h </w:instrText>
          </w:r>
          <w:r>
            <w:fldChar w:fldCharType="separate"/>
          </w:r>
          <w:r>
            <w:t>61</w:t>
          </w:r>
          <w:r>
            <w:fldChar w:fldCharType="end"/>
          </w:r>
          <w:r>
            <w:fldChar w:fldCharType="end"/>
          </w:r>
        </w:p>
        <w:p w14:paraId="1256DA9E">
          <w:pPr>
            <w:pStyle w:val="10"/>
            <w:tabs>
              <w:tab w:val="right" w:leader="dot" w:pos="8306"/>
            </w:tabs>
          </w:pPr>
          <w:r>
            <w:fldChar w:fldCharType="begin"/>
          </w:r>
          <w:r>
            <w:instrText xml:space="preserve"> HYPERLINK \l _Toc17616 </w:instrText>
          </w:r>
          <w:r>
            <w:fldChar w:fldCharType="separate"/>
          </w:r>
          <w:r>
            <w:rPr>
              <w:rFonts w:hint="eastAsia"/>
            </w:rPr>
            <w:t xml:space="preserve">13.3 </w:t>
          </w:r>
          <w:r>
            <w:t>查阅方式</w:t>
          </w:r>
          <w:r>
            <w:tab/>
          </w:r>
          <w:r>
            <w:fldChar w:fldCharType="begin"/>
          </w:r>
          <w:r>
            <w:instrText xml:space="preserve"> PAGEREF _Toc17616 \h </w:instrText>
          </w:r>
          <w:r>
            <w:fldChar w:fldCharType="separate"/>
          </w:r>
          <w:r>
            <w:t>61</w:t>
          </w:r>
          <w:r>
            <w:fldChar w:fldCharType="end"/>
          </w:r>
          <w:r>
            <w:fldChar w:fldCharType="end"/>
          </w:r>
        </w:p>
        <w:p w14:paraId="5448861C">
          <w:r>
            <w:fldChar w:fldCharType="end"/>
          </w:r>
        </w:p>
      </w:sdtContent>
    </w:sdt>
    <w:p w14:paraId="705AA8AB">
      <w:pPr>
        <w:pStyle w:val="26"/>
        <w:pageBreakBefore/>
      </w:pPr>
      <w:r>
        <w:t xml:space="preserve">  </w:t>
      </w:r>
      <w:bookmarkStart w:id="5" w:name="_Toc9530"/>
      <w:r>
        <w:t>基金简介</w:t>
      </w:r>
      <w:bookmarkEnd w:id="5"/>
      <w:r>
        <w:t xml:space="preserve"> </w:t>
      </w:r>
    </w:p>
    <w:p w14:paraId="721F6A2B">
      <w:pPr>
        <w:pStyle w:val="23"/>
      </w:pPr>
      <w:bookmarkStart w:id="6" w:name="_Toc236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C9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32C08">
            <w:r>
              <w:rPr>
                <w:rFonts w:hint="eastAsia"/>
              </w:rPr>
              <w:t>基金名称</w:t>
            </w:r>
          </w:p>
        </w:tc>
        <w:tc>
          <w:tcPr>
            <w:tcW w:w="2768" w:type="dxa"/>
            <w:gridSpan w:val="2"/>
            <w:vAlign w:val="center"/>
          </w:tcPr>
          <w:p w14:paraId="0BBBE984">
            <w:r>
              <w:rPr>
                <w:rFonts w:hint="eastAsia"/>
              </w:rPr>
              <w:t>南方稳见3个月持有期混合型基金中基金（FOF）</w:t>
            </w:r>
          </w:p>
        </w:tc>
      </w:tr>
      <w:tr w14:paraId="5ED3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E21A1">
            <w:r>
              <w:rPr>
                <w:rFonts w:hint="eastAsia"/>
              </w:rPr>
              <w:t>基金简称</w:t>
            </w:r>
          </w:p>
        </w:tc>
        <w:tc>
          <w:tcPr>
            <w:tcW w:w="2768" w:type="dxa"/>
            <w:gridSpan w:val="2"/>
            <w:vAlign w:val="center"/>
          </w:tcPr>
          <w:p w14:paraId="550D06A6">
            <w:r>
              <w:rPr>
                <w:rFonts w:hint="eastAsia"/>
              </w:rPr>
              <w:t>南方稳见3个月持有混合（FOF）</w:t>
            </w:r>
          </w:p>
        </w:tc>
      </w:tr>
      <w:tr w14:paraId="041D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E69F6">
            <w:r>
              <w:rPr>
                <w:rFonts w:hint="eastAsia"/>
              </w:rPr>
              <w:t>基金主代码</w:t>
            </w:r>
          </w:p>
        </w:tc>
        <w:tc>
          <w:tcPr>
            <w:tcW w:w="2768" w:type="dxa"/>
            <w:gridSpan w:val="2"/>
            <w:vAlign w:val="center"/>
          </w:tcPr>
          <w:p w14:paraId="1D92FDCC">
            <w:r>
              <w:rPr>
                <w:rFonts w:hint="eastAsia"/>
              </w:rPr>
              <w:t>022629</w:t>
            </w:r>
          </w:p>
        </w:tc>
      </w:tr>
      <w:tr w14:paraId="2FC3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DB541">
            <w:r>
              <w:rPr>
                <w:rFonts w:hint="eastAsia"/>
              </w:rPr>
              <w:t>交易代码</w:t>
            </w:r>
          </w:p>
        </w:tc>
        <w:tc>
          <w:tcPr>
            <w:tcW w:w="2768" w:type="dxa"/>
            <w:gridSpan w:val="2"/>
            <w:vAlign w:val="center"/>
          </w:tcPr>
          <w:p w14:paraId="3954568D">
            <w:r>
              <w:rPr>
                <w:rFonts w:hint="eastAsia"/>
              </w:rPr>
              <w:t>022629</w:t>
            </w:r>
          </w:p>
        </w:tc>
      </w:tr>
      <w:tr w14:paraId="6DB5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B5025">
            <w:r>
              <w:rPr>
                <w:rFonts w:hint="eastAsia"/>
              </w:rPr>
              <w:t>基金运作方式</w:t>
            </w:r>
          </w:p>
        </w:tc>
        <w:tc>
          <w:tcPr>
            <w:tcW w:w="2768" w:type="dxa"/>
            <w:gridSpan w:val="2"/>
            <w:vAlign w:val="center"/>
          </w:tcPr>
          <w:p w14:paraId="364CFA1E">
            <w:r>
              <w:rPr>
                <w:rFonts w:hint="eastAsia"/>
              </w:rPr>
              <w:t>契约型开放式</w:t>
            </w:r>
          </w:p>
        </w:tc>
      </w:tr>
      <w:tr w14:paraId="7E13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214B2">
            <w:r>
              <w:rPr>
                <w:rFonts w:hint="eastAsia"/>
              </w:rPr>
              <w:t>基金合同生效日</w:t>
            </w:r>
          </w:p>
        </w:tc>
        <w:tc>
          <w:tcPr>
            <w:tcW w:w="2768" w:type="dxa"/>
            <w:gridSpan w:val="2"/>
            <w:vAlign w:val="center"/>
          </w:tcPr>
          <w:p w14:paraId="772D0307">
            <w:r>
              <w:rPr>
                <w:rFonts w:hint="eastAsia"/>
              </w:rPr>
              <w:t>2025年4月28日</w:t>
            </w:r>
          </w:p>
        </w:tc>
      </w:tr>
      <w:tr w14:paraId="3F4B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5CDBF">
            <w:r>
              <w:rPr>
                <w:rFonts w:hint="eastAsia"/>
              </w:rPr>
              <w:t>基金管理人</w:t>
            </w:r>
          </w:p>
        </w:tc>
        <w:tc>
          <w:tcPr>
            <w:tcW w:w="2768" w:type="dxa"/>
            <w:gridSpan w:val="2"/>
            <w:vAlign w:val="center"/>
          </w:tcPr>
          <w:p w14:paraId="6BCBDEC1">
            <w:r>
              <w:rPr>
                <w:rFonts w:hint="eastAsia"/>
              </w:rPr>
              <w:t>南方基金管理股份有限公司</w:t>
            </w:r>
          </w:p>
        </w:tc>
      </w:tr>
      <w:tr w14:paraId="2D3C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EE159">
            <w:r>
              <w:rPr>
                <w:rFonts w:hint="eastAsia"/>
              </w:rPr>
              <w:t>基金托管人</w:t>
            </w:r>
          </w:p>
        </w:tc>
        <w:tc>
          <w:tcPr>
            <w:tcW w:w="2768" w:type="dxa"/>
            <w:gridSpan w:val="2"/>
            <w:vAlign w:val="center"/>
          </w:tcPr>
          <w:p w14:paraId="6EC334F2">
            <w:r>
              <w:rPr>
                <w:rFonts w:hint="eastAsia"/>
              </w:rPr>
              <w:t>招商银行股份有限公司</w:t>
            </w:r>
          </w:p>
        </w:tc>
      </w:tr>
      <w:tr w14:paraId="2CF9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1A51F">
            <w:r>
              <w:rPr>
                <w:rFonts w:hint="eastAsia"/>
              </w:rPr>
              <w:t>报告期末基金份额总额</w:t>
            </w:r>
          </w:p>
        </w:tc>
        <w:tc>
          <w:tcPr>
            <w:tcW w:w="2768" w:type="dxa"/>
            <w:gridSpan w:val="2"/>
            <w:vAlign w:val="center"/>
          </w:tcPr>
          <w:p w14:paraId="3D3E1EA0">
            <w:r>
              <w:rPr>
                <w:rFonts w:hint="eastAsia"/>
              </w:rPr>
              <w:t>1,544,810,368.56份</w:t>
            </w:r>
          </w:p>
        </w:tc>
      </w:tr>
      <w:tr w14:paraId="2272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CDB07">
            <w:r>
              <w:rPr>
                <w:rFonts w:hint="eastAsia"/>
              </w:rPr>
              <w:t>基金合同存续期</w:t>
            </w:r>
          </w:p>
        </w:tc>
        <w:tc>
          <w:tcPr>
            <w:tcW w:w="2768" w:type="dxa"/>
            <w:gridSpan w:val="2"/>
            <w:vAlign w:val="center"/>
          </w:tcPr>
          <w:p w14:paraId="45DC1023">
            <w:r>
              <w:rPr>
                <w:rFonts w:hint="eastAsia"/>
              </w:rPr>
              <w:t>不定期</w:t>
            </w:r>
          </w:p>
        </w:tc>
      </w:tr>
      <w:tr w14:paraId="6E78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CE246">
            <w:r>
              <w:rPr>
                <w:rFonts w:hint="eastAsia"/>
              </w:rPr>
              <w:t>下属分级基金的基金简称</w:t>
            </w:r>
          </w:p>
        </w:tc>
        <w:tc>
          <w:tcPr>
            <w:tcW w:w="2768" w:type="dxa"/>
            <w:vAlign w:val="center"/>
          </w:tcPr>
          <w:p w14:paraId="76A75C20">
            <w:r>
              <w:rPr>
                <w:rFonts w:hint="eastAsia"/>
              </w:rPr>
              <w:t>南方稳见3个月持有混合（FOF）A</w:t>
            </w:r>
          </w:p>
        </w:tc>
        <w:tc>
          <w:tcPr>
            <w:tcW w:w="2768" w:type="dxa"/>
            <w:vAlign w:val="center"/>
          </w:tcPr>
          <w:p w14:paraId="3C93BCF2">
            <w:r>
              <w:rPr>
                <w:rFonts w:hint="eastAsia"/>
              </w:rPr>
              <w:t>南方稳见3个月持有混合（FOF）C</w:t>
            </w:r>
          </w:p>
        </w:tc>
      </w:tr>
      <w:tr w14:paraId="64A7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263ED">
            <w:r>
              <w:rPr>
                <w:rFonts w:hint="eastAsia"/>
              </w:rPr>
              <w:t>下属分级基金的交易代码</w:t>
            </w:r>
          </w:p>
        </w:tc>
        <w:tc>
          <w:tcPr>
            <w:tcW w:w="2768" w:type="dxa"/>
            <w:vAlign w:val="center"/>
          </w:tcPr>
          <w:p w14:paraId="1812AD0C">
            <w:r>
              <w:rPr>
                <w:rFonts w:hint="eastAsia"/>
              </w:rPr>
              <w:t>022629</w:t>
            </w:r>
          </w:p>
        </w:tc>
        <w:tc>
          <w:tcPr>
            <w:tcW w:w="2768" w:type="dxa"/>
            <w:vAlign w:val="center"/>
          </w:tcPr>
          <w:p w14:paraId="3E9CF129">
            <w:r>
              <w:rPr>
                <w:rFonts w:hint="eastAsia"/>
              </w:rPr>
              <w:t>022630</w:t>
            </w:r>
          </w:p>
        </w:tc>
      </w:tr>
      <w:tr w14:paraId="15FA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FA8BF">
            <w:r>
              <w:rPr>
                <w:rFonts w:hint="eastAsia"/>
              </w:rPr>
              <w:t>报告期末下属分级基金的份额总额</w:t>
            </w:r>
          </w:p>
        </w:tc>
        <w:tc>
          <w:tcPr>
            <w:tcW w:w="2768" w:type="dxa"/>
            <w:vAlign w:val="center"/>
          </w:tcPr>
          <w:p w14:paraId="35833D26">
            <w:r>
              <w:rPr>
                <w:rFonts w:hint="eastAsia"/>
              </w:rPr>
              <w:t>444,116,526.55份</w:t>
            </w:r>
          </w:p>
        </w:tc>
        <w:tc>
          <w:tcPr>
            <w:tcW w:w="2768" w:type="dxa"/>
            <w:vAlign w:val="center"/>
          </w:tcPr>
          <w:p w14:paraId="0ECFEFD8">
            <w:r>
              <w:rPr>
                <w:rFonts w:hint="eastAsia"/>
              </w:rPr>
              <w:t>1,100,693,842.01份</w:t>
            </w:r>
          </w:p>
        </w:tc>
      </w:tr>
    </w:tbl>
    <w:p w14:paraId="642A3C82">
      <w:pPr>
        <w:pStyle w:val="23"/>
      </w:pPr>
      <w:bookmarkStart w:id="7" w:name="_Toc13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E95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231B75">
            <w:r>
              <w:rPr>
                <w:rFonts w:hint="eastAsia"/>
              </w:rPr>
              <w:t>投资目标</w:t>
            </w:r>
          </w:p>
        </w:tc>
        <w:tc>
          <w:tcPr>
            <w:tcW w:w="6644" w:type="dxa"/>
            <w:vAlign w:val="center"/>
          </w:tcPr>
          <w:p w14:paraId="51900B2E">
            <w:r>
              <w:rPr>
                <w:rFonts w:hint="eastAsia"/>
              </w:rPr>
              <w:t>本基金是基金中基金，优选多种具有不同风险收益特征的基金，寻求基金资产的长期稳健增值。</w:t>
            </w:r>
          </w:p>
        </w:tc>
      </w:tr>
      <w:tr w14:paraId="076C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E504D">
            <w:r>
              <w:rPr>
                <w:rFonts w:hint="eastAsia"/>
              </w:rPr>
              <w:t>投资策略</w:t>
            </w:r>
          </w:p>
        </w:tc>
        <w:tc>
          <w:tcPr>
            <w:tcW w:w="6644" w:type="dxa"/>
            <w:vAlign w:val="center"/>
          </w:tcPr>
          <w:p w14:paraId="5C6EE808">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1、资产配置策略；2、基金投资策略；3、风险控制策略；4、股票投资策略；5、债券投资策略；6、资产支持证券投资策略；7、存托凭证的投资策略；8、港股通标的股票投资策略；9、公募REITs投资策略</w:t>
            </w:r>
          </w:p>
        </w:tc>
      </w:tr>
      <w:tr w14:paraId="2C48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B9A347">
            <w:r>
              <w:rPr>
                <w:rFonts w:hint="eastAsia"/>
              </w:rPr>
              <w:t>业绩比较基准</w:t>
            </w:r>
          </w:p>
        </w:tc>
        <w:tc>
          <w:tcPr>
            <w:tcW w:w="6644" w:type="dxa"/>
            <w:vAlign w:val="center"/>
          </w:tcPr>
          <w:p w14:paraId="4936DEC3">
            <w:r>
              <w:rPr>
                <w:rFonts w:hint="eastAsia"/>
              </w:rPr>
              <w:t>中证普通债券型基金指数收益率×80%+中证偏股型基金指数收益率×15%+银行活期存款利率(税后)×5%</w:t>
            </w:r>
          </w:p>
        </w:tc>
      </w:tr>
      <w:tr w14:paraId="604A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7CC84">
            <w:r>
              <w:rPr>
                <w:rFonts w:hint="eastAsia"/>
              </w:rPr>
              <w:t>风险收益特征</w:t>
            </w:r>
          </w:p>
        </w:tc>
        <w:tc>
          <w:tcPr>
            <w:tcW w:w="6644" w:type="dxa"/>
            <w:vAlign w:val="center"/>
          </w:tcPr>
          <w:p w14:paraId="4A1B9C30">
            <w:pPr>
              <w:jc w:val="both"/>
            </w:pPr>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股票，除了需要承担与境内证券投资基金类似的市场波动风险等一般投资风险之外，本基金还面临汇率风险、香港市场风险等境外证券市场投资所面临的特别投资风险。</w:t>
            </w:r>
          </w:p>
        </w:tc>
      </w:tr>
    </w:tbl>
    <w:p w14:paraId="4964FF77">
      <w:pPr>
        <w:pStyle w:val="23"/>
      </w:pPr>
      <w:bookmarkStart w:id="8" w:name="_Toc199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3D8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AFBCE3">
            <w:r>
              <w:rPr>
                <w:rFonts w:hint="eastAsia"/>
              </w:rPr>
              <w:t>项目</w:t>
            </w:r>
          </w:p>
        </w:tc>
        <w:tc>
          <w:tcPr>
            <w:tcW w:w="2270" w:type="dxa"/>
            <w:vAlign w:val="center"/>
          </w:tcPr>
          <w:p w14:paraId="4F6FB290">
            <w:r>
              <w:rPr>
                <w:rFonts w:hint="eastAsia"/>
              </w:rPr>
              <w:t>基金管理人</w:t>
            </w:r>
          </w:p>
        </w:tc>
        <w:tc>
          <w:tcPr>
            <w:tcW w:w="2990" w:type="dxa"/>
            <w:vAlign w:val="center"/>
          </w:tcPr>
          <w:p w14:paraId="34BC974E">
            <w:r>
              <w:rPr>
                <w:rFonts w:hint="eastAsia"/>
              </w:rPr>
              <w:t>基金托管人</w:t>
            </w:r>
          </w:p>
        </w:tc>
      </w:tr>
      <w:tr w14:paraId="1FA9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248C09">
            <w:r>
              <w:rPr>
                <w:rFonts w:hint="eastAsia"/>
              </w:rPr>
              <w:t>名称</w:t>
            </w:r>
          </w:p>
        </w:tc>
        <w:tc>
          <w:tcPr>
            <w:tcW w:w="2270" w:type="dxa"/>
            <w:vAlign w:val="center"/>
          </w:tcPr>
          <w:p w14:paraId="279A4BD1">
            <w:r>
              <w:rPr>
                <w:rFonts w:hint="eastAsia"/>
              </w:rPr>
              <w:t>南方基金管理股份有限公司</w:t>
            </w:r>
          </w:p>
        </w:tc>
        <w:tc>
          <w:tcPr>
            <w:tcW w:w="2990" w:type="dxa"/>
            <w:vAlign w:val="center"/>
          </w:tcPr>
          <w:p w14:paraId="2D3C6C26">
            <w:r>
              <w:rPr>
                <w:rFonts w:hint="eastAsia"/>
              </w:rPr>
              <w:t>招商银行股份有限公司</w:t>
            </w:r>
          </w:p>
        </w:tc>
      </w:tr>
      <w:tr w14:paraId="742D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521951">
            <w:r>
              <w:rPr>
                <w:rFonts w:hint="eastAsia"/>
              </w:rPr>
              <w:t>信息披露负责人</w:t>
            </w:r>
          </w:p>
        </w:tc>
        <w:tc>
          <w:tcPr>
            <w:tcW w:w="1384" w:type="dxa"/>
            <w:vAlign w:val="center"/>
          </w:tcPr>
          <w:p w14:paraId="660DD29E">
            <w:r>
              <w:rPr>
                <w:rFonts w:hint="eastAsia"/>
              </w:rPr>
              <w:t>姓名</w:t>
            </w:r>
          </w:p>
        </w:tc>
        <w:tc>
          <w:tcPr>
            <w:tcW w:w="2270" w:type="dxa"/>
            <w:vAlign w:val="center"/>
          </w:tcPr>
          <w:p w14:paraId="5935DF29">
            <w:r>
              <w:rPr>
                <w:rFonts w:hint="eastAsia"/>
              </w:rPr>
              <w:t>鲍文革</w:t>
            </w:r>
          </w:p>
        </w:tc>
        <w:tc>
          <w:tcPr>
            <w:tcW w:w="2990" w:type="dxa"/>
            <w:vAlign w:val="center"/>
          </w:tcPr>
          <w:p w14:paraId="787AE63C">
            <w:r>
              <w:rPr>
                <w:rFonts w:hint="eastAsia"/>
              </w:rPr>
              <w:t>张姗</w:t>
            </w:r>
          </w:p>
        </w:tc>
      </w:tr>
      <w:tr w14:paraId="32EA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601851"/>
        </w:tc>
        <w:tc>
          <w:tcPr>
            <w:tcW w:w="1384" w:type="dxa"/>
            <w:vAlign w:val="center"/>
          </w:tcPr>
          <w:p w14:paraId="0CB9AD3C">
            <w:r>
              <w:rPr>
                <w:rFonts w:hint="eastAsia"/>
              </w:rPr>
              <w:t>联系电话</w:t>
            </w:r>
          </w:p>
        </w:tc>
        <w:tc>
          <w:tcPr>
            <w:tcW w:w="2270" w:type="dxa"/>
            <w:vAlign w:val="center"/>
          </w:tcPr>
          <w:p w14:paraId="1E901EAB">
            <w:r>
              <w:rPr>
                <w:rFonts w:hint="eastAsia"/>
              </w:rPr>
              <w:t>0755-82763888</w:t>
            </w:r>
          </w:p>
        </w:tc>
        <w:tc>
          <w:tcPr>
            <w:tcW w:w="2990" w:type="dxa"/>
            <w:vAlign w:val="center"/>
          </w:tcPr>
          <w:p w14:paraId="0E000A2C">
            <w:r>
              <w:rPr>
                <w:rFonts w:hint="eastAsia"/>
              </w:rPr>
              <w:t>400-61-95555</w:t>
            </w:r>
          </w:p>
        </w:tc>
      </w:tr>
      <w:tr w14:paraId="5002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996205"/>
        </w:tc>
        <w:tc>
          <w:tcPr>
            <w:tcW w:w="1384" w:type="dxa"/>
            <w:vAlign w:val="center"/>
          </w:tcPr>
          <w:p w14:paraId="6BDEA632">
            <w:r>
              <w:rPr>
                <w:rFonts w:hint="eastAsia"/>
              </w:rPr>
              <w:t>电子邮箱</w:t>
            </w:r>
          </w:p>
        </w:tc>
        <w:tc>
          <w:tcPr>
            <w:tcW w:w="2270" w:type="dxa"/>
            <w:vAlign w:val="center"/>
          </w:tcPr>
          <w:p w14:paraId="0FAA5806">
            <w:r>
              <w:rPr>
                <w:rFonts w:hint="eastAsia"/>
              </w:rPr>
              <w:t>manager@southernfund.com</w:t>
            </w:r>
          </w:p>
        </w:tc>
        <w:tc>
          <w:tcPr>
            <w:tcW w:w="2990" w:type="dxa"/>
            <w:vAlign w:val="center"/>
          </w:tcPr>
          <w:p w14:paraId="34A0609D">
            <w:r>
              <w:rPr>
                <w:rFonts w:hint="eastAsia"/>
              </w:rPr>
              <w:t>zhangshan_1027@cmbchina.com</w:t>
            </w:r>
          </w:p>
        </w:tc>
      </w:tr>
      <w:tr w14:paraId="0D59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9A8D32">
            <w:r>
              <w:rPr>
                <w:rFonts w:hint="eastAsia"/>
              </w:rPr>
              <w:t>客户服务电话</w:t>
            </w:r>
          </w:p>
        </w:tc>
        <w:tc>
          <w:tcPr>
            <w:tcW w:w="2270" w:type="dxa"/>
            <w:vAlign w:val="center"/>
          </w:tcPr>
          <w:p w14:paraId="0F2F6DE5">
            <w:r>
              <w:rPr>
                <w:rFonts w:hint="eastAsia"/>
              </w:rPr>
              <w:t>400-889-8899</w:t>
            </w:r>
          </w:p>
        </w:tc>
        <w:tc>
          <w:tcPr>
            <w:tcW w:w="2990" w:type="dxa"/>
            <w:vAlign w:val="center"/>
          </w:tcPr>
          <w:p w14:paraId="72725200">
            <w:r>
              <w:rPr>
                <w:rFonts w:hint="eastAsia"/>
              </w:rPr>
              <w:t>400-61-95555</w:t>
            </w:r>
          </w:p>
        </w:tc>
      </w:tr>
      <w:tr w14:paraId="6722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FF9575">
            <w:r>
              <w:rPr>
                <w:rFonts w:hint="eastAsia"/>
              </w:rPr>
              <w:t>传真</w:t>
            </w:r>
          </w:p>
        </w:tc>
        <w:tc>
          <w:tcPr>
            <w:tcW w:w="2270" w:type="dxa"/>
            <w:vAlign w:val="center"/>
          </w:tcPr>
          <w:p w14:paraId="47B9F136">
            <w:r>
              <w:rPr>
                <w:rFonts w:hint="eastAsia"/>
              </w:rPr>
              <w:t>0755-82763889</w:t>
            </w:r>
          </w:p>
        </w:tc>
        <w:tc>
          <w:tcPr>
            <w:tcW w:w="2990" w:type="dxa"/>
            <w:vAlign w:val="center"/>
          </w:tcPr>
          <w:p w14:paraId="64B0B89A">
            <w:r>
              <w:rPr>
                <w:rFonts w:hint="eastAsia"/>
              </w:rPr>
              <w:t>0755-83195201</w:t>
            </w:r>
          </w:p>
        </w:tc>
      </w:tr>
      <w:tr w14:paraId="7A0C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146563">
            <w:r>
              <w:rPr>
                <w:rFonts w:hint="eastAsia"/>
              </w:rPr>
              <w:t>注册地址</w:t>
            </w:r>
          </w:p>
        </w:tc>
        <w:tc>
          <w:tcPr>
            <w:tcW w:w="2270" w:type="dxa"/>
            <w:vAlign w:val="center"/>
          </w:tcPr>
          <w:p w14:paraId="3B6693C0">
            <w:r>
              <w:rPr>
                <w:rFonts w:hint="eastAsia"/>
              </w:rPr>
              <w:t>深圳市福田区莲花街道益田路5999号基金大厦32-42楼</w:t>
            </w:r>
          </w:p>
        </w:tc>
        <w:tc>
          <w:tcPr>
            <w:tcW w:w="2990" w:type="dxa"/>
            <w:vAlign w:val="center"/>
          </w:tcPr>
          <w:p w14:paraId="3EE544C4">
            <w:r>
              <w:rPr>
                <w:rFonts w:hint="eastAsia"/>
              </w:rPr>
              <w:t>深圳市深南大道7088号招商银行大厦</w:t>
            </w:r>
          </w:p>
        </w:tc>
      </w:tr>
      <w:tr w14:paraId="5491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0CFFCB">
            <w:r>
              <w:rPr>
                <w:rFonts w:hint="eastAsia"/>
              </w:rPr>
              <w:t>办公地址</w:t>
            </w:r>
          </w:p>
        </w:tc>
        <w:tc>
          <w:tcPr>
            <w:tcW w:w="2270" w:type="dxa"/>
            <w:vAlign w:val="center"/>
          </w:tcPr>
          <w:p w14:paraId="189736DE">
            <w:r>
              <w:rPr>
                <w:rFonts w:hint="eastAsia"/>
              </w:rPr>
              <w:t>深圳市福田区莲花街道益田路5999号基金大厦32-42楼</w:t>
            </w:r>
          </w:p>
        </w:tc>
        <w:tc>
          <w:tcPr>
            <w:tcW w:w="2990" w:type="dxa"/>
            <w:vAlign w:val="center"/>
          </w:tcPr>
          <w:p w14:paraId="6EB4FF49">
            <w:r>
              <w:rPr>
                <w:rFonts w:hint="eastAsia"/>
              </w:rPr>
              <w:t>深圳市深南大道7088号招商银行大厦</w:t>
            </w:r>
          </w:p>
        </w:tc>
      </w:tr>
      <w:tr w14:paraId="0F88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F2BDC9">
            <w:r>
              <w:rPr>
                <w:rFonts w:hint="eastAsia"/>
              </w:rPr>
              <w:t>邮政编码</w:t>
            </w:r>
          </w:p>
        </w:tc>
        <w:tc>
          <w:tcPr>
            <w:tcW w:w="2270" w:type="dxa"/>
            <w:vAlign w:val="center"/>
          </w:tcPr>
          <w:p w14:paraId="269933FD">
            <w:r>
              <w:rPr>
                <w:rFonts w:hint="eastAsia"/>
              </w:rPr>
              <w:t>518017</w:t>
            </w:r>
          </w:p>
        </w:tc>
        <w:tc>
          <w:tcPr>
            <w:tcW w:w="2990" w:type="dxa"/>
            <w:vAlign w:val="center"/>
          </w:tcPr>
          <w:p w14:paraId="5A771F65">
            <w:r>
              <w:rPr>
                <w:rFonts w:hint="eastAsia"/>
              </w:rPr>
              <w:t>518040</w:t>
            </w:r>
          </w:p>
        </w:tc>
      </w:tr>
      <w:tr w14:paraId="2B9D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80EB68">
            <w:r>
              <w:rPr>
                <w:rFonts w:hint="eastAsia"/>
              </w:rPr>
              <w:t>法定代表人</w:t>
            </w:r>
          </w:p>
        </w:tc>
        <w:tc>
          <w:tcPr>
            <w:tcW w:w="2270" w:type="dxa"/>
            <w:vAlign w:val="center"/>
          </w:tcPr>
          <w:p w14:paraId="15245E05">
            <w:r>
              <w:rPr>
                <w:rFonts w:hint="eastAsia"/>
              </w:rPr>
              <w:t>周易</w:t>
            </w:r>
          </w:p>
        </w:tc>
        <w:tc>
          <w:tcPr>
            <w:tcW w:w="2990" w:type="dxa"/>
            <w:vAlign w:val="center"/>
          </w:tcPr>
          <w:p w14:paraId="7841493C">
            <w:r>
              <w:rPr>
                <w:rFonts w:hint="eastAsia"/>
              </w:rPr>
              <w:t>缪建民</w:t>
            </w:r>
          </w:p>
        </w:tc>
      </w:tr>
    </w:tbl>
    <w:p w14:paraId="5ACF9019">
      <w:pPr>
        <w:pStyle w:val="23"/>
      </w:pPr>
      <w:bookmarkStart w:id="9" w:name="_Toc2403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3B5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2E892B">
            <w:r>
              <w:rPr>
                <w:rFonts w:hint="eastAsia"/>
              </w:rPr>
              <w:t>本基金选定的信息披露报纸名称</w:t>
            </w:r>
          </w:p>
        </w:tc>
        <w:tc>
          <w:tcPr>
            <w:tcW w:w="3322" w:type="dxa"/>
            <w:vAlign w:val="center"/>
          </w:tcPr>
          <w:p w14:paraId="1B63D8CF">
            <w:r>
              <w:rPr>
                <w:rFonts w:hint="eastAsia"/>
              </w:rPr>
              <w:t>中国证券报</w:t>
            </w:r>
          </w:p>
        </w:tc>
      </w:tr>
      <w:tr w14:paraId="4AD3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70A9EF">
            <w:r>
              <w:rPr>
                <w:rFonts w:hint="eastAsia"/>
              </w:rPr>
              <w:t>登载基金年度报告正文的管理人互联网网址</w:t>
            </w:r>
          </w:p>
        </w:tc>
        <w:tc>
          <w:tcPr>
            <w:tcW w:w="3322" w:type="dxa"/>
            <w:vAlign w:val="center"/>
          </w:tcPr>
          <w:p w14:paraId="00EAF44C">
            <w:r>
              <w:rPr>
                <w:rFonts w:hint="eastAsia"/>
              </w:rPr>
              <w:t>http://www.nffund.com</w:t>
            </w:r>
          </w:p>
        </w:tc>
      </w:tr>
      <w:tr w14:paraId="4052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FDF037">
            <w:r>
              <w:rPr>
                <w:rFonts w:hint="eastAsia"/>
              </w:rPr>
              <w:t>基金年度报告备置地点</w:t>
            </w:r>
          </w:p>
        </w:tc>
        <w:tc>
          <w:tcPr>
            <w:tcW w:w="3322" w:type="dxa"/>
            <w:vAlign w:val="center"/>
          </w:tcPr>
          <w:p w14:paraId="6FB49B9D">
            <w:r>
              <w:rPr>
                <w:rFonts w:hint="eastAsia"/>
              </w:rPr>
              <w:t>基金管理人、基金托管人的办公地址、基金上市交易的证券交易所（如有）</w:t>
            </w:r>
          </w:p>
        </w:tc>
      </w:tr>
    </w:tbl>
    <w:p w14:paraId="2699D576">
      <w:pPr>
        <w:pStyle w:val="23"/>
      </w:pPr>
      <w:r>
        <w:t xml:space="preserve"> </w:t>
      </w:r>
      <w:bookmarkStart w:id="10" w:name="_Toc497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057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01AF32E">
            <w:pPr>
              <w:jc w:val="center"/>
            </w:pPr>
            <w:r>
              <w:rPr>
                <w:rFonts w:hint="eastAsia"/>
                <w:b/>
              </w:rPr>
              <w:t>项目</w:t>
            </w:r>
          </w:p>
        </w:tc>
        <w:tc>
          <w:tcPr>
            <w:tcW w:w="2907" w:type="dxa"/>
            <w:shd w:val="clear" w:color="auto" w:fill="BFBFBF"/>
            <w:vAlign w:val="center"/>
          </w:tcPr>
          <w:p w14:paraId="37B264ED">
            <w:pPr>
              <w:jc w:val="center"/>
            </w:pPr>
            <w:r>
              <w:rPr>
                <w:rFonts w:hint="eastAsia"/>
                <w:b/>
              </w:rPr>
              <w:t>名称</w:t>
            </w:r>
          </w:p>
        </w:tc>
        <w:tc>
          <w:tcPr>
            <w:tcW w:w="3876" w:type="dxa"/>
            <w:shd w:val="clear" w:color="auto" w:fill="BFBFBF"/>
            <w:vAlign w:val="center"/>
          </w:tcPr>
          <w:p w14:paraId="4B32E52E">
            <w:pPr>
              <w:jc w:val="center"/>
            </w:pPr>
            <w:r>
              <w:rPr>
                <w:rFonts w:hint="eastAsia"/>
                <w:b/>
              </w:rPr>
              <w:t>办公地址</w:t>
            </w:r>
          </w:p>
        </w:tc>
      </w:tr>
      <w:tr w14:paraId="6F07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E3E8CE">
            <w:r>
              <w:rPr>
                <w:rFonts w:hint="eastAsia"/>
              </w:rPr>
              <w:t>会计师事务所</w:t>
            </w:r>
          </w:p>
        </w:tc>
        <w:tc>
          <w:tcPr>
            <w:tcW w:w="2907" w:type="dxa"/>
            <w:vAlign w:val="center"/>
          </w:tcPr>
          <w:p w14:paraId="18F0E8F3">
            <w:r>
              <w:rPr>
                <w:rFonts w:hint="eastAsia"/>
              </w:rPr>
              <w:t>德勤华永会计师事务所（特殊普通合伙）</w:t>
            </w:r>
          </w:p>
        </w:tc>
        <w:tc>
          <w:tcPr>
            <w:tcW w:w="3876" w:type="dxa"/>
            <w:vAlign w:val="center"/>
          </w:tcPr>
          <w:p w14:paraId="79BE4AF0">
            <w:r>
              <w:rPr>
                <w:rFonts w:hint="eastAsia"/>
              </w:rPr>
              <w:t>上海市黄浦区延安东路222号外滩中心30楼</w:t>
            </w:r>
          </w:p>
        </w:tc>
      </w:tr>
      <w:tr w14:paraId="39FE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B8E69B5">
            <w:r>
              <w:rPr>
                <w:rFonts w:hint="eastAsia"/>
              </w:rPr>
              <w:t>注册登记机构</w:t>
            </w:r>
          </w:p>
        </w:tc>
        <w:tc>
          <w:tcPr>
            <w:tcW w:w="2907" w:type="dxa"/>
            <w:vAlign w:val="center"/>
          </w:tcPr>
          <w:p w14:paraId="3B42771F">
            <w:r>
              <w:rPr>
                <w:rFonts w:hint="eastAsia"/>
              </w:rPr>
              <w:t>南方基金管理股份有限公司</w:t>
            </w:r>
          </w:p>
        </w:tc>
        <w:tc>
          <w:tcPr>
            <w:tcW w:w="3876" w:type="dxa"/>
            <w:vAlign w:val="center"/>
          </w:tcPr>
          <w:p w14:paraId="009B8261">
            <w:r>
              <w:rPr>
                <w:rFonts w:hint="eastAsia"/>
              </w:rPr>
              <w:t>深圳市福田区莲花街道益田路5999号基金大厦32-42楼</w:t>
            </w:r>
          </w:p>
        </w:tc>
      </w:tr>
    </w:tbl>
    <w:p w14:paraId="27AAA0E8">
      <w:pPr>
        <w:pStyle w:val="26"/>
      </w:pPr>
      <w:bookmarkStart w:id="11" w:name="_Toc7063"/>
      <w:r>
        <w:t>主要财务指标和基金净值表现</w:t>
      </w:r>
      <w:bookmarkEnd w:id="11"/>
    </w:p>
    <w:p w14:paraId="1B5D1141">
      <w:pPr>
        <w:pStyle w:val="23"/>
      </w:pPr>
      <w:bookmarkStart w:id="12" w:name="_Toc14927"/>
      <w:r>
        <w:t>主要会计数据和财务指标</w:t>
      </w:r>
      <w:bookmarkEnd w:id="12"/>
    </w:p>
    <w:p w14:paraId="2FF5CE7F">
      <w:pPr>
        <w:jc w:val="right"/>
        <w:rPr>
          <w:rFonts w:hint="eastAsia"/>
        </w:rPr>
      </w:pPr>
      <w:r>
        <w:rPr>
          <w:rFonts w:hint="eastAsia"/>
        </w:rPr>
        <w:t>单位：人民币元</w:t>
      </w:r>
    </w:p>
    <w:p w14:paraId="1AACA7E7">
      <w:pPr>
        <w:pStyle w:val="18"/>
        <w:rPr>
          <w:rFonts w:hint="eastAsia"/>
        </w:rPr>
      </w:pPr>
      <w:r>
        <w:rPr>
          <w:rFonts w:hint="eastAsia"/>
        </w:rPr>
        <w:t>1、南方稳见3个月持有混合（FOF）A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DC8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A6AE94">
            <w:r>
              <w:rPr>
                <w:rFonts w:hint="eastAsia"/>
              </w:rPr>
              <w:t>3.1.1 期间数据和指标</w:t>
            </w:r>
          </w:p>
        </w:tc>
        <w:tc>
          <w:tcPr>
            <w:tcW w:w="4153" w:type="dxa"/>
            <w:vAlign w:val="center"/>
          </w:tcPr>
          <w:p w14:paraId="5491C804">
            <w:r>
              <w:rPr>
                <w:rFonts w:hint="eastAsia"/>
              </w:rPr>
              <w:t>2025年4月28日-2025年12月31日</w:t>
            </w:r>
          </w:p>
        </w:tc>
      </w:tr>
      <w:tr w14:paraId="599D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D1D00F">
            <w:r>
              <w:rPr>
                <w:rFonts w:hint="eastAsia"/>
              </w:rPr>
              <w:t>本期已实现收益</w:t>
            </w:r>
          </w:p>
        </w:tc>
        <w:tc>
          <w:tcPr>
            <w:tcW w:w="4153" w:type="dxa"/>
            <w:vAlign w:val="center"/>
          </w:tcPr>
          <w:p w14:paraId="6D18F27D">
            <w:pPr>
              <w:jc w:val="right"/>
            </w:pPr>
            <w:r>
              <w:rPr>
                <w:rFonts w:hint="eastAsia"/>
              </w:rPr>
              <w:t>12,656,267.67</w:t>
            </w:r>
          </w:p>
        </w:tc>
      </w:tr>
      <w:tr w14:paraId="79EE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37364">
            <w:r>
              <w:rPr>
                <w:rFonts w:hint="eastAsia"/>
              </w:rPr>
              <w:t>本期利润</w:t>
            </w:r>
          </w:p>
        </w:tc>
        <w:tc>
          <w:tcPr>
            <w:tcW w:w="4153" w:type="dxa"/>
            <w:vAlign w:val="center"/>
          </w:tcPr>
          <w:p w14:paraId="3AB6D70E">
            <w:pPr>
              <w:jc w:val="right"/>
            </w:pPr>
            <w:r>
              <w:rPr>
                <w:rFonts w:hint="eastAsia"/>
              </w:rPr>
              <w:t>18,077,287.50</w:t>
            </w:r>
          </w:p>
        </w:tc>
      </w:tr>
      <w:tr w14:paraId="5FDB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6CD98">
            <w:r>
              <w:rPr>
                <w:rFonts w:hint="eastAsia"/>
              </w:rPr>
              <w:t>加权平均基金份额本期利润</w:t>
            </w:r>
          </w:p>
        </w:tc>
        <w:tc>
          <w:tcPr>
            <w:tcW w:w="4153" w:type="dxa"/>
            <w:vAlign w:val="center"/>
          </w:tcPr>
          <w:p w14:paraId="6A4B9220">
            <w:pPr>
              <w:jc w:val="right"/>
            </w:pPr>
            <w:r>
              <w:rPr>
                <w:rFonts w:hint="eastAsia"/>
              </w:rPr>
              <w:t>0.0234</w:t>
            </w:r>
          </w:p>
        </w:tc>
      </w:tr>
      <w:tr w14:paraId="5B68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0FDBC6">
            <w:r>
              <w:rPr>
                <w:rFonts w:hint="eastAsia"/>
              </w:rPr>
              <w:t>本期加权平均净值利润率</w:t>
            </w:r>
          </w:p>
        </w:tc>
        <w:tc>
          <w:tcPr>
            <w:tcW w:w="4153" w:type="dxa"/>
            <w:vAlign w:val="center"/>
          </w:tcPr>
          <w:p w14:paraId="3D47CCB4">
            <w:pPr>
              <w:jc w:val="right"/>
            </w:pPr>
            <w:r>
              <w:rPr>
                <w:rFonts w:hint="eastAsia"/>
              </w:rPr>
              <w:t>2.32%</w:t>
            </w:r>
          </w:p>
        </w:tc>
      </w:tr>
      <w:tr w14:paraId="346F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61A22F">
            <w:r>
              <w:rPr>
                <w:rFonts w:hint="eastAsia"/>
              </w:rPr>
              <w:t>本期基金份额净值增长率</w:t>
            </w:r>
          </w:p>
        </w:tc>
        <w:tc>
          <w:tcPr>
            <w:tcW w:w="4153" w:type="dxa"/>
            <w:vAlign w:val="center"/>
          </w:tcPr>
          <w:p w14:paraId="1F8DD71D">
            <w:pPr>
              <w:jc w:val="right"/>
            </w:pPr>
            <w:r>
              <w:rPr>
                <w:rFonts w:hint="eastAsia"/>
              </w:rPr>
              <w:t>2.28%</w:t>
            </w:r>
          </w:p>
        </w:tc>
      </w:tr>
      <w:tr w14:paraId="2493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E2DC9">
            <w:r>
              <w:rPr>
                <w:rFonts w:hint="eastAsia"/>
              </w:rPr>
              <w:t>3.1.2 期末数据和指标</w:t>
            </w:r>
          </w:p>
        </w:tc>
        <w:tc>
          <w:tcPr>
            <w:tcW w:w="4153" w:type="dxa"/>
            <w:vAlign w:val="center"/>
          </w:tcPr>
          <w:p w14:paraId="46E02193">
            <w:r>
              <w:rPr>
                <w:rFonts w:hint="eastAsia"/>
              </w:rPr>
              <w:t>2025年末</w:t>
            </w:r>
          </w:p>
        </w:tc>
      </w:tr>
      <w:tr w14:paraId="6EA7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2A5C72">
            <w:r>
              <w:rPr>
                <w:rFonts w:hint="eastAsia"/>
              </w:rPr>
              <w:t>期末可供分配利润</w:t>
            </w:r>
          </w:p>
        </w:tc>
        <w:tc>
          <w:tcPr>
            <w:tcW w:w="4153" w:type="dxa"/>
            <w:vAlign w:val="center"/>
          </w:tcPr>
          <w:p w14:paraId="15ED5528">
            <w:pPr>
              <w:jc w:val="right"/>
            </w:pPr>
            <w:r>
              <w:rPr>
                <w:rFonts w:hint="eastAsia"/>
              </w:rPr>
              <w:t>8,113,903.95</w:t>
            </w:r>
          </w:p>
        </w:tc>
      </w:tr>
      <w:tr w14:paraId="20B4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6B09DB">
            <w:r>
              <w:rPr>
                <w:rFonts w:hint="eastAsia"/>
              </w:rPr>
              <w:t>期末可供分配基金份额利润</w:t>
            </w:r>
          </w:p>
        </w:tc>
        <w:tc>
          <w:tcPr>
            <w:tcW w:w="4153" w:type="dxa"/>
            <w:vAlign w:val="center"/>
          </w:tcPr>
          <w:p w14:paraId="30D5F8DA">
            <w:pPr>
              <w:jc w:val="right"/>
            </w:pPr>
            <w:r>
              <w:rPr>
                <w:rFonts w:hint="eastAsia"/>
              </w:rPr>
              <w:t>0.0182</w:t>
            </w:r>
          </w:p>
        </w:tc>
      </w:tr>
      <w:tr w14:paraId="5B33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02A192">
            <w:r>
              <w:rPr>
                <w:rFonts w:hint="eastAsia"/>
              </w:rPr>
              <w:t>期末基金资产净值</w:t>
            </w:r>
          </w:p>
        </w:tc>
        <w:tc>
          <w:tcPr>
            <w:tcW w:w="4153" w:type="dxa"/>
            <w:vAlign w:val="center"/>
          </w:tcPr>
          <w:p w14:paraId="6B32E2A2">
            <w:pPr>
              <w:jc w:val="right"/>
            </w:pPr>
            <w:r>
              <w:rPr>
                <w:rFonts w:hint="eastAsia"/>
              </w:rPr>
              <w:t>454,261,334.52</w:t>
            </w:r>
          </w:p>
        </w:tc>
      </w:tr>
      <w:tr w14:paraId="7EEA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5AD631">
            <w:r>
              <w:rPr>
                <w:rFonts w:hint="eastAsia"/>
              </w:rPr>
              <w:t>期末基金份额净值</w:t>
            </w:r>
          </w:p>
        </w:tc>
        <w:tc>
          <w:tcPr>
            <w:tcW w:w="4153" w:type="dxa"/>
            <w:vAlign w:val="center"/>
          </w:tcPr>
          <w:p w14:paraId="0724E124">
            <w:pPr>
              <w:jc w:val="right"/>
            </w:pPr>
            <w:r>
              <w:rPr>
                <w:rFonts w:hint="eastAsia"/>
              </w:rPr>
              <w:t>1.0228</w:t>
            </w:r>
          </w:p>
        </w:tc>
      </w:tr>
      <w:tr w14:paraId="50AD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B63B8">
            <w:r>
              <w:rPr>
                <w:rFonts w:hint="eastAsia"/>
              </w:rPr>
              <w:t>3.1.3 累计期末指标</w:t>
            </w:r>
          </w:p>
        </w:tc>
        <w:tc>
          <w:tcPr>
            <w:tcW w:w="4153" w:type="dxa"/>
            <w:vAlign w:val="center"/>
          </w:tcPr>
          <w:p w14:paraId="4F4DFFB2">
            <w:r>
              <w:rPr>
                <w:rFonts w:hint="eastAsia"/>
              </w:rPr>
              <w:t>2025年末</w:t>
            </w:r>
          </w:p>
        </w:tc>
      </w:tr>
      <w:tr w14:paraId="692C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4EEEB3">
            <w:r>
              <w:rPr>
                <w:rFonts w:hint="eastAsia"/>
              </w:rPr>
              <w:t>基金份额累计净值增长率</w:t>
            </w:r>
          </w:p>
        </w:tc>
        <w:tc>
          <w:tcPr>
            <w:tcW w:w="4153" w:type="dxa"/>
            <w:vAlign w:val="center"/>
          </w:tcPr>
          <w:p w14:paraId="7A81CB1A">
            <w:pPr>
              <w:jc w:val="right"/>
            </w:pPr>
            <w:r>
              <w:rPr>
                <w:rFonts w:hint="eastAsia"/>
              </w:rPr>
              <w:t>2.28%</w:t>
            </w:r>
          </w:p>
        </w:tc>
      </w:tr>
    </w:tbl>
    <w:p w14:paraId="2D1D9A24">
      <w:pPr>
        <w:pStyle w:val="18"/>
        <w:rPr>
          <w:rFonts w:hint="eastAsia"/>
        </w:rPr>
      </w:pPr>
      <w:r>
        <w:rPr>
          <w:rFonts w:hint="eastAsia"/>
        </w:rPr>
        <w:t>2、南方稳见3个月持有混合（FOF）C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42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52D2D">
            <w:r>
              <w:rPr>
                <w:rFonts w:hint="eastAsia"/>
              </w:rPr>
              <w:t>3.1.1 期间数据和指标</w:t>
            </w:r>
          </w:p>
        </w:tc>
        <w:tc>
          <w:tcPr>
            <w:tcW w:w="4153" w:type="dxa"/>
            <w:vAlign w:val="center"/>
          </w:tcPr>
          <w:p w14:paraId="779AE6F1">
            <w:r>
              <w:rPr>
                <w:rFonts w:hint="eastAsia"/>
              </w:rPr>
              <w:t>2025年4月28日-2025年12月31日</w:t>
            </w:r>
          </w:p>
        </w:tc>
      </w:tr>
      <w:tr w14:paraId="60FF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6EAA4D">
            <w:r>
              <w:rPr>
                <w:rFonts w:hint="eastAsia"/>
              </w:rPr>
              <w:t>本期已实现收益</w:t>
            </w:r>
          </w:p>
        </w:tc>
        <w:tc>
          <w:tcPr>
            <w:tcW w:w="4153" w:type="dxa"/>
            <w:vAlign w:val="center"/>
          </w:tcPr>
          <w:p w14:paraId="04E99407">
            <w:pPr>
              <w:jc w:val="right"/>
            </w:pPr>
            <w:r>
              <w:rPr>
                <w:rFonts w:hint="eastAsia"/>
              </w:rPr>
              <w:t>25,970,590.81</w:t>
            </w:r>
          </w:p>
        </w:tc>
      </w:tr>
      <w:tr w14:paraId="1400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FB58C">
            <w:r>
              <w:rPr>
                <w:rFonts w:hint="eastAsia"/>
              </w:rPr>
              <w:t>本期利润</w:t>
            </w:r>
          </w:p>
        </w:tc>
        <w:tc>
          <w:tcPr>
            <w:tcW w:w="4153" w:type="dxa"/>
            <w:vAlign w:val="center"/>
          </w:tcPr>
          <w:p w14:paraId="49B5754F">
            <w:pPr>
              <w:jc w:val="right"/>
            </w:pPr>
            <w:r>
              <w:rPr>
                <w:rFonts w:hint="eastAsia"/>
              </w:rPr>
              <w:t>40,047,352.49</w:t>
            </w:r>
          </w:p>
        </w:tc>
      </w:tr>
      <w:tr w14:paraId="628C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F45A7">
            <w:r>
              <w:rPr>
                <w:rFonts w:hint="eastAsia"/>
              </w:rPr>
              <w:t>加权平均基金份额本期利润</w:t>
            </w:r>
          </w:p>
        </w:tc>
        <w:tc>
          <w:tcPr>
            <w:tcW w:w="4153" w:type="dxa"/>
            <w:vAlign w:val="center"/>
          </w:tcPr>
          <w:p w14:paraId="28771C68">
            <w:pPr>
              <w:jc w:val="right"/>
            </w:pPr>
            <w:r>
              <w:rPr>
                <w:rFonts w:hint="eastAsia"/>
              </w:rPr>
              <w:t>0.0203</w:t>
            </w:r>
          </w:p>
        </w:tc>
      </w:tr>
      <w:tr w14:paraId="06FE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4C283">
            <w:r>
              <w:rPr>
                <w:rFonts w:hint="eastAsia"/>
              </w:rPr>
              <w:t>本期加权平均净值利润率</w:t>
            </w:r>
          </w:p>
        </w:tc>
        <w:tc>
          <w:tcPr>
            <w:tcW w:w="4153" w:type="dxa"/>
            <w:vAlign w:val="center"/>
          </w:tcPr>
          <w:p w14:paraId="028713D5">
            <w:pPr>
              <w:jc w:val="right"/>
            </w:pPr>
            <w:r>
              <w:rPr>
                <w:rFonts w:hint="eastAsia"/>
              </w:rPr>
              <w:t>2.02%</w:t>
            </w:r>
          </w:p>
        </w:tc>
      </w:tr>
      <w:tr w14:paraId="3F50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6DB4F6">
            <w:r>
              <w:rPr>
                <w:rFonts w:hint="eastAsia"/>
              </w:rPr>
              <w:t>本期基金份额净值增长率</w:t>
            </w:r>
          </w:p>
        </w:tc>
        <w:tc>
          <w:tcPr>
            <w:tcW w:w="4153" w:type="dxa"/>
            <w:vAlign w:val="center"/>
          </w:tcPr>
          <w:p w14:paraId="5A61976E">
            <w:pPr>
              <w:jc w:val="right"/>
            </w:pPr>
            <w:r>
              <w:rPr>
                <w:rFonts w:hint="eastAsia"/>
              </w:rPr>
              <w:t>2.08%</w:t>
            </w:r>
          </w:p>
        </w:tc>
      </w:tr>
      <w:tr w14:paraId="1307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1D70DB">
            <w:r>
              <w:rPr>
                <w:rFonts w:hint="eastAsia"/>
              </w:rPr>
              <w:t>3.1.2 期末数据和指标</w:t>
            </w:r>
          </w:p>
        </w:tc>
        <w:tc>
          <w:tcPr>
            <w:tcW w:w="4153" w:type="dxa"/>
            <w:vAlign w:val="center"/>
          </w:tcPr>
          <w:p w14:paraId="4E7E6756">
            <w:r>
              <w:rPr>
                <w:rFonts w:hint="eastAsia"/>
              </w:rPr>
              <w:t>2025年末</w:t>
            </w:r>
          </w:p>
        </w:tc>
      </w:tr>
      <w:tr w14:paraId="5451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39404D">
            <w:r>
              <w:rPr>
                <w:rFonts w:hint="eastAsia"/>
              </w:rPr>
              <w:t>期末可供分配利润</w:t>
            </w:r>
          </w:p>
        </w:tc>
        <w:tc>
          <w:tcPr>
            <w:tcW w:w="4153" w:type="dxa"/>
            <w:vAlign w:val="center"/>
          </w:tcPr>
          <w:p w14:paraId="7AEE203B">
            <w:pPr>
              <w:jc w:val="right"/>
            </w:pPr>
            <w:r>
              <w:rPr>
                <w:rFonts w:hint="eastAsia"/>
              </w:rPr>
              <w:t>17,811,293.44</w:t>
            </w:r>
          </w:p>
        </w:tc>
      </w:tr>
      <w:tr w14:paraId="0004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81DE7">
            <w:r>
              <w:rPr>
                <w:rFonts w:hint="eastAsia"/>
              </w:rPr>
              <w:t>期末可供分配基金份额利润</w:t>
            </w:r>
          </w:p>
        </w:tc>
        <w:tc>
          <w:tcPr>
            <w:tcW w:w="4153" w:type="dxa"/>
            <w:vAlign w:val="center"/>
          </w:tcPr>
          <w:p w14:paraId="2354F324">
            <w:pPr>
              <w:jc w:val="right"/>
            </w:pPr>
            <w:r>
              <w:rPr>
                <w:rFonts w:hint="eastAsia"/>
              </w:rPr>
              <w:t>0.0161</w:t>
            </w:r>
          </w:p>
        </w:tc>
      </w:tr>
      <w:tr w14:paraId="2E62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08E4C3">
            <w:r>
              <w:rPr>
                <w:rFonts w:hint="eastAsia"/>
              </w:rPr>
              <w:t>期末基金资产净值</w:t>
            </w:r>
          </w:p>
        </w:tc>
        <w:tc>
          <w:tcPr>
            <w:tcW w:w="4153" w:type="dxa"/>
            <w:vAlign w:val="center"/>
          </w:tcPr>
          <w:p w14:paraId="2F30277B">
            <w:pPr>
              <w:jc w:val="right"/>
            </w:pPr>
            <w:r>
              <w:rPr>
                <w:rFonts w:hint="eastAsia"/>
              </w:rPr>
              <w:t>1,123,539,306.41</w:t>
            </w:r>
          </w:p>
        </w:tc>
      </w:tr>
      <w:tr w14:paraId="189F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CCB2A">
            <w:r>
              <w:rPr>
                <w:rFonts w:hint="eastAsia"/>
              </w:rPr>
              <w:t>期末基金份额净值</w:t>
            </w:r>
          </w:p>
        </w:tc>
        <w:tc>
          <w:tcPr>
            <w:tcW w:w="4153" w:type="dxa"/>
            <w:vAlign w:val="center"/>
          </w:tcPr>
          <w:p w14:paraId="7A574715">
            <w:pPr>
              <w:jc w:val="right"/>
            </w:pPr>
            <w:r>
              <w:rPr>
                <w:rFonts w:hint="eastAsia"/>
              </w:rPr>
              <w:t>1.0208</w:t>
            </w:r>
          </w:p>
        </w:tc>
      </w:tr>
      <w:tr w14:paraId="6527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63D77">
            <w:r>
              <w:rPr>
                <w:rFonts w:hint="eastAsia"/>
              </w:rPr>
              <w:t>3.1.3 累计期末指标</w:t>
            </w:r>
          </w:p>
        </w:tc>
        <w:tc>
          <w:tcPr>
            <w:tcW w:w="4153" w:type="dxa"/>
            <w:vAlign w:val="center"/>
          </w:tcPr>
          <w:p w14:paraId="0E93EF82">
            <w:r>
              <w:rPr>
                <w:rFonts w:hint="eastAsia"/>
              </w:rPr>
              <w:t>2025年末</w:t>
            </w:r>
          </w:p>
        </w:tc>
      </w:tr>
      <w:tr w14:paraId="50FC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8B8C42">
            <w:r>
              <w:rPr>
                <w:rFonts w:hint="eastAsia"/>
              </w:rPr>
              <w:t>基金份额累计净值增长率</w:t>
            </w:r>
          </w:p>
        </w:tc>
        <w:tc>
          <w:tcPr>
            <w:tcW w:w="4153" w:type="dxa"/>
            <w:vAlign w:val="center"/>
          </w:tcPr>
          <w:p w14:paraId="794BF810">
            <w:pPr>
              <w:jc w:val="right"/>
            </w:pPr>
            <w:r>
              <w:rPr>
                <w:rFonts w:hint="eastAsia"/>
              </w:rPr>
              <w:t>2.08%</w:t>
            </w:r>
          </w:p>
        </w:tc>
      </w:tr>
    </w:tbl>
    <w:p w14:paraId="10FA4377">
      <w:pPr>
        <w:pStyle w:val="47"/>
        <w:rPr>
          <w:rFonts w:hint="eastAsia"/>
        </w:rPr>
      </w:pPr>
      <w:r>
        <w:rPr>
          <w:rFonts w:hint="eastAsia"/>
        </w:rPr>
        <w:t>注：基金业绩指标不包括持有人认（申）购或交易基金的各项费用，计入费用后实际收益水平要低于所列数字；</w:t>
      </w:r>
    </w:p>
    <w:p w14:paraId="4333A7C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83B5CF0">
      <w:pPr>
        <w:pStyle w:val="47"/>
        <w:rPr>
          <w:rFonts w:hint="eastAsia"/>
        </w:rPr>
      </w:pPr>
      <w:r>
        <w:tab/>
      </w:r>
      <w:r>
        <w:rPr>
          <w:rFonts w:hint="eastAsia"/>
        </w:rPr>
        <w:t>对期末可供分配利润，采用期末资产负债表中未分配利润与未分配利润中已实现部分的孰低数；</w:t>
      </w:r>
    </w:p>
    <w:p w14:paraId="7C295CED">
      <w:pPr>
        <w:pStyle w:val="47"/>
        <w:rPr>
          <w:rFonts w:hint="eastAsia"/>
        </w:rPr>
      </w:pPr>
      <w:r>
        <w:tab/>
      </w:r>
      <w:r>
        <w:rPr>
          <w:rFonts w:hint="eastAsia"/>
        </w:rPr>
        <w:t>本基金合同生效日为2025年4月28日，基金合同生效日至本报告期末，本基金运作时间未满一年。</w:t>
      </w:r>
    </w:p>
    <w:p w14:paraId="743C25C6">
      <w:pPr>
        <w:pStyle w:val="18"/>
        <w:rPr>
          <w:rFonts w:hint="eastAsia"/>
        </w:rPr>
      </w:pPr>
      <w:r>
        <w:rPr>
          <w:rFonts w:hint="eastAsia"/>
        </w:rPr>
        <w:t>本基金T日的基金份额净值在所投资基金披露净值或万份收益的当日（法定节假日顺延至第一个交易日）计算，并于T+3日公告。</w:t>
      </w:r>
    </w:p>
    <w:p w14:paraId="0FE504E5">
      <w:pPr>
        <w:pStyle w:val="23"/>
      </w:pPr>
      <w:bookmarkStart w:id="13" w:name="_Toc25648"/>
      <w:r>
        <w:t>基金净值表现</w:t>
      </w:r>
      <w:bookmarkEnd w:id="13"/>
      <w:r>
        <w:t xml:space="preserve"> </w:t>
      </w:r>
    </w:p>
    <w:p w14:paraId="538660C1">
      <w:pPr>
        <w:pStyle w:val="28"/>
      </w:pPr>
      <w:bookmarkStart w:id="14" w:name="_Toc14"/>
      <w:r>
        <w:t xml:space="preserve">基金份额净值增长率及其与同期业绩比较基准收益率的比较 </w:t>
      </w:r>
      <w:bookmarkEnd w:id="14"/>
    </w:p>
    <w:p w14:paraId="13E2F891">
      <w:pPr>
        <w:pStyle w:val="18"/>
        <w:rPr>
          <w:rFonts w:hint="eastAsia"/>
        </w:rPr>
      </w:pPr>
      <w:r>
        <w:rPr>
          <w:rFonts w:hint="eastAsia"/>
        </w:rPr>
        <w:t>南方稳见3个月持有混合（FOF）A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B32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7E22B6">
            <w:pPr>
              <w:jc w:val="center"/>
            </w:pPr>
            <w:r>
              <w:rPr>
                <w:rFonts w:hint="eastAsia"/>
                <w:b/>
              </w:rPr>
              <w:t>阶段</w:t>
            </w:r>
          </w:p>
        </w:tc>
        <w:tc>
          <w:tcPr>
            <w:tcW w:w="1101" w:type="dxa"/>
            <w:shd w:val="clear" w:color="auto" w:fill="BFBFBF"/>
            <w:vAlign w:val="center"/>
          </w:tcPr>
          <w:p w14:paraId="6E145E70">
            <w:pPr>
              <w:jc w:val="center"/>
            </w:pPr>
            <w:r>
              <w:rPr>
                <w:rFonts w:hint="eastAsia"/>
                <w:b/>
              </w:rPr>
              <w:t>份额净值增长率①</w:t>
            </w:r>
          </w:p>
        </w:tc>
        <w:tc>
          <w:tcPr>
            <w:tcW w:w="1101" w:type="dxa"/>
            <w:shd w:val="clear" w:color="auto" w:fill="BFBFBF"/>
            <w:vAlign w:val="center"/>
          </w:tcPr>
          <w:p w14:paraId="3D7AA2D7">
            <w:pPr>
              <w:jc w:val="center"/>
            </w:pPr>
            <w:r>
              <w:rPr>
                <w:rFonts w:hint="eastAsia"/>
                <w:b/>
              </w:rPr>
              <w:t>份额净值增长率标准差②</w:t>
            </w:r>
          </w:p>
        </w:tc>
        <w:tc>
          <w:tcPr>
            <w:tcW w:w="1101" w:type="dxa"/>
            <w:shd w:val="clear" w:color="auto" w:fill="BFBFBF"/>
            <w:vAlign w:val="center"/>
          </w:tcPr>
          <w:p w14:paraId="218B0E94">
            <w:pPr>
              <w:jc w:val="center"/>
            </w:pPr>
            <w:r>
              <w:rPr>
                <w:rFonts w:hint="eastAsia"/>
                <w:b/>
              </w:rPr>
              <w:t>业绩比较基准收益率③</w:t>
            </w:r>
          </w:p>
        </w:tc>
        <w:tc>
          <w:tcPr>
            <w:tcW w:w="1207" w:type="dxa"/>
            <w:shd w:val="clear" w:color="auto" w:fill="BFBFBF"/>
            <w:vAlign w:val="center"/>
          </w:tcPr>
          <w:p w14:paraId="50E3FD5B">
            <w:pPr>
              <w:jc w:val="center"/>
            </w:pPr>
            <w:r>
              <w:rPr>
                <w:rFonts w:hint="eastAsia"/>
                <w:b/>
              </w:rPr>
              <w:t>业绩比较基准收益率标准差④</w:t>
            </w:r>
          </w:p>
        </w:tc>
        <w:tc>
          <w:tcPr>
            <w:tcW w:w="1251" w:type="dxa"/>
            <w:shd w:val="clear" w:color="auto" w:fill="BFBFBF"/>
            <w:vAlign w:val="center"/>
          </w:tcPr>
          <w:p w14:paraId="6FD218DE">
            <w:pPr>
              <w:jc w:val="center"/>
            </w:pPr>
            <w:r>
              <w:rPr>
                <w:rFonts w:hint="eastAsia"/>
                <w:b/>
              </w:rPr>
              <w:t>①-③</w:t>
            </w:r>
          </w:p>
        </w:tc>
        <w:tc>
          <w:tcPr>
            <w:tcW w:w="1218" w:type="dxa"/>
            <w:shd w:val="clear" w:color="auto" w:fill="BFBFBF"/>
            <w:vAlign w:val="center"/>
          </w:tcPr>
          <w:p w14:paraId="67DA4ED3">
            <w:pPr>
              <w:jc w:val="center"/>
            </w:pPr>
            <w:r>
              <w:rPr>
                <w:rFonts w:hint="eastAsia"/>
                <w:b/>
              </w:rPr>
              <w:t>②-④</w:t>
            </w:r>
          </w:p>
        </w:tc>
      </w:tr>
      <w:tr w14:paraId="04A9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E23D1E">
            <w:r>
              <w:rPr>
                <w:rFonts w:hint="eastAsia"/>
              </w:rPr>
              <w:t>过去三个月</w:t>
            </w:r>
          </w:p>
        </w:tc>
        <w:tc>
          <w:tcPr>
            <w:tcW w:w="1101" w:type="dxa"/>
            <w:vAlign w:val="center"/>
          </w:tcPr>
          <w:p w14:paraId="3B244B08">
            <w:pPr>
              <w:jc w:val="right"/>
            </w:pPr>
            <w:r>
              <w:rPr>
                <w:rFonts w:hint="eastAsia"/>
              </w:rPr>
              <w:t>0.45%</w:t>
            </w:r>
          </w:p>
        </w:tc>
        <w:tc>
          <w:tcPr>
            <w:tcW w:w="1101" w:type="dxa"/>
            <w:vAlign w:val="center"/>
          </w:tcPr>
          <w:p w14:paraId="42316C75">
            <w:pPr>
              <w:jc w:val="right"/>
            </w:pPr>
            <w:r>
              <w:rPr>
                <w:rFonts w:hint="eastAsia"/>
              </w:rPr>
              <w:t>0.14%</w:t>
            </w:r>
          </w:p>
        </w:tc>
        <w:tc>
          <w:tcPr>
            <w:tcW w:w="1101" w:type="dxa"/>
            <w:vAlign w:val="center"/>
          </w:tcPr>
          <w:p w14:paraId="1C63880E">
            <w:pPr>
              <w:jc w:val="right"/>
            </w:pPr>
            <w:r>
              <w:rPr>
                <w:rFonts w:hint="eastAsia"/>
              </w:rPr>
              <w:t>0.12%</w:t>
            </w:r>
          </w:p>
        </w:tc>
        <w:tc>
          <w:tcPr>
            <w:tcW w:w="1207" w:type="dxa"/>
            <w:vAlign w:val="center"/>
          </w:tcPr>
          <w:p w14:paraId="0AA1F6B9">
            <w:pPr>
              <w:jc w:val="right"/>
            </w:pPr>
            <w:r>
              <w:rPr>
                <w:rFonts w:hint="eastAsia"/>
              </w:rPr>
              <w:t>0.18%</w:t>
            </w:r>
          </w:p>
        </w:tc>
        <w:tc>
          <w:tcPr>
            <w:tcW w:w="1251" w:type="dxa"/>
            <w:vAlign w:val="center"/>
          </w:tcPr>
          <w:p w14:paraId="57114D26">
            <w:pPr>
              <w:jc w:val="right"/>
            </w:pPr>
            <w:r>
              <w:rPr>
                <w:rFonts w:hint="eastAsia"/>
              </w:rPr>
              <w:t>0.33%</w:t>
            </w:r>
          </w:p>
        </w:tc>
        <w:tc>
          <w:tcPr>
            <w:tcW w:w="1218" w:type="dxa"/>
            <w:vAlign w:val="center"/>
          </w:tcPr>
          <w:p w14:paraId="1125D576">
            <w:pPr>
              <w:jc w:val="right"/>
            </w:pPr>
            <w:r>
              <w:rPr>
                <w:rFonts w:hint="eastAsia"/>
              </w:rPr>
              <w:t>-0.04%</w:t>
            </w:r>
          </w:p>
        </w:tc>
      </w:tr>
      <w:tr w14:paraId="25BE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6188B1">
            <w:r>
              <w:rPr>
                <w:rFonts w:hint="eastAsia"/>
              </w:rPr>
              <w:t>过去六个月</w:t>
            </w:r>
          </w:p>
        </w:tc>
        <w:tc>
          <w:tcPr>
            <w:tcW w:w="1101" w:type="dxa"/>
            <w:vAlign w:val="center"/>
          </w:tcPr>
          <w:p w14:paraId="1566852C">
            <w:pPr>
              <w:jc w:val="right"/>
            </w:pPr>
            <w:r>
              <w:rPr>
                <w:rFonts w:hint="eastAsia"/>
              </w:rPr>
              <w:t>1.96%</w:t>
            </w:r>
          </w:p>
        </w:tc>
        <w:tc>
          <w:tcPr>
            <w:tcW w:w="1101" w:type="dxa"/>
            <w:vAlign w:val="center"/>
          </w:tcPr>
          <w:p w14:paraId="2048BDF5">
            <w:pPr>
              <w:jc w:val="right"/>
            </w:pPr>
            <w:r>
              <w:rPr>
                <w:rFonts w:hint="eastAsia"/>
              </w:rPr>
              <w:t>0.12%</w:t>
            </w:r>
          </w:p>
        </w:tc>
        <w:tc>
          <w:tcPr>
            <w:tcW w:w="1101" w:type="dxa"/>
            <w:vAlign w:val="center"/>
          </w:tcPr>
          <w:p w14:paraId="65DE29F6">
            <w:pPr>
              <w:jc w:val="right"/>
            </w:pPr>
            <w:r>
              <w:rPr>
                <w:rFonts w:hint="eastAsia"/>
              </w:rPr>
              <w:t>3.50%</w:t>
            </w:r>
          </w:p>
        </w:tc>
        <w:tc>
          <w:tcPr>
            <w:tcW w:w="1207" w:type="dxa"/>
            <w:vAlign w:val="center"/>
          </w:tcPr>
          <w:p w14:paraId="3EAAC18E">
            <w:pPr>
              <w:jc w:val="right"/>
            </w:pPr>
            <w:r>
              <w:rPr>
                <w:rFonts w:hint="eastAsia"/>
              </w:rPr>
              <w:t>0.17%</w:t>
            </w:r>
          </w:p>
        </w:tc>
        <w:tc>
          <w:tcPr>
            <w:tcW w:w="1251" w:type="dxa"/>
            <w:vAlign w:val="center"/>
          </w:tcPr>
          <w:p w14:paraId="3CCF5149">
            <w:pPr>
              <w:jc w:val="right"/>
            </w:pPr>
            <w:r>
              <w:rPr>
                <w:rFonts w:hint="eastAsia"/>
              </w:rPr>
              <w:t>-1.54%</w:t>
            </w:r>
          </w:p>
        </w:tc>
        <w:tc>
          <w:tcPr>
            <w:tcW w:w="1218" w:type="dxa"/>
            <w:vAlign w:val="center"/>
          </w:tcPr>
          <w:p w14:paraId="1E2DBE10">
            <w:pPr>
              <w:jc w:val="right"/>
            </w:pPr>
            <w:r>
              <w:rPr>
                <w:rFonts w:hint="eastAsia"/>
              </w:rPr>
              <w:t>-0.05%</w:t>
            </w:r>
          </w:p>
        </w:tc>
      </w:tr>
      <w:tr w14:paraId="6B66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572C38">
            <w:r>
              <w:rPr>
                <w:rFonts w:hint="eastAsia"/>
              </w:rPr>
              <w:t>自基金合同生效起至今</w:t>
            </w:r>
          </w:p>
        </w:tc>
        <w:tc>
          <w:tcPr>
            <w:tcW w:w="1101" w:type="dxa"/>
            <w:vAlign w:val="center"/>
          </w:tcPr>
          <w:p w14:paraId="2D4B0DC7">
            <w:pPr>
              <w:jc w:val="right"/>
            </w:pPr>
            <w:r>
              <w:rPr>
                <w:rFonts w:hint="eastAsia"/>
              </w:rPr>
              <w:t>2.28%</w:t>
            </w:r>
          </w:p>
        </w:tc>
        <w:tc>
          <w:tcPr>
            <w:tcW w:w="1101" w:type="dxa"/>
            <w:vAlign w:val="center"/>
          </w:tcPr>
          <w:p w14:paraId="094246F9">
            <w:pPr>
              <w:jc w:val="right"/>
            </w:pPr>
            <w:r>
              <w:rPr>
                <w:rFonts w:hint="eastAsia"/>
              </w:rPr>
              <w:t>0.10%</w:t>
            </w:r>
          </w:p>
        </w:tc>
        <w:tc>
          <w:tcPr>
            <w:tcW w:w="1101" w:type="dxa"/>
            <w:vAlign w:val="center"/>
          </w:tcPr>
          <w:p w14:paraId="32E80177">
            <w:pPr>
              <w:jc w:val="right"/>
            </w:pPr>
            <w:r>
              <w:rPr>
                <w:rFonts w:hint="eastAsia"/>
              </w:rPr>
              <w:t>4.76%</w:t>
            </w:r>
          </w:p>
        </w:tc>
        <w:tc>
          <w:tcPr>
            <w:tcW w:w="1207" w:type="dxa"/>
            <w:vAlign w:val="center"/>
          </w:tcPr>
          <w:p w14:paraId="79D670D1">
            <w:pPr>
              <w:jc w:val="right"/>
            </w:pPr>
            <w:r>
              <w:rPr>
                <w:rFonts w:hint="eastAsia"/>
              </w:rPr>
              <w:t>0.15%</w:t>
            </w:r>
          </w:p>
        </w:tc>
        <w:tc>
          <w:tcPr>
            <w:tcW w:w="1251" w:type="dxa"/>
            <w:vAlign w:val="center"/>
          </w:tcPr>
          <w:p w14:paraId="50254EBD">
            <w:pPr>
              <w:jc w:val="right"/>
            </w:pPr>
            <w:r>
              <w:rPr>
                <w:rFonts w:hint="eastAsia"/>
              </w:rPr>
              <w:t>-2.48%</w:t>
            </w:r>
          </w:p>
        </w:tc>
        <w:tc>
          <w:tcPr>
            <w:tcW w:w="1218" w:type="dxa"/>
            <w:vAlign w:val="center"/>
          </w:tcPr>
          <w:p w14:paraId="7EB4CCEF">
            <w:pPr>
              <w:jc w:val="right"/>
            </w:pPr>
            <w:r>
              <w:rPr>
                <w:rFonts w:hint="eastAsia"/>
              </w:rPr>
              <w:t>-0.05%</w:t>
            </w:r>
          </w:p>
        </w:tc>
      </w:tr>
    </w:tbl>
    <w:p w14:paraId="0CDB600E">
      <w:pPr>
        <w:pStyle w:val="18"/>
        <w:rPr>
          <w:rFonts w:hint="eastAsia"/>
        </w:rPr>
      </w:pPr>
      <w:r>
        <w:rPr>
          <w:rFonts w:hint="eastAsia"/>
        </w:rPr>
        <w:t>南方稳见3个月持有混合（FOF）C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9B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4B3D0A7">
            <w:pPr>
              <w:jc w:val="center"/>
            </w:pPr>
            <w:r>
              <w:rPr>
                <w:rFonts w:hint="eastAsia"/>
                <w:b/>
              </w:rPr>
              <w:t>阶段</w:t>
            </w:r>
          </w:p>
        </w:tc>
        <w:tc>
          <w:tcPr>
            <w:tcW w:w="1101" w:type="dxa"/>
            <w:shd w:val="clear" w:color="auto" w:fill="BFBFBF"/>
            <w:vAlign w:val="center"/>
          </w:tcPr>
          <w:p w14:paraId="1406C704">
            <w:pPr>
              <w:jc w:val="center"/>
            </w:pPr>
            <w:r>
              <w:rPr>
                <w:rFonts w:hint="eastAsia"/>
                <w:b/>
              </w:rPr>
              <w:t>份额净值增长率①</w:t>
            </w:r>
          </w:p>
        </w:tc>
        <w:tc>
          <w:tcPr>
            <w:tcW w:w="1101" w:type="dxa"/>
            <w:shd w:val="clear" w:color="auto" w:fill="BFBFBF"/>
            <w:vAlign w:val="center"/>
          </w:tcPr>
          <w:p w14:paraId="3AB60ADE">
            <w:pPr>
              <w:jc w:val="center"/>
            </w:pPr>
            <w:r>
              <w:rPr>
                <w:rFonts w:hint="eastAsia"/>
                <w:b/>
              </w:rPr>
              <w:t>份额净值增长率标准差②</w:t>
            </w:r>
          </w:p>
        </w:tc>
        <w:tc>
          <w:tcPr>
            <w:tcW w:w="1101" w:type="dxa"/>
            <w:shd w:val="clear" w:color="auto" w:fill="BFBFBF"/>
            <w:vAlign w:val="center"/>
          </w:tcPr>
          <w:p w14:paraId="63C9E5F4">
            <w:pPr>
              <w:jc w:val="center"/>
            </w:pPr>
            <w:r>
              <w:rPr>
                <w:rFonts w:hint="eastAsia"/>
                <w:b/>
              </w:rPr>
              <w:t>业绩比较基准收益率③</w:t>
            </w:r>
          </w:p>
        </w:tc>
        <w:tc>
          <w:tcPr>
            <w:tcW w:w="1207" w:type="dxa"/>
            <w:shd w:val="clear" w:color="auto" w:fill="BFBFBF"/>
            <w:vAlign w:val="center"/>
          </w:tcPr>
          <w:p w14:paraId="4F98AD17">
            <w:pPr>
              <w:jc w:val="center"/>
            </w:pPr>
            <w:r>
              <w:rPr>
                <w:rFonts w:hint="eastAsia"/>
                <w:b/>
              </w:rPr>
              <w:t>业绩比较基准收益率标准差④</w:t>
            </w:r>
          </w:p>
        </w:tc>
        <w:tc>
          <w:tcPr>
            <w:tcW w:w="1251" w:type="dxa"/>
            <w:shd w:val="clear" w:color="auto" w:fill="BFBFBF"/>
            <w:vAlign w:val="center"/>
          </w:tcPr>
          <w:p w14:paraId="3CB394A5">
            <w:pPr>
              <w:jc w:val="center"/>
            </w:pPr>
            <w:r>
              <w:rPr>
                <w:rFonts w:hint="eastAsia"/>
                <w:b/>
              </w:rPr>
              <w:t>①-③</w:t>
            </w:r>
          </w:p>
        </w:tc>
        <w:tc>
          <w:tcPr>
            <w:tcW w:w="1218" w:type="dxa"/>
            <w:shd w:val="clear" w:color="auto" w:fill="BFBFBF"/>
            <w:vAlign w:val="center"/>
          </w:tcPr>
          <w:p w14:paraId="0F31F893">
            <w:pPr>
              <w:jc w:val="center"/>
            </w:pPr>
            <w:r>
              <w:rPr>
                <w:rFonts w:hint="eastAsia"/>
                <w:b/>
              </w:rPr>
              <w:t>②-④</w:t>
            </w:r>
          </w:p>
        </w:tc>
      </w:tr>
      <w:tr w14:paraId="61A3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A26F49">
            <w:r>
              <w:rPr>
                <w:rFonts w:hint="eastAsia"/>
              </w:rPr>
              <w:t>过去三个月</w:t>
            </w:r>
          </w:p>
        </w:tc>
        <w:tc>
          <w:tcPr>
            <w:tcW w:w="1101" w:type="dxa"/>
            <w:vAlign w:val="center"/>
          </w:tcPr>
          <w:p w14:paraId="72C12224">
            <w:pPr>
              <w:jc w:val="right"/>
            </w:pPr>
            <w:r>
              <w:rPr>
                <w:rFonts w:hint="eastAsia"/>
              </w:rPr>
              <w:t>0.38%</w:t>
            </w:r>
          </w:p>
        </w:tc>
        <w:tc>
          <w:tcPr>
            <w:tcW w:w="1101" w:type="dxa"/>
            <w:vAlign w:val="center"/>
          </w:tcPr>
          <w:p w14:paraId="11F24A53">
            <w:pPr>
              <w:jc w:val="right"/>
            </w:pPr>
            <w:r>
              <w:rPr>
                <w:rFonts w:hint="eastAsia"/>
              </w:rPr>
              <w:t>0.14%</w:t>
            </w:r>
          </w:p>
        </w:tc>
        <w:tc>
          <w:tcPr>
            <w:tcW w:w="1101" w:type="dxa"/>
            <w:vAlign w:val="center"/>
          </w:tcPr>
          <w:p w14:paraId="06CCCA7B">
            <w:pPr>
              <w:jc w:val="right"/>
            </w:pPr>
            <w:r>
              <w:rPr>
                <w:rFonts w:hint="eastAsia"/>
              </w:rPr>
              <w:t>0.12%</w:t>
            </w:r>
          </w:p>
        </w:tc>
        <w:tc>
          <w:tcPr>
            <w:tcW w:w="1207" w:type="dxa"/>
            <w:vAlign w:val="center"/>
          </w:tcPr>
          <w:p w14:paraId="02ED2BB5">
            <w:pPr>
              <w:jc w:val="right"/>
            </w:pPr>
            <w:r>
              <w:rPr>
                <w:rFonts w:hint="eastAsia"/>
              </w:rPr>
              <w:t>0.18%</w:t>
            </w:r>
          </w:p>
        </w:tc>
        <w:tc>
          <w:tcPr>
            <w:tcW w:w="1251" w:type="dxa"/>
            <w:vAlign w:val="center"/>
          </w:tcPr>
          <w:p w14:paraId="6B0B1EB1">
            <w:pPr>
              <w:jc w:val="right"/>
            </w:pPr>
            <w:r>
              <w:rPr>
                <w:rFonts w:hint="eastAsia"/>
              </w:rPr>
              <w:t>0.26%</w:t>
            </w:r>
          </w:p>
        </w:tc>
        <w:tc>
          <w:tcPr>
            <w:tcW w:w="1218" w:type="dxa"/>
            <w:vAlign w:val="center"/>
          </w:tcPr>
          <w:p w14:paraId="68CCBAB8">
            <w:pPr>
              <w:jc w:val="right"/>
            </w:pPr>
            <w:r>
              <w:rPr>
                <w:rFonts w:hint="eastAsia"/>
              </w:rPr>
              <w:t>-0.04%</w:t>
            </w:r>
          </w:p>
        </w:tc>
      </w:tr>
      <w:tr w14:paraId="0AA1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598322">
            <w:r>
              <w:rPr>
                <w:rFonts w:hint="eastAsia"/>
              </w:rPr>
              <w:t>过去六个月</w:t>
            </w:r>
          </w:p>
        </w:tc>
        <w:tc>
          <w:tcPr>
            <w:tcW w:w="1101" w:type="dxa"/>
            <w:vAlign w:val="center"/>
          </w:tcPr>
          <w:p w14:paraId="37942F11">
            <w:pPr>
              <w:jc w:val="right"/>
            </w:pPr>
            <w:r>
              <w:rPr>
                <w:rFonts w:hint="eastAsia"/>
              </w:rPr>
              <w:t>1.82%</w:t>
            </w:r>
          </w:p>
        </w:tc>
        <w:tc>
          <w:tcPr>
            <w:tcW w:w="1101" w:type="dxa"/>
            <w:vAlign w:val="center"/>
          </w:tcPr>
          <w:p w14:paraId="41003135">
            <w:pPr>
              <w:jc w:val="right"/>
            </w:pPr>
            <w:r>
              <w:rPr>
                <w:rFonts w:hint="eastAsia"/>
              </w:rPr>
              <w:t>0.12%</w:t>
            </w:r>
          </w:p>
        </w:tc>
        <w:tc>
          <w:tcPr>
            <w:tcW w:w="1101" w:type="dxa"/>
            <w:vAlign w:val="center"/>
          </w:tcPr>
          <w:p w14:paraId="2D5EDE21">
            <w:pPr>
              <w:jc w:val="right"/>
            </w:pPr>
            <w:r>
              <w:rPr>
                <w:rFonts w:hint="eastAsia"/>
              </w:rPr>
              <w:t>3.50%</w:t>
            </w:r>
          </w:p>
        </w:tc>
        <w:tc>
          <w:tcPr>
            <w:tcW w:w="1207" w:type="dxa"/>
            <w:vAlign w:val="center"/>
          </w:tcPr>
          <w:p w14:paraId="0904E865">
            <w:pPr>
              <w:jc w:val="right"/>
            </w:pPr>
            <w:r>
              <w:rPr>
                <w:rFonts w:hint="eastAsia"/>
              </w:rPr>
              <w:t>0.17%</w:t>
            </w:r>
          </w:p>
        </w:tc>
        <w:tc>
          <w:tcPr>
            <w:tcW w:w="1251" w:type="dxa"/>
            <w:vAlign w:val="center"/>
          </w:tcPr>
          <w:p w14:paraId="43981443">
            <w:pPr>
              <w:jc w:val="right"/>
            </w:pPr>
            <w:r>
              <w:rPr>
                <w:rFonts w:hint="eastAsia"/>
              </w:rPr>
              <w:t>-1.68%</w:t>
            </w:r>
          </w:p>
        </w:tc>
        <w:tc>
          <w:tcPr>
            <w:tcW w:w="1218" w:type="dxa"/>
            <w:vAlign w:val="center"/>
          </w:tcPr>
          <w:p w14:paraId="0C54CFBD">
            <w:pPr>
              <w:jc w:val="right"/>
            </w:pPr>
            <w:r>
              <w:rPr>
                <w:rFonts w:hint="eastAsia"/>
              </w:rPr>
              <w:t>-0.05%</w:t>
            </w:r>
          </w:p>
        </w:tc>
      </w:tr>
      <w:tr w14:paraId="2389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D3FEFB">
            <w:r>
              <w:rPr>
                <w:rFonts w:hint="eastAsia"/>
              </w:rPr>
              <w:t>自基金合同生效起至今</w:t>
            </w:r>
          </w:p>
        </w:tc>
        <w:tc>
          <w:tcPr>
            <w:tcW w:w="1101" w:type="dxa"/>
            <w:vAlign w:val="center"/>
          </w:tcPr>
          <w:p w14:paraId="3DFB46F0">
            <w:pPr>
              <w:jc w:val="right"/>
            </w:pPr>
            <w:r>
              <w:rPr>
                <w:rFonts w:hint="eastAsia"/>
              </w:rPr>
              <w:t>2.08%</w:t>
            </w:r>
          </w:p>
        </w:tc>
        <w:tc>
          <w:tcPr>
            <w:tcW w:w="1101" w:type="dxa"/>
            <w:vAlign w:val="center"/>
          </w:tcPr>
          <w:p w14:paraId="2C86084A">
            <w:pPr>
              <w:jc w:val="right"/>
            </w:pPr>
            <w:r>
              <w:rPr>
                <w:rFonts w:hint="eastAsia"/>
              </w:rPr>
              <w:t>0.10%</w:t>
            </w:r>
          </w:p>
        </w:tc>
        <w:tc>
          <w:tcPr>
            <w:tcW w:w="1101" w:type="dxa"/>
            <w:vAlign w:val="center"/>
          </w:tcPr>
          <w:p w14:paraId="1BEC3DC8">
            <w:pPr>
              <w:jc w:val="right"/>
            </w:pPr>
            <w:r>
              <w:rPr>
                <w:rFonts w:hint="eastAsia"/>
              </w:rPr>
              <w:t>4.76%</w:t>
            </w:r>
          </w:p>
        </w:tc>
        <w:tc>
          <w:tcPr>
            <w:tcW w:w="1207" w:type="dxa"/>
            <w:vAlign w:val="center"/>
          </w:tcPr>
          <w:p w14:paraId="47E94DDC">
            <w:pPr>
              <w:jc w:val="right"/>
            </w:pPr>
            <w:r>
              <w:rPr>
                <w:rFonts w:hint="eastAsia"/>
              </w:rPr>
              <w:t>0.15%</w:t>
            </w:r>
          </w:p>
        </w:tc>
        <w:tc>
          <w:tcPr>
            <w:tcW w:w="1251" w:type="dxa"/>
            <w:vAlign w:val="center"/>
          </w:tcPr>
          <w:p w14:paraId="596E2D9E">
            <w:pPr>
              <w:jc w:val="right"/>
            </w:pPr>
            <w:r>
              <w:rPr>
                <w:rFonts w:hint="eastAsia"/>
              </w:rPr>
              <w:t>-2.68%</w:t>
            </w:r>
          </w:p>
        </w:tc>
        <w:tc>
          <w:tcPr>
            <w:tcW w:w="1218" w:type="dxa"/>
            <w:vAlign w:val="center"/>
          </w:tcPr>
          <w:p w14:paraId="4FC0977B">
            <w:pPr>
              <w:jc w:val="right"/>
            </w:pPr>
            <w:r>
              <w:rPr>
                <w:rFonts w:hint="eastAsia"/>
              </w:rPr>
              <w:t>-0.05%</w:t>
            </w:r>
          </w:p>
        </w:tc>
      </w:tr>
    </w:tbl>
    <w:p w14:paraId="71FFD0E0">
      <w:pPr>
        <w:pStyle w:val="28"/>
      </w:pPr>
      <w:bookmarkStart w:id="15" w:name="_Toc15"/>
      <w:r>
        <w:t>自基金合同生效以来基金份额累计净值增长率变动及其与同期业绩比较基准收益率变动的比较</w:t>
      </w:r>
      <w:bookmarkEnd w:id="15"/>
    </w:p>
    <w:p w14:paraId="11C6ABFF">
      <w:pPr>
        <w:jc w:val="center"/>
      </w:pPr>
      <w:r>
        <w:drawing>
          <wp:inline distT="0" distB="0" distL="114300" distR="114300">
            <wp:extent cx="5274310" cy="34207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21174"/>
                    </a:xfrm>
                    <a:prstGeom prst="rect">
                      <a:avLst/>
                    </a:prstGeom>
                  </pic:spPr>
                </pic:pic>
              </a:graphicData>
            </a:graphic>
          </wp:inline>
        </w:drawing>
      </w:r>
    </w:p>
    <w:p w14:paraId="7CA538FF">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09120BE1">
      <w:pPr>
        <w:pStyle w:val="47"/>
        <w:rPr>
          <w:rFonts w:hint="eastAsia"/>
        </w:rPr>
      </w:pPr>
      <w:r>
        <w:rPr>
          <w:rFonts w:hint="eastAsia"/>
        </w:rPr>
        <w:t>注：本基金合同于2025年4月28日生效，截至本报告期末基金成立未满一年；自基金成立日起6个月内为建仓期，建仓期结束时各项资产配置比例符合合同约定。</w:t>
      </w:r>
    </w:p>
    <w:p w14:paraId="03E45286">
      <w:pPr>
        <w:pStyle w:val="28"/>
      </w:pPr>
      <w:bookmarkStart w:id="16" w:name="_Toc16"/>
      <w:r>
        <w:t>自基金合同生效以来基金每年净值增长率及其与同期业绩比较基准收益率的比较</w:t>
      </w:r>
      <w:bookmarkEnd w:id="16"/>
    </w:p>
    <w:p w14:paraId="5E554C51">
      <w:pPr>
        <w:jc w:val="center"/>
      </w:pPr>
      <w:r>
        <w:drawing>
          <wp:inline distT="0" distB="0" distL="114300" distR="114300">
            <wp:extent cx="5274310" cy="34817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82145"/>
                    </a:xfrm>
                    <a:prstGeom prst="rect">
                      <a:avLst/>
                    </a:prstGeom>
                  </pic:spPr>
                </pic:pic>
              </a:graphicData>
            </a:graphic>
          </wp:inline>
        </w:drawing>
      </w:r>
    </w:p>
    <w:p w14:paraId="4126CE3E">
      <w:pPr>
        <w:jc w:val="center"/>
      </w:pPr>
      <w: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14:paraId="7BFB2C64">
      <w:pPr>
        <w:pStyle w:val="47"/>
        <w:rPr>
          <w:rFonts w:hint="eastAsia"/>
        </w:rPr>
      </w:pPr>
      <w:r>
        <w:rPr>
          <w:rFonts w:hint="eastAsia"/>
        </w:rPr>
        <w:t>注：基金合同生效当年按实际存续期计算，不按整个自然年度进行折算。</w:t>
      </w:r>
    </w:p>
    <w:p w14:paraId="0D2A686E">
      <w:pPr>
        <w:pStyle w:val="23"/>
      </w:pPr>
      <w:bookmarkStart w:id="17" w:name="_Toc4447"/>
      <w:r>
        <w:t>过去三年基金的利润分配情况</w:t>
      </w:r>
      <w:bookmarkEnd w:id="17"/>
      <w:r>
        <w:t xml:space="preserve"> </w:t>
      </w:r>
    </w:p>
    <w:p w14:paraId="5231169B">
      <w:pPr>
        <w:pStyle w:val="18"/>
        <w:rPr>
          <w:rFonts w:hint="eastAsia"/>
        </w:rPr>
      </w:pPr>
      <w:r>
        <w:rPr>
          <w:rFonts w:hint="eastAsia"/>
        </w:rPr>
        <w:t>本基金于2025年4月28日成立，自基金合同生效日以来未进行利润分配。</w:t>
      </w:r>
    </w:p>
    <w:p w14:paraId="53A140D0">
      <w:pPr>
        <w:pStyle w:val="26"/>
      </w:pPr>
      <w:bookmarkStart w:id="18" w:name="_Toc4752"/>
      <w:r>
        <w:t>管理人报告</w:t>
      </w:r>
      <w:bookmarkEnd w:id="18"/>
    </w:p>
    <w:p w14:paraId="0AE5A448">
      <w:pPr>
        <w:pStyle w:val="23"/>
      </w:pPr>
      <w:bookmarkStart w:id="19" w:name="_Toc6449"/>
      <w:r>
        <w:t>基金管理人及基金经理情况</w:t>
      </w:r>
      <w:bookmarkEnd w:id="19"/>
    </w:p>
    <w:p w14:paraId="3B5ACCD4">
      <w:pPr>
        <w:pStyle w:val="28"/>
      </w:pPr>
      <w:bookmarkStart w:id="20" w:name="_Toc20"/>
      <w:r>
        <w:t>基金管理人及其管理基金的经验</w:t>
      </w:r>
      <w:bookmarkEnd w:id="20"/>
    </w:p>
    <w:p w14:paraId="74DCF3F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CD4B53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094DB5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49602E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91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90904F2">
            <w:pPr>
              <w:jc w:val="center"/>
            </w:pPr>
            <w:r>
              <w:rPr>
                <w:rFonts w:hint="eastAsia"/>
                <w:b/>
              </w:rPr>
              <w:t>姓名</w:t>
            </w:r>
          </w:p>
        </w:tc>
        <w:tc>
          <w:tcPr>
            <w:tcW w:w="830" w:type="dxa"/>
            <w:vMerge w:val="restart"/>
            <w:shd w:val="clear" w:color="auto" w:fill="BFBFBF"/>
            <w:vAlign w:val="center"/>
          </w:tcPr>
          <w:p w14:paraId="41FABDC0">
            <w:pPr>
              <w:jc w:val="center"/>
            </w:pPr>
            <w:r>
              <w:rPr>
                <w:rFonts w:hint="eastAsia"/>
                <w:b/>
              </w:rPr>
              <w:t>职务</w:t>
            </w:r>
          </w:p>
        </w:tc>
        <w:tc>
          <w:tcPr>
            <w:tcW w:w="1090" w:type="dxa"/>
            <w:gridSpan w:val="2"/>
            <w:shd w:val="clear" w:color="auto" w:fill="BFBFBF"/>
            <w:vAlign w:val="center"/>
          </w:tcPr>
          <w:p w14:paraId="48F9C2F4">
            <w:pPr>
              <w:jc w:val="center"/>
            </w:pPr>
            <w:r>
              <w:rPr>
                <w:rFonts w:hint="eastAsia"/>
                <w:b/>
              </w:rPr>
              <w:t>任本基金的基金经理（助理）期限</w:t>
            </w:r>
          </w:p>
        </w:tc>
        <w:tc>
          <w:tcPr>
            <w:tcW w:w="686" w:type="dxa"/>
            <w:vMerge w:val="restart"/>
            <w:shd w:val="clear" w:color="auto" w:fill="BFBFBF"/>
            <w:vAlign w:val="center"/>
          </w:tcPr>
          <w:p w14:paraId="279880A3">
            <w:pPr>
              <w:jc w:val="center"/>
            </w:pPr>
            <w:r>
              <w:rPr>
                <w:rFonts w:hint="eastAsia"/>
                <w:b/>
              </w:rPr>
              <w:t>证券从业年限</w:t>
            </w:r>
          </w:p>
        </w:tc>
        <w:tc>
          <w:tcPr>
            <w:tcW w:w="3765" w:type="dxa"/>
            <w:vMerge w:val="restart"/>
            <w:shd w:val="clear" w:color="auto" w:fill="BFBFBF"/>
            <w:vAlign w:val="center"/>
          </w:tcPr>
          <w:p w14:paraId="106BB7F7">
            <w:pPr>
              <w:jc w:val="center"/>
            </w:pPr>
            <w:r>
              <w:rPr>
                <w:rFonts w:hint="eastAsia"/>
                <w:b/>
              </w:rPr>
              <w:t>说明</w:t>
            </w:r>
          </w:p>
        </w:tc>
      </w:tr>
      <w:tr w14:paraId="5E24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3EB93A4"/>
        </w:tc>
        <w:tc>
          <w:tcPr>
            <w:tcW w:w="830" w:type="dxa"/>
            <w:vMerge w:val="continue"/>
            <w:vAlign w:val="center"/>
          </w:tcPr>
          <w:p w14:paraId="68765257"/>
        </w:tc>
        <w:tc>
          <w:tcPr>
            <w:tcW w:w="1090" w:type="dxa"/>
            <w:shd w:val="clear" w:color="auto" w:fill="BFBFBF"/>
            <w:vAlign w:val="center"/>
          </w:tcPr>
          <w:p w14:paraId="06E5F844">
            <w:pPr>
              <w:jc w:val="center"/>
            </w:pPr>
            <w:r>
              <w:rPr>
                <w:rFonts w:hint="eastAsia"/>
                <w:b/>
              </w:rPr>
              <w:t>任职日期</w:t>
            </w:r>
          </w:p>
        </w:tc>
        <w:tc>
          <w:tcPr>
            <w:tcW w:w="1090" w:type="dxa"/>
            <w:shd w:val="clear" w:color="auto" w:fill="BFBFBF"/>
            <w:vAlign w:val="center"/>
          </w:tcPr>
          <w:p w14:paraId="465DFAB5">
            <w:pPr>
              <w:jc w:val="center"/>
            </w:pPr>
            <w:r>
              <w:rPr>
                <w:rFonts w:hint="eastAsia"/>
                <w:b/>
              </w:rPr>
              <w:t>离任日期</w:t>
            </w:r>
          </w:p>
        </w:tc>
        <w:tc>
          <w:tcPr>
            <w:tcW w:w="686" w:type="dxa"/>
            <w:vMerge w:val="continue"/>
            <w:vAlign w:val="center"/>
          </w:tcPr>
          <w:p w14:paraId="32A397C2"/>
        </w:tc>
        <w:tc>
          <w:tcPr>
            <w:tcW w:w="3765" w:type="dxa"/>
            <w:vMerge w:val="continue"/>
            <w:vAlign w:val="center"/>
          </w:tcPr>
          <w:p w14:paraId="5A01015E"/>
        </w:tc>
      </w:tr>
      <w:tr w14:paraId="163E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23F9477">
            <w:r>
              <w:rPr>
                <w:rFonts w:hint="eastAsia"/>
              </w:rPr>
              <w:t>汪轻舟</w:t>
            </w:r>
          </w:p>
        </w:tc>
        <w:tc>
          <w:tcPr>
            <w:tcW w:w="830" w:type="dxa"/>
            <w:vAlign w:val="center"/>
          </w:tcPr>
          <w:p w14:paraId="6C8175F4">
            <w:r>
              <w:rPr>
                <w:rFonts w:hint="eastAsia"/>
              </w:rPr>
              <w:t>本基金基金经理</w:t>
            </w:r>
          </w:p>
        </w:tc>
        <w:tc>
          <w:tcPr>
            <w:tcW w:w="1090" w:type="dxa"/>
            <w:vAlign w:val="center"/>
          </w:tcPr>
          <w:p w14:paraId="409CF58F">
            <w:r>
              <w:rPr>
                <w:rFonts w:hint="eastAsia"/>
              </w:rPr>
              <w:t>2025年4月28日</w:t>
            </w:r>
          </w:p>
        </w:tc>
        <w:tc>
          <w:tcPr>
            <w:tcW w:w="1090" w:type="dxa"/>
            <w:vAlign w:val="center"/>
          </w:tcPr>
          <w:p w14:paraId="4442A8A6">
            <w:pPr>
              <w:jc w:val="right"/>
            </w:pPr>
            <w:r>
              <w:rPr>
                <w:rFonts w:hint="eastAsia"/>
              </w:rPr>
              <w:t>-</w:t>
            </w:r>
          </w:p>
        </w:tc>
        <w:tc>
          <w:tcPr>
            <w:tcW w:w="686" w:type="dxa"/>
            <w:vAlign w:val="center"/>
          </w:tcPr>
          <w:p w14:paraId="54D35695">
            <w:r>
              <w:rPr>
                <w:rFonts w:hint="eastAsia"/>
              </w:rPr>
              <w:t>10年</w:t>
            </w:r>
          </w:p>
        </w:tc>
        <w:tc>
          <w:tcPr>
            <w:tcW w:w="3765" w:type="dxa"/>
            <w:vAlign w:val="center"/>
          </w:tcPr>
          <w:p w14:paraId="3C349081">
            <w:pPr>
              <w:jc w:val="both"/>
            </w:pPr>
            <w:r>
              <w:rPr>
                <w:rFonts w:hint="eastAsia"/>
              </w:rPr>
              <w:t>中国国籍，女，北京大学金融学硕士，具有基金从业资格。曾就职于建信保险资产管理有限公司，任固定收益投资二部总经理。2022年9月加入南方基金，2023年7月14日至今，任南方浩祥3个月持有债券发起（FOF）、南方富祥稳健养老目标一年持有混合（FOF）基金经理；2024年8月30日至今，任南方浩鑫稳健优选6个月持有混合（FOF）基金经理；2025年4月28日至今，任南方稳见3个月持有混合（FOF）基金经理。</w:t>
            </w:r>
          </w:p>
        </w:tc>
      </w:tr>
    </w:tbl>
    <w:p w14:paraId="3F0D760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5D84D3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5469979">
      <w:pPr>
        <w:pStyle w:val="28"/>
      </w:pPr>
      <w:bookmarkStart w:id="22" w:name="_Toc22"/>
      <w:r>
        <w:t>基金经理薪酬机制</w:t>
      </w:r>
      <w:bookmarkEnd w:id="22"/>
    </w:p>
    <w:p w14:paraId="108F8A3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D769824">
      <w:pPr>
        <w:pStyle w:val="23"/>
      </w:pPr>
      <w:bookmarkStart w:id="23" w:name="_Toc14687"/>
      <w:r>
        <w:t>管理人对报告期内本基金运作遵规守信情况的说明</w:t>
      </w:r>
      <w:bookmarkEnd w:id="23"/>
      <w:r>
        <w:t xml:space="preserve"> </w:t>
      </w:r>
    </w:p>
    <w:p w14:paraId="3B57405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09E50E2">
      <w:pPr>
        <w:pStyle w:val="23"/>
      </w:pPr>
      <w:bookmarkStart w:id="24" w:name="_Toc1169"/>
      <w:r>
        <w:t>管理人对报告期内公平交易情况的专项说明</w:t>
      </w:r>
      <w:bookmarkEnd w:id="24"/>
    </w:p>
    <w:p w14:paraId="5510C974">
      <w:pPr>
        <w:pStyle w:val="28"/>
      </w:pPr>
      <w:bookmarkStart w:id="25" w:name="_Toc25"/>
      <w:r>
        <w:t>公平交易制度和控制方法</w:t>
      </w:r>
      <w:bookmarkEnd w:id="25"/>
    </w:p>
    <w:p w14:paraId="423856A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F0E5AE4">
      <w:pPr>
        <w:pStyle w:val="28"/>
      </w:pPr>
      <w:bookmarkStart w:id="26" w:name="_Toc26"/>
      <w:r>
        <w:t>公平交易制度的执行情况</w:t>
      </w:r>
      <w:bookmarkEnd w:id="26"/>
    </w:p>
    <w:p w14:paraId="7F3DAF9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D9A4B1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4626833">
      <w:pPr>
        <w:pStyle w:val="35"/>
      </w:pPr>
      <w:bookmarkStart w:id="27" w:name="_Toc27"/>
      <w:r>
        <w:t>增加执行的基金经理公平交易制度执行情况及公平交易管理情况</w:t>
      </w:r>
      <w:bookmarkEnd w:id="27"/>
    </w:p>
    <w:p w14:paraId="3B1411A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4BBEF02">
      <w:pPr>
        <w:pStyle w:val="28"/>
      </w:pPr>
      <w:bookmarkStart w:id="28" w:name="_Toc28"/>
      <w:r>
        <w:t>异常交易行为的专项说明</w:t>
      </w:r>
      <w:bookmarkEnd w:id="28"/>
    </w:p>
    <w:p w14:paraId="370E525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850C559">
      <w:pPr>
        <w:pStyle w:val="23"/>
      </w:pPr>
      <w:bookmarkStart w:id="29" w:name="_Toc2040"/>
      <w:r>
        <w:t>管理人对报告期内基金的投资策略和业绩表现的说明</w:t>
      </w:r>
      <w:bookmarkEnd w:id="29"/>
    </w:p>
    <w:p w14:paraId="4FA8A4D2">
      <w:pPr>
        <w:pStyle w:val="28"/>
      </w:pPr>
      <w:bookmarkStart w:id="30" w:name="_Toc30"/>
      <w:r>
        <w:t>报告期内基金投资策略和运作分析</w:t>
      </w:r>
      <w:bookmarkEnd w:id="30"/>
    </w:p>
    <w:p w14:paraId="318740CA">
      <w:pPr>
        <w:pStyle w:val="18"/>
        <w:rPr>
          <w:rFonts w:hint="eastAsia"/>
        </w:rPr>
      </w:pPr>
      <w:r>
        <w:rPr>
          <w:rFonts w:hint="eastAsia"/>
        </w:rPr>
        <w:t>本产品依旧保持稳健投资的投资理念，以获取相对稳健的净值增长及良好的客户持有体验为投资目标。10月以来对权益及转债仓位有所下降，风格上保持均衡偏成长，以应对市场的波动，12月以来降低了组合久期。未来仍将以稳健投资的理念运作，在控制回撤的基础上，追求净值的稳健增长。</w:t>
      </w:r>
    </w:p>
    <w:p w14:paraId="1ADC5D89">
      <w:pPr>
        <w:pStyle w:val="28"/>
      </w:pPr>
      <w:bookmarkStart w:id="31" w:name="_Toc31"/>
      <w:r>
        <w:t>报告期内基金的业绩表现</w:t>
      </w:r>
      <w:bookmarkEnd w:id="31"/>
    </w:p>
    <w:p w14:paraId="5CBC7309">
      <w:pPr>
        <w:pStyle w:val="18"/>
        <w:rPr>
          <w:rFonts w:hint="eastAsia"/>
        </w:rPr>
      </w:pPr>
      <w:r>
        <w:rPr>
          <w:rFonts w:hint="eastAsia"/>
        </w:rPr>
        <w:t>截至报告期末，本基金A份额净值为1.0228元，报告期内，份额净值增长率为2.28%，同期业绩基准增长率为4.76%；本基金C份额净值为1.0208元，报告期内，份额净值增长率为2.08%，同期业绩基准增长率为4.76%。</w:t>
      </w:r>
    </w:p>
    <w:p w14:paraId="3F509A48">
      <w:pPr>
        <w:pStyle w:val="23"/>
      </w:pPr>
      <w:bookmarkStart w:id="32" w:name="_Toc22082"/>
      <w:r>
        <w:t>管理人对宏观经济、证券市场及行业走势的简要展望</w:t>
      </w:r>
      <w:bookmarkEnd w:id="32"/>
    </w:p>
    <w:p w14:paraId="024FFB04">
      <w:pPr>
        <w:pStyle w:val="18"/>
        <w:rPr>
          <w:rFonts w:hint="eastAsia"/>
        </w:rPr>
      </w:pPr>
      <w:r>
        <w:rPr>
          <w:rFonts w:hint="eastAsia"/>
        </w:rPr>
        <w:t>国内宏观：宏观经济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21483191">
      <w:pPr>
        <w:pStyle w:val="18"/>
        <w:rPr>
          <w:rFonts w:hint="eastAsia"/>
        </w:rPr>
      </w:pPr>
      <w:r>
        <w:rPr>
          <w:rFonts w:hint="eastAsia"/>
        </w:rPr>
        <w:t>海外宏观：美国经济增速放缓，特朗普关税政策扰动逐步退坡，美联储开启预防式降息。整体来看，特朗普2.0时期政策不确定性较高，关税政策、DOGE改革等对上半年增长压制明显，但下半年随着关税谈判与减支暂缓负面影响减缓。9月美联储开启预防式降息，托底美国经济。数据方面，美国前三季度GDP不变价季调同比折年数分别为2.02%、2.08%和2.33%，经济增速较去年有所放缓。受移民限制、关税反复、联邦政府裁员等因素影响，非农就业明显走弱。通胀结构粘性分化，核心服务去通胀成效有所显现，进口关税对食品与商品的传导存在隐忧。宏观展望：2026年是“十五五”期间夯实基础、全面发力的关键开局之年。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565F56D8">
      <w:pPr>
        <w:pStyle w:val="18"/>
        <w:rPr>
          <w:rFonts w:hint="eastAsia"/>
        </w:rPr>
      </w:pPr>
      <w:r>
        <w:rPr>
          <w:rFonts w:hint="eastAsia"/>
        </w:rPr>
        <w:t>A股展望：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利率展望：利率预计延续低位区间震荡。2026年美联储预防性降息下、关税影响逐步退坡，叠加财政转宽，美国经济触底企稳，支撑外需。2026年是十五五规划的开局之年，货币政策延续适度宽松基调，配合财政协同发力，市场预期或仍有降准降息等总量宽松政策落地，因此短端仍有下行空间，但是长端利率则因通胀预期和风险偏好的回升而有上行压力。私人部门的信用或持续磨底，利率整体上行的空间有限。PPI上行幅度依赖于反内卷政策的实施情况。综合来看，预计十年期国债利率或延续低位区间震荡，对超长端整体偏谨慎</w:t>
      </w:r>
    </w:p>
    <w:p w14:paraId="22CF3888">
      <w:pPr>
        <w:pStyle w:val="23"/>
      </w:pPr>
      <w:bookmarkStart w:id="33" w:name="_Toc2967"/>
      <w:r>
        <w:t>管理人内部有关本基金的监察稽核工作情况</w:t>
      </w:r>
      <w:bookmarkEnd w:id="33"/>
      <w:r>
        <w:t xml:space="preserve"> </w:t>
      </w:r>
    </w:p>
    <w:p w14:paraId="34ECE4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B879D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A553E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8F52D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0D7AB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0F4CE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F344327">
      <w:pPr>
        <w:pStyle w:val="23"/>
      </w:pPr>
      <w:bookmarkStart w:id="34" w:name="_Toc19947"/>
      <w:r>
        <w:t>管理人对报告期内基金估值程序等事项的说明</w:t>
      </w:r>
      <w:bookmarkEnd w:id="34"/>
    </w:p>
    <w:p w14:paraId="293BCEB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FB792B9">
      <w:pPr>
        <w:pStyle w:val="23"/>
      </w:pPr>
      <w:bookmarkStart w:id="35" w:name="_Toc22308"/>
      <w:r>
        <w:t>管理人对报告期内基金利润分配情况的说明</w:t>
      </w:r>
      <w:bookmarkEnd w:id="35"/>
      <w:r>
        <w:t xml:space="preserve"> </w:t>
      </w:r>
    </w:p>
    <w:p w14:paraId="3C362A7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9943B5B">
      <w:pPr>
        <w:pStyle w:val="23"/>
      </w:pPr>
      <w:bookmarkStart w:id="36" w:name="_Toc9548"/>
      <w:r>
        <w:t>报告期内基金持有人数或基金资产净值预警说明</w:t>
      </w:r>
      <w:bookmarkEnd w:id="36"/>
    </w:p>
    <w:p w14:paraId="10E50989">
      <w:pPr>
        <w:pStyle w:val="18"/>
        <w:rPr>
          <w:rFonts w:hint="eastAsia"/>
        </w:rPr>
      </w:pPr>
      <w:r>
        <w:rPr>
          <w:rFonts w:hint="eastAsia"/>
        </w:rPr>
        <w:t>报告期内，本基金未出现连续二十个交易日基金份额持有人数量不满二百人或者基金资产净值低于五千万元的情形。</w:t>
      </w:r>
    </w:p>
    <w:p w14:paraId="35252D0A">
      <w:pPr>
        <w:pStyle w:val="26"/>
      </w:pPr>
      <w:r>
        <w:t xml:space="preserve"> </w:t>
      </w:r>
      <w:bookmarkStart w:id="37" w:name="_Toc11785"/>
      <w:r>
        <w:t>托管人报告</w:t>
      </w:r>
      <w:bookmarkEnd w:id="37"/>
    </w:p>
    <w:p w14:paraId="30491A18">
      <w:pPr>
        <w:pStyle w:val="23"/>
      </w:pPr>
      <w:bookmarkStart w:id="38" w:name="_Toc26666"/>
      <w:r>
        <w:t>报告期内本基金托管人遵规守信情况声明</w:t>
      </w:r>
      <w:bookmarkEnd w:id="38"/>
    </w:p>
    <w:p w14:paraId="65B064D8">
      <w:pPr>
        <w:pStyle w:val="18"/>
        <w:rPr>
          <w:rFonts w:hint="eastAsia"/>
        </w:rPr>
      </w:pPr>
      <w:r>
        <w:rPr>
          <w:rFonts w:hint="eastAsia"/>
        </w:rPr>
        <w:t>托管人声明:</w:t>
      </w:r>
    </w:p>
    <w:p w14:paraId="3183E1E3">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78148317">
      <w:pPr>
        <w:pStyle w:val="23"/>
      </w:pPr>
      <w:bookmarkStart w:id="39" w:name="_Toc29422"/>
      <w:r>
        <w:t>托管人对报告期内本基金投资运作遵规守信、净值计算、利润分配等情况的说明</w:t>
      </w:r>
      <w:bookmarkEnd w:id="39"/>
      <w:r>
        <w:t xml:space="preserve"> </w:t>
      </w:r>
    </w:p>
    <w:p w14:paraId="2FA68BB9">
      <w:pPr>
        <w:pStyle w:val="18"/>
        <w:rPr>
          <w:rFonts w:hint="eastAsia"/>
        </w:rPr>
      </w:pPr>
      <w:r>
        <w:rPr>
          <w:rFonts w:hint="eastAsia"/>
        </w:rPr>
        <w:t>招商银行根据法律法规、托管协议约定的投资监督条款，对托管产品的投资行为进行监督，并根据监管要求履行报告义务。</w:t>
      </w:r>
    </w:p>
    <w:p w14:paraId="5BEFD9FF">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2BC04788">
      <w:pPr>
        <w:pStyle w:val="18"/>
        <w:rPr>
          <w:rFonts w:hint="eastAsia"/>
        </w:rPr>
      </w:pPr>
      <w:r>
        <w:rPr>
          <w:rFonts w:hint="eastAsia"/>
        </w:rPr>
        <w:t>本年度报告中利润分配情况真实、准确。</w:t>
      </w:r>
    </w:p>
    <w:p w14:paraId="59F2583A">
      <w:pPr>
        <w:pStyle w:val="23"/>
      </w:pPr>
      <w:bookmarkStart w:id="40" w:name="_Toc17561"/>
      <w:r>
        <w:t>托管人对本年度报告中财务信息等内容的真实、准确和完整发表意见</w:t>
      </w:r>
      <w:bookmarkEnd w:id="40"/>
    </w:p>
    <w:p w14:paraId="7628B3F6">
      <w:pPr>
        <w:pStyle w:val="18"/>
        <w:rPr>
          <w:rFonts w:hint="eastAsia"/>
        </w:rPr>
      </w:pPr>
      <w:r>
        <w:rPr>
          <w:rFonts w:hint="eastAsia"/>
        </w:rPr>
        <w:t>本年度报告中财务指标、净值表现、财务会计报告、投资组合报告内容真实、准确，不存在虚假记载、误导性陈述或者重大遗漏。</w:t>
      </w:r>
    </w:p>
    <w:p w14:paraId="1BBA508F">
      <w:pPr>
        <w:pStyle w:val="26"/>
      </w:pPr>
      <w:bookmarkStart w:id="41" w:name="_Toc24934"/>
      <w:r>
        <w:t>审计报告</w:t>
      </w:r>
      <w:bookmarkEnd w:id="41"/>
    </w:p>
    <w:p w14:paraId="2478D920">
      <w:pPr>
        <w:pStyle w:val="23"/>
      </w:pPr>
      <w:bookmarkStart w:id="42" w:name="_Toc241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C9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19A9F2">
            <w:r>
              <w:rPr>
                <w:rFonts w:hint="eastAsia"/>
              </w:rPr>
              <w:t>财务报表是否经过审计</w:t>
            </w:r>
          </w:p>
        </w:tc>
        <w:tc>
          <w:tcPr>
            <w:tcW w:w="4153" w:type="dxa"/>
            <w:vAlign w:val="center"/>
          </w:tcPr>
          <w:p w14:paraId="362D9C78">
            <w:r>
              <w:rPr>
                <w:rFonts w:hint="eastAsia"/>
              </w:rPr>
              <w:t>是</w:t>
            </w:r>
          </w:p>
        </w:tc>
      </w:tr>
      <w:tr w14:paraId="7A78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FAA0CE">
            <w:r>
              <w:rPr>
                <w:rFonts w:hint="eastAsia"/>
              </w:rPr>
              <w:t>审计意见类型</w:t>
            </w:r>
          </w:p>
        </w:tc>
        <w:tc>
          <w:tcPr>
            <w:tcW w:w="4153" w:type="dxa"/>
            <w:vAlign w:val="center"/>
          </w:tcPr>
          <w:p w14:paraId="7942DD16">
            <w:r>
              <w:rPr>
                <w:rFonts w:hint="eastAsia"/>
              </w:rPr>
              <w:t>标准无保留意见</w:t>
            </w:r>
          </w:p>
        </w:tc>
      </w:tr>
      <w:tr w14:paraId="005B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AD731F">
            <w:r>
              <w:rPr>
                <w:rFonts w:hint="eastAsia"/>
              </w:rPr>
              <w:t>审计报告编号</w:t>
            </w:r>
          </w:p>
        </w:tc>
        <w:tc>
          <w:tcPr>
            <w:tcW w:w="4153" w:type="dxa"/>
            <w:vAlign w:val="center"/>
          </w:tcPr>
          <w:p w14:paraId="723D5F14">
            <w:r>
              <w:rPr>
                <w:rFonts w:hint="eastAsia"/>
              </w:rPr>
              <w:t>德师报(审)字(26)第P00541号</w:t>
            </w:r>
          </w:p>
        </w:tc>
      </w:tr>
    </w:tbl>
    <w:p w14:paraId="159D9479">
      <w:pPr>
        <w:pStyle w:val="23"/>
      </w:pPr>
      <w:bookmarkStart w:id="43" w:name="_Toc454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3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D8CD2E8">
            <w:pPr>
              <w:jc w:val="center"/>
            </w:pPr>
            <w:r>
              <w:rPr>
                <w:rFonts w:hint="eastAsia"/>
                <w:b/>
              </w:rPr>
              <w:t>审计报告标题</w:t>
            </w:r>
          </w:p>
        </w:tc>
        <w:tc>
          <w:tcPr>
            <w:tcW w:w="2491" w:type="dxa"/>
            <w:gridSpan w:val="2"/>
            <w:shd w:val="clear" w:color="auto" w:fill="BFBFBF"/>
            <w:vAlign w:val="center"/>
          </w:tcPr>
          <w:p w14:paraId="0FEAED5C">
            <w:pPr>
              <w:jc w:val="center"/>
            </w:pPr>
            <w:r>
              <w:rPr>
                <w:rFonts w:hint="eastAsia"/>
                <w:b/>
              </w:rPr>
              <w:t>审计报告</w:t>
            </w:r>
          </w:p>
        </w:tc>
      </w:tr>
      <w:tr w14:paraId="4B43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8096F3">
            <w:r>
              <w:rPr>
                <w:rFonts w:hint="eastAsia"/>
              </w:rPr>
              <w:t>审计报告收件人</w:t>
            </w:r>
          </w:p>
        </w:tc>
        <w:tc>
          <w:tcPr>
            <w:tcW w:w="2491" w:type="dxa"/>
            <w:gridSpan w:val="2"/>
            <w:vAlign w:val="center"/>
          </w:tcPr>
          <w:p w14:paraId="5F363986">
            <w:r>
              <w:rPr>
                <w:rFonts w:hint="eastAsia"/>
              </w:rPr>
              <w:t>南方稳见3个月持有期混合型基金中基金(FOF)全体持有人</w:t>
            </w:r>
          </w:p>
        </w:tc>
      </w:tr>
      <w:tr w14:paraId="2434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EE0AB1">
            <w:r>
              <w:rPr>
                <w:rFonts w:hint="eastAsia"/>
              </w:rPr>
              <w:t>审计意见</w:t>
            </w:r>
          </w:p>
        </w:tc>
        <w:tc>
          <w:tcPr>
            <w:tcW w:w="2491" w:type="dxa"/>
            <w:gridSpan w:val="2"/>
            <w:vAlign w:val="center"/>
          </w:tcPr>
          <w:p w14:paraId="6A4FB007">
            <w:pPr>
              <w:jc w:val="both"/>
              <w:rPr>
                <w:rFonts w:hint="eastAsia"/>
              </w:rPr>
            </w:pPr>
            <w:r>
              <w:rPr>
                <w:rFonts w:hint="eastAsia"/>
              </w:rPr>
              <w:t>我们审计了南方稳见3个月持有期混合型基金中基金(FOF)的财务报表，包括2025年12月31日的资产负债表，2025年4月28日(基金合同生效日)至2025年12月31日止期间的利润表、净资产变动表以及相关财务报表附注。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稳见3个月持有期混合型基金中基金(FOF)2025年12月31日的财务状况以及2025年4月28日(基金合同生效日)至2025年12月31日止期间的经营成果和净资产变动情况。</w:t>
            </w:r>
          </w:p>
        </w:tc>
      </w:tr>
      <w:tr w14:paraId="121F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E32500">
            <w:r>
              <w:rPr>
                <w:rFonts w:hint="eastAsia"/>
              </w:rPr>
              <w:t>形成审计意见的基础</w:t>
            </w:r>
          </w:p>
        </w:tc>
        <w:tc>
          <w:tcPr>
            <w:tcW w:w="2491" w:type="dxa"/>
            <w:gridSpan w:val="2"/>
            <w:vAlign w:val="center"/>
          </w:tcPr>
          <w:p w14:paraId="2F5459F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稳见3个月持有期混合型基金中基金(FOF)，并履行了职业道德方面的其他责任。我们在审计中遵循了对公众利益实体审计的独立性要求。我们相信，我们获取的审计证据是充分、适当的，为发表审计意见提供了基础。</w:t>
            </w:r>
          </w:p>
        </w:tc>
      </w:tr>
      <w:tr w14:paraId="1764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6AE762">
            <w:r>
              <w:rPr>
                <w:rFonts w:hint="eastAsia"/>
              </w:rPr>
              <w:t>强调事项</w:t>
            </w:r>
          </w:p>
        </w:tc>
        <w:tc>
          <w:tcPr>
            <w:tcW w:w="2491" w:type="dxa"/>
            <w:gridSpan w:val="2"/>
            <w:vAlign w:val="center"/>
          </w:tcPr>
          <w:p w14:paraId="710FCF93">
            <w:pPr>
              <w:jc w:val="right"/>
            </w:pPr>
            <w:r>
              <w:rPr>
                <w:rFonts w:hint="eastAsia"/>
              </w:rPr>
              <w:t>-</w:t>
            </w:r>
          </w:p>
        </w:tc>
      </w:tr>
      <w:tr w14:paraId="1781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FF4A86">
            <w:r>
              <w:rPr>
                <w:rFonts w:hint="eastAsia"/>
              </w:rPr>
              <w:t>其他事项</w:t>
            </w:r>
          </w:p>
        </w:tc>
        <w:tc>
          <w:tcPr>
            <w:tcW w:w="2491" w:type="dxa"/>
            <w:gridSpan w:val="2"/>
            <w:vAlign w:val="center"/>
          </w:tcPr>
          <w:p w14:paraId="454251C2">
            <w:pPr>
              <w:jc w:val="right"/>
            </w:pPr>
            <w:r>
              <w:rPr>
                <w:rFonts w:hint="eastAsia"/>
              </w:rPr>
              <w:t>-</w:t>
            </w:r>
          </w:p>
        </w:tc>
      </w:tr>
      <w:tr w14:paraId="31AF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055FD0">
            <w:r>
              <w:rPr>
                <w:rFonts w:hint="eastAsia"/>
              </w:rPr>
              <w:t>其他信息</w:t>
            </w:r>
          </w:p>
        </w:tc>
        <w:tc>
          <w:tcPr>
            <w:tcW w:w="2491" w:type="dxa"/>
            <w:gridSpan w:val="2"/>
            <w:vAlign w:val="center"/>
          </w:tcPr>
          <w:p w14:paraId="46FCE3AA">
            <w:pPr>
              <w:jc w:val="both"/>
              <w:rPr>
                <w:rFonts w:hint="eastAsia"/>
              </w:rPr>
            </w:pPr>
            <w:r>
              <w:rPr>
                <w:rFonts w:hint="eastAsia"/>
              </w:rPr>
              <w:t>南方基金管理股份有限公司(以下简称“基金管理人”)管理层对其他信息负责。其他信息包括南方稳见3个月持有期混合型基金中基金(FOF)年度报告中涵盖的信息，但不包括财务报表和我们的审计报告。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921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796514">
            <w:r>
              <w:rPr>
                <w:rFonts w:hint="eastAsia"/>
              </w:rPr>
              <w:t>管理层和治理层对财务报表的责任</w:t>
            </w:r>
          </w:p>
        </w:tc>
        <w:tc>
          <w:tcPr>
            <w:tcW w:w="2491" w:type="dxa"/>
            <w:gridSpan w:val="2"/>
            <w:vAlign w:val="center"/>
          </w:tcPr>
          <w:p w14:paraId="5563DF3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稳见3个月持有期混合型基金中基金(FOF)的持续经营能力，披露与持续经营相关的事项(如适用)，并运用持续经营假设，除非基金管理人管理层计划清算南方稳见3个月持有期混合型基金中基金(FOF)、终止运营或别无其他现实的选择。
</w:t>
            </w:r>
            <w:r>
              <w:rPr>
                <w:rFonts w:hint="eastAsia"/>
              </w:rPr>
              <w:br w:type="textWrapping"/>
            </w:r>
            <w:r>
              <w:rPr>
                <w:rFonts w:hint="eastAsia"/>
              </w:rPr>
              <w:t>基金管理人治理层负责监督南方稳见3个月持有期混合型基金中基金(FOF)的财务报告过程。</w:t>
            </w:r>
          </w:p>
        </w:tc>
      </w:tr>
      <w:tr w14:paraId="602E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F41490">
            <w:r>
              <w:rPr>
                <w:rFonts w:hint="eastAsia"/>
              </w:rPr>
              <w:t>注册会计师对财务报表审计的责任</w:t>
            </w:r>
          </w:p>
        </w:tc>
        <w:tc>
          <w:tcPr>
            <w:tcW w:w="2491" w:type="dxa"/>
            <w:gridSpan w:val="2"/>
            <w:vAlign w:val="center"/>
          </w:tcPr>
          <w:p w14:paraId="514FB88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稳见3个月持有期混合型基金中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见3个月持有期混合型基金中基金(FOF)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59C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42FDCF">
            <w:r>
              <w:rPr>
                <w:rFonts w:hint="eastAsia"/>
              </w:rPr>
              <w:t>会计师事务所的名称</w:t>
            </w:r>
          </w:p>
        </w:tc>
        <w:tc>
          <w:tcPr>
            <w:tcW w:w="2491" w:type="dxa"/>
            <w:gridSpan w:val="2"/>
            <w:vAlign w:val="center"/>
          </w:tcPr>
          <w:p w14:paraId="79F33D22">
            <w:r>
              <w:rPr>
                <w:rFonts w:hint="eastAsia"/>
              </w:rPr>
              <w:t>德勤华永会计师事务所（特殊普通合伙）</w:t>
            </w:r>
          </w:p>
        </w:tc>
      </w:tr>
      <w:tr w14:paraId="5B97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64CB3">
            <w:r>
              <w:rPr>
                <w:rFonts w:hint="eastAsia"/>
              </w:rPr>
              <w:t>注册会计师的姓名</w:t>
            </w:r>
          </w:p>
        </w:tc>
        <w:tc>
          <w:tcPr>
            <w:tcW w:w="2491" w:type="dxa"/>
            <w:vAlign w:val="center"/>
          </w:tcPr>
          <w:p w14:paraId="0B80A597">
            <w:r>
              <w:rPr>
                <w:rFonts w:hint="eastAsia"/>
              </w:rPr>
              <w:t>汪芳</w:t>
            </w:r>
          </w:p>
        </w:tc>
        <w:tc>
          <w:tcPr>
            <w:tcW w:w="2768" w:type="dxa"/>
            <w:vAlign w:val="center"/>
          </w:tcPr>
          <w:p w14:paraId="11583BB4">
            <w:r>
              <w:rPr>
                <w:rFonts w:hint="eastAsia"/>
              </w:rPr>
              <w:t>陈思雨</w:t>
            </w:r>
          </w:p>
        </w:tc>
      </w:tr>
      <w:tr w14:paraId="2AC5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C43BC">
            <w:r>
              <w:rPr>
                <w:rFonts w:hint="eastAsia"/>
              </w:rPr>
              <w:t>会计师事务所的地址</w:t>
            </w:r>
          </w:p>
        </w:tc>
        <w:tc>
          <w:tcPr>
            <w:tcW w:w="2491" w:type="dxa"/>
            <w:gridSpan w:val="2"/>
            <w:vAlign w:val="center"/>
          </w:tcPr>
          <w:p w14:paraId="1C3E886E">
            <w:r>
              <w:rPr>
                <w:rFonts w:hint="eastAsia"/>
              </w:rPr>
              <w:t>上海市黄浦区延安东路222号外滩中心30楼</w:t>
            </w:r>
          </w:p>
        </w:tc>
      </w:tr>
      <w:tr w14:paraId="3B40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E75043">
            <w:r>
              <w:rPr>
                <w:rFonts w:hint="eastAsia"/>
              </w:rPr>
              <w:t>审计报告日期</w:t>
            </w:r>
          </w:p>
        </w:tc>
        <w:tc>
          <w:tcPr>
            <w:tcW w:w="2491" w:type="dxa"/>
            <w:gridSpan w:val="2"/>
            <w:vAlign w:val="center"/>
          </w:tcPr>
          <w:p w14:paraId="182FE1AD">
            <w:r>
              <w:rPr>
                <w:rFonts w:hint="eastAsia"/>
              </w:rPr>
              <w:t>2026年3月27日</w:t>
            </w:r>
          </w:p>
        </w:tc>
      </w:tr>
    </w:tbl>
    <w:p w14:paraId="2C555BC4">
      <w:pPr>
        <w:pStyle w:val="26"/>
      </w:pPr>
      <w:bookmarkStart w:id="44" w:name="_Toc18613"/>
      <w:r>
        <w:t>年度财务报表</w:t>
      </w:r>
      <w:bookmarkEnd w:id="44"/>
    </w:p>
    <w:p w14:paraId="05C05BE1">
      <w:pPr>
        <w:pStyle w:val="23"/>
      </w:pPr>
      <w:bookmarkStart w:id="45" w:name="_Toc5777"/>
      <w:r>
        <w:t>资产负债表</w:t>
      </w:r>
      <w:bookmarkEnd w:id="45"/>
    </w:p>
    <w:p w14:paraId="298C133C">
      <w:pPr>
        <w:pStyle w:val="18"/>
        <w:rPr>
          <w:rFonts w:hint="eastAsia"/>
        </w:rPr>
      </w:pPr>
      <w:r>
        <w:rPr>
          <w:rFonts w:hint="eastAsia"/>
        </w:rPr>
        <w:t>会计主体：南方稳见3个月持有期混合型基金中基金（FOF）</w:t>
      </w:r>
    </w:p>
    <w:p w14:paraId="67C02F20">
      <w:pPr>
        <w:pStyle w:val="18"/>
        <w:rPr>
          <w:rFonts w:hint="eastAsia"/>
        </w:rPr>
      </w:pPr>
      <w:r>
        <w:rPr>
          <w:rFonts w:hint="eastAsia"/>
        </w:rPr>
        <w:t>报告截止日：2025年12月31日</w:t>
      </w:r>
    </w:p>
    <w:p w14:paraId="09A55E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CF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AF958">
            <w:r>
              <w:rPr>
                <w:rFonts w:hint="eastAsia"/>
              </w:rPr>
              <w:t>资产</w:t>
            </w:r>
          </w:p>
        </w:tc>
        <w:tc>
          <w:tcPr>
            <w:tcW w:w="2768" w:type="dxa"/>
            <w:vAlign w:val="center"/>
          </w:tcPr>
          <w:p w14:paraId="7838E22F">
            <w:r>
              <w:rPr>
                <w:rFonts w:hint="eastAsia"/>
              </w:rPr>
              <w:t>附注号</w:t>
            </w:r>
          </w:p>
        </w:tc>
        <w:tc>
          <w:tcPr>
            <w:tcW w:w="2768" w:type="dxa"/>
            <w:vAlign w:val="center"/>
          </w:tcPr>
          <w:p w14:paraId="52722F5E">
            <w:r>
              <w:rPr>
                <w:rFonts w:hint="eastAsia"/>
              </w:rPr>
              <w:t>本期末2025年12月31日</w:t>
            </w:r>
          </w:p>
        </w:tc>
      </w:tr>
      <w:tr w14:paraId="6D36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04F2A">
            <w:r>
              <w:rPr>
                <w:rFonts w:hint="eastAsia"/>
              </w:rPr>
              <w:t>资产：</w:t>
            </w:r>
          </w:p>
        </w:tc>
        <w:tc>
          <w:tcPr>
            <w:tcW w:w="2768" w:type="dxa"/>
            <w:vAlign w:val="center"/>
          </w:tcPr>
          <w:p w14:paraId="6ACF8B4A"/>
        </w:tc>
        <w:tc>
          <w:tcPr>
            <w:tcW w:w="2768" w:type="dxa"/>
            <w:vAlign w:val="center"/>
          </w:tcPr>
          <w:p w14:paraId="088EBCE1"/>
        </w:tc>
      </w:tr>
      <w:tr w14:paraId="6BF7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A2D86">
            <w:r>
              <w:rPr>
                <w:rFonts w:hint="eastAsia"/>
              </w:rPr>
              <w:t>货币资金</w:t>
            </w:r>
          </w:p>
        </w:tc>
        <w:tc>
          <w:tcPr>
            <w:tcW w:w="2768" w:type="dxa"/>
            <w:vAlign w:val="center"/>
          </w:tcPr>
          <w:p w14:paraId="54ABDC80">
            <w:r>
              <w:rPr>
                <w:rFonts w:hint="eastAsia"/>
              </w:rPr>
              <w:t>7.4.7.1</w:t>
            </w:r>
          </w:p>
        </w:tc>
        <w:tc>
          <w:tcPr>
            <w:tcW w:w="2768" w:type="dxa"/>
            <w:vAlign w:val="center"/>
          </w:tcPr>
          <w:p w14:paraId="036DF417">
            <w:pPr>
              <w:jc w:val="right"/>
            </w:pPr>
            <w:r>
              <w:rPr>
                <w:rFonts w:hint="eastAsia"/>
              </w:rPr>
              <w:t>1,960,349.49</w:t>
            </w:r>
          </w:p>
        </w:tc>
      </w:tr>
      <w:tr w14:paraId="6835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A83A6">
            <w:r>
              <w:rPr>
                <w:rFonts w:hint="eastAsia"/>
              </w:rPr>
              <w:t>结算备付金</w:t>
            </w:r>
          </w:p>
        </w:tc>
        <w:tc>
          <w:tcPr>
            <w:tcW w:w="2768" w:type="dxa"/>
            <w:vAlign w:val="center"/>
          </w:tcPr>
          <w:p w14:paraId="4DEB64EA"/>
        </w:tc>
        <w:tc>
          <w:tcPr>
            <w:tcW w:w="2768" w:type="dxa"/>
            <w:vAlign w:val="center"/>
          </w:tcPr>
          <w:p w14:paraId="5DDC01E1">
            <w:pPr>
              <w:jc w:val="right"/>
            </w:pPr>
            <w:r>
              <w:rPr>
                <w:rFonts w:hint="eastAsia"/>
              </w:rPr>
              <w:t>3,999,475.69</w:t>
            </w:r>
          </w:p>
        </w:tc>
      </w:tr>
      <w:tr w14:paraId="03AC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7D20B">
            <w:r>
              <w:rPr>
                <w:rFonts w:hint="eastAsia"/>
              </w:rPr>
              <w:t>存出保证金</w:t>
            </w:r>
          </w:p>
        </w:tc>
        <w:tc>
          <w:tcPr>
            <w:tcW w:w="2768" w:type="dxa"/>
            <w:vAlign w:val="center"/>
          </w:tcPr>
          <w:p w14:paraId="325AECEA"/>
        </w:tc>
        <w:tc>
          <w:tcPr>
            <w:tcW w:w="2768" w:type="dxa"/>
            <w:vAlign w:val="center"/>
          </w:tcPr>
          <w:p w14:paraId="50B97DDF">
            <w:pPr>
              <w:jc w:val="right"/>
            </w:pPr>
            <w:r>
              <w:rPr>
                <w:rFonts w:hint="eastAsia"/>
              </w:rPr>
              <w:t>345,339.01</w:t>
            </w:r>
          </w:p>
        </w:tc>
      </w:tr>
      <w:tr w14:paraId="630C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B6140">
            <w:r>
              <w:rPr>
                <w:rFonts w:hint="eastAsia"/>
              </w:rPr>
              <w:t>交易性金融资产</w:t>
            </w:r>
          </w:p>
        </w:tc>
        <w:tc>
          <w:tcPr>
            <w:tcW w:w="2768" w:type="dxa"/>
            <w:vAlign w:val="center"/>
          </w:tcPr>
          <w:p w14:paraId="61676B96">
            <w:r>
              <w:rPr>
                <w:rFonts w:hint="eastAsia"/>
              </w:rPr>
              <w:t>7.4.7.2</w:t>
            </w:r>
          </w:p>
        </w:tc>
        <w:tc>
          <w:tcPr>
            <w:tcW w:w="2768" w:type="dxa"/>
            <w:vAlign w:val="center"/>
          </w:tcPr>
          <w:p w14:paraId="7352909F">
            <w:pPr>
              <w:jc w:val="right"/>
            </w:pPr>
            <w:r>
              <w:rPr>
                <w:rFonts w:hint="eastAsia"/>
              </w:rPr>
              <w:t>1,510,183,889.73</w:t>
            </w:r>
          </w:p>
        </w:tc>
      </w:tr>
      <w:tr w14:paraId="35B9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EE8CC">
            <w:r>
              <w:rPr>
                <w:rFonts w:hint="eastAsia"/>
              </w:rPr>
              <w:t>其中：股票投资</w:t>
            </w:r>
          </w:p>
        </w:tc>
        <w:tc>
          <w:tcPr>
            <w:tcW w:w="2768" w:type="dxa"/>
            <w:vAlign w:val="center"/>
          </w:tcPr>
          <w:p w14:paraId="0FC8DFCA"/>
        </w:tc>
        <w:tc>
          <w:tcPr>
            <w:tcW w:w="2768" w:type="dxa"/>
            <w:vAlign w:val="center"/>
          </w:tcPr>
          <w:p w14:paraId="5001CC70">
            <w:pPr>
              <w:jc w:val="right"/>
            </w:pPr>
            <w:r>
              <w:rPr>
                <w:rFonts w:hint="eastAsia"/>
              </w:rPr>
              <w:t>-</w:t>
            </w:r>
          </w:p>
        </w:tc>
      </w:tr>
      <w:tr w14:paraId="47C3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D6AFB">
            <w:r>
              <w:rPr>
                <w:rFonts w:hint="eastAsia"/>
              </w:rPr>
              <w:t xml:space="preserve">      基金投资</w:t>
            </w:r>
          </w:p>
        </w:tc>
        <w:tc>
          <w:tcPr>
            <w:tcW w:w="2768" w:type="dxa"/>
            <w:vAlign w:val="center"/>
          </w:tcPr>
          <w:p w14:paraId="5C7BF585"/>
        </w:tc>
        <w:tc>
          <w:tcPr>
            <w:tcW w:w="2768" w:type="dxa"/>
            <w:vAlign w:val="center"/>
          </w:tcPr>
          <w:p w14:paraId="0916454F">
            <w:pPr>
              <w:jc w:val="right"/>
            </w:pPr>
            <w:r>
              <w:rPr>
                <w:rFonts w:hint="eastAsia"/>
              </w:rPr>
              <w:t>1,426,662,481.07</w:t>
            </w:r>
          </w:p>
        </w:tc>
      </w:tr>
      <w:tr w14:paraId="0F61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559B0">
            <w:r>
              <w:rPr>
                <w:rFonts w:hint="eastAsia"/>
              </w:rPr>
              <w:t xml:space="preserve">      债券投资</w:t>
            </w:r>
          </w:p>
        </w:tc>
        <w:tc>
          <w:tcPr>
            <w:tcW w:w="2768" w:type="dxa"/>
            <w:vAlign w:val="center"/>
          </w:tcPr>
          <w:p w14:paraId="1E91BEE4"/>
        </w:tc>
        <w:tc>
          <w:tcPr>
            <w:tcW w:w="2768" w:type="dxa"/>
            <w:vAlign w:val="center"/>
          </w:tcPr>
          <w:p w14:paraId="4C6FD3A6">
            <w:pPr>
              <w:jc w:val="right"/>
            </w:pPr>
            <w:r>
              <w:rPr>
                <w:rFonts w:hint="eastAsia"/>
              </w:rPr>
              <w:t>83,521,408.66</w:t>
            </w:r>
          </w:p>
        </w:tc>
      </w:tr>
      <w:tr w14:paraId="684C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BFF0B">
            <w:r>
              <w:rPr>
                <w:rFonts w:hint="eastAsia"/>
              </w:rPr>
              <w:t xml:space="preserve">      资产支持证券投资</w:t>
            </w:r>
          </w:p>
        </w:tc>
        <w:tc>
          <w:tcPr>
            <w:tcW w:w="2768" w:type="dxa"/>
            <w:vAlign w:val="center"/>
          </w:tcPr>
          <w:p w14:paraId="446BF35C"/>
        </w:tc>
        <w:tc>
          <w:tcPr>
            <w:tcW w:w="2768" w:type="dxa"/>
            <w:vAlign w:val="center"/>
          </w:tcPr>
          <w:p w14:paraId="044D98A0">
            <w:pPr>
              <w:jc w:val="right"/>
            </w:pPr>
            <w:r>
              <w:rPr>
                <w:rFonts w:hint="eastAsia"/>
              </w:rPr>
              <w:t>-</w:t>
            </w:r>
          </w:p>
        </w:tc>
      </w:tr>
      <w:tr w14:paraId="670D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484BC">
            <w:r>
              <w:rPr>
                <w:rFonts w:hint="eastAsia"/>
              </w:rPr>
              <w:t xml:space="preserve">      贵金属投资</w:t>
            </w:r>
          </w:p>
        </w:tc>
        <w:tc>
          <w:tcPr>
            <w:tcW w:w="2768" w:type="dxa"/>
            <w:vAlign w:val="center"/>
          </w:tcPr>
          <w:p w14:paraId="5FEC5DCA"/>
        </w:tc>
        <w:tc>
          <w:tcPr>
            <w:tcW w:w="2768" w:type="dxa"/>
            <w:vAlign w:val="center"/>
          </w:tcPr>
          <w:p w14:paraId="691848CC">
            <w:pPr>
              <w:jc w:val="right"/>
            </w:pPr>
            <w:r>
              <w:rPr>
                <w:rFonts w:hint="eastAsia"/>
              </w:rPr>
              <w:t>-</w:t>
            </w:r>
          </w:p>
        </w:tc>
      </w:tr>
      <w:tr w14:paraId="0417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87262">
            <w:r>
              <w:rPr>
                <w:rFonts w:hint="eastAsia"/>
              </w:rPr>
              <w:t xml:space="preserve">      其他投资</w:t>
            </w:r>
          </w:p>
        </w:tc>
        <w:tc>
          <w:tcPr>
            <w:tcW w:w="2768" w:type="dxa"/>
            <w:vAlign w:val="center"/>
          </w:tcPr>
          <w:p w14:paraId="12531DE3"/>
        </w:tc>
        <w:tc>
          <w:tcPr>
            <w:tcW w:w="2768" w:type="dxa"/>
            <w:vAlign w:val="center"/>
          </w:tcPr>
          <w:p w14:paraId="23FED5C3">
            <w:pPr>
              <w:jc w:val="right"/>
            </w:pPr>
            <w:r>
              <w:rPr>
                <w:rFonts w:hint="eastAsia"/>
              </w:rPr>
              <w:t>-</w:t>
            </w:r>
          </w:p>
        </w:tc>
      </w:tr>
      <w:tr w14:paraId="3D1B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6847D">
            <w:r>
              <w:rPr>
                <w:rFonts w:hint="eastAsia"/>
              </w:rPr>
              <w:t>衍生金融资产</w:t>
            </w:r>
          </w:p>
        </w:tc>
        <w:tc>
          <w:tcPr>
            <w:tcW w:w="2768" w:type="dxa"/>
            <w:vAlign w:val="center"/>
          </w:tcPr>
          <w:p w14:paraId="421360B2">
            <w:r>
              <w:rPr>
                <w:rFonts w:hint="eastAsia"/>
              </w:rPr>
              <w:t>7.4.7.3</w:t>
            </w:r>
          </w:p>
        </w:tc>
        <w:tc>
          <w:tcPr>
            <w:tcW w:w="2768" w:type="dxa"/>
            <w:vAlign w:val="center"/>
          </w:tcPr>
          <w:p w14:paraId="1A9CFA88">
            <w:pPr>
              <w:jc w:val="right"/>
            </w:pPr>
            <w:r>
              <w:rPr>
                <w:rFonts w:hint="eastAsia"/>
              </w:rPr>
              <w:t>-</w:t>
            </w:r>
          </w:p>
        </w:tc>
      </w:tr>
      <w:tr w14:paraId="1D7C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CE5AC">
            <w:r>
              <w:rPr>
                <w:rFonts w:hint="eastAsia"/>
              </w:rPr>
              <w:t>买入返售金融资产</w:t>
            </w:r>
          </w:p>
        </w:tc>
        <w:tc>
          <w:tcPr>
            <w:tcW w:w="2768" w:type="dxa"/>
            <w:vAlign w:val="center"/>
          </w:tcPr>
          <w:p w14:paraId="1CEAECA1">
            <w:r>
              <w:rPr>
                <w:rFonts w:hint="eastAsia"/>
              </w:rPr>
              <w:t>7.4.7.4</w:t>
            </w:r>
          </w:p>
        </w:tc>
        <w:tc>
          <w:tcPr>
            <w:tcW w:w="2768" w:type="dxa"/>
            <w:vAlign w:val="center"/>
          </w:tcPr>
          <w:p w14:paraId="765F3C30">
            <w:pPr>
              <w:jc w:val="right"/>
            </w:pPr>
            <w:r>
              <w:rPr>
                <w:rFonts w:hint="eastAsia"/>
              </w:rPr>
              <w:t>-31,381.98</w:t>
            </w:r>
          </w:p>
        </w:tc>
      </w:tr>
      <w:tr w14:paraId="2725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64CA6">
            <w:r>
              <w:rPr>
                <w:rFonts w:hint="eastAsia"/>
              </w:rPr>
              <w:t>债权投资</w:t>
            </w:r>
          </w:p>
        </w:tc>
        <w:tc>
          <w:tcPr>
            <w:tcW w:w="2768" w:type="dxa"/>
            <w:vAlign w:val="center"/>
          </w:tcPr>
          <w:p w14:paraId="4221ADFA"/>
        </w:tc>
        <w:tc>
          <w:tcPr>
            <w:tcW w:w="2768" w:type="dxa"/>
            <w:vAlign w:val="center"/>
          </w:tcPr>
          <w:p w14:paraId="2FFD8BD7">
            <w:pPr>
              <w:jc w:val="right"/>
            </w:pPr>
            <w:r>
              <w:rPr>
                <w:rFonts w:hint="eastAsia"/>
              </w:rPr>
              <w:t>-</w:t>
            </w:r>
          </w:p>
        </w:tc>
      </w:tr>
      <w:tr w14:paraId="01BF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ADD47">
            <w:r>
              <w:rPr>
                <w:rFonts w:hint="eastAsia"/>
              </w:rPr>
              <w:t>其中：债券投资</w:t>
            </w:r>
          </w:p>
        </w:tc>
        <w:tc>
          <w:tcPr>
            <w:tcW w:w="2768" w:type="dxa"/>
            <w:vAlign w:val="center"/>
          </w:tcPr>
          <w:p w14:paraId="6825E5C9"/>
        </w:tc>
        <w:tc>
          <w:tcPr>
            <w:tcW w:w="2768" w:type="dxa"/>
            <w:vAlign w:val="center"/>
          </w:tcPr>
          <w:p w14:paraId="1D8B3682">
            <w:pPr>
              <w:jc w:val="right"/>
            </w:pPr>
            <w:r>
              <w:rPr>
                <w:rFonts w:hint="eastAsia"/>
              </w:rPr>
              <w:t>-</w:t>
            </w:r>
          </w:p>
        </w:tc>
      </w:tr>
      <w:tr w14:paraId="3E40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DEFCA">
            <w:r>
              <w:rPr>
                <w:rFonts w:hint="eastAsia"/>
              </w:rPr>
              <w:t xml:space="preserve">      资产支持证券投资</w:t>
            </w:r>
          </w:p>
        </w:tc>
        <w:tc>
          <w:tcPr>
            <w:tcW w:w="2768" w:type="dxa"/>
            <w:vAlign w:val="center"/>
          </w:tcPr>
          <w:p w14:paraId="686436E5"/>
        </w:tc>
        <w:tc>
          <w:tcPr>
            <w:tcW w:w="2768" w:type="dxa"/>
            <w:vAlign w:val="center"/>
          </w:tcPr>
          <w:p w14:paraId="3CCBFC04">
            <w:pPr>
              <w:jc w:val="right"/>
            </w:pPr>
            <w:r>
              <w:rPr>
                <w:rFonts w:hint="eastAsia"/>
              </w:rPr>
              <w:t>-</w:t>
            </w:r>
          </w:p>
        </w:tc>
      </w:tr>
      <w:tr w14:paraId="6309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20831">
            <w:r>
              <w:rPr>
                <w:rFonts w:hint="eastAsia"/>
              </w:rPr>
              <w:t xml:space="preserve">      其他投资</w:t>
            </w:r>
          </w:p>
        </w:tc>
        <w:tc>
          <w:tcPr>
            <w:tcW w:w="2768" w:type="dxa"/>
            <w:vAlign w:val="center"/>
          </w:tcPr>
          <w:p w14:paraId="29B3BE3A"/>
        </w:tc>
        <w:tc>
          <w:tcPr>
            <w:tcW w:w="2768" w:type="dxa"/>
            <w:vAlign w:val="center"/>
          </w:tcPr>
          <w:p w14:paraId="06E12E2A">
            <w:pPr>
              <w:jc w:val="right"/>
            </w:pPr>
            <w:r>
              <w:rPr>
                <w:rFonts w:hint="eastAsia"/>
              </w:rPr>
              <w:t>-</w:t>
            </w:r>
          </w:p>
        </w:tc>
      </w:tr>
      <w:tr w14:paraId="6BC3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50964">
            <w:r>
              <w:rPr>
                <w:rFonts w:hint="eastAsia"/>
              </w:rPr>
              <w:t>其他债权投资</w:t>
            </w:r>
          </w:p>
        </w:tc>
        <w:tc>
          <w:tcPr>
            <w:tcW w:w="2768" w:type="dxa"/>
            <w:vAlign w:val="center"/>
          </w:tcPr>
          <w:p w14:paraId="0177679F"/>
        </w:tc>
        <w:tc>
          <w:tcPr>
            <w:tcW w:w="2768" w:type="dxa"/>
            <w:vAlign w:val="center"/>
          </w:tcPr>
          <w:p w14:paraId="0EEC8054">
            <w:pPr>
              <w:jc w:val="right"/>
            </w:pPr>
            <w:r>
              <w:rPr>
                <w:rFonts w:hint="eastAsia"/>
              </w:rPr>
              <w:t>-</w:t>
            </w:r>
          </w:p>
        </w:tc>
      </w:tr>
      <w:tr w14:paraId="7839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D9D6C">
            <w:r>
              <w:rPr>
                <w:rFonts w:hint="eastAsia"/>
              </w:rPr>
              <w:t>其他权益工具投资</w:t>
            </w:r>
          </w:p>
        </w:tc>
        <w:tc>
          <w:tcPr>
            <w:tcW w:w="2768" w:type="dxa"/>
            <w:vAlign w:val="center"/>
          </w:tcPr>
          <w:p w14:paraId="62D568C0"/>
        </w:tc>
        <w:tc>
          <w:tcPr>
            <w:tcW w:w="2768" w:type="dxa"/>
            <w:vAlign w:val="center"/>
          </w:tcPr>
          <w:p w14:paraId="61F34C04">
            <w:pPr>
              <w:jc w:val="right"/>
            </w:pPr>
            <w:r>
              <w:rPr>
                <w:rFonts w:hint="eastAsia"/>
              </w:rPr>
              <w:t>-</w:t>
            </w:r>
          </w:p>
        </w:tc>
      </w:tr>
      <w:tr w14:paraId="4BC2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B9AC7">
            <w:r>
              <w:rPr>
                <w:rFonts w:hint="eastAsia"/>
              </w:rPr>
              <w:t>应收清算款</w:t>
            </w:r>
          </w:p>
        </w:tc>
        <w:tc>
          <w:tcPr>
            <w:tcW w:w="2768" w:type="dxa"/>
            <w:vAlign w:val="center"/>
          </w:tcPr>
          <w:p w14:paraId="24B43D04"/>
        </w:tc>
        <w:tc>
          <w:tcPr>
            <w:tcW w:w="2768" w:type="dxa"/>
            <w:vAlign w:val="center"/>
          </w:tcPr>
          <w:p w14:paraId="6DA4255C">
            <w:pPr>
              <w:jc w:val="right"/>
            </w:pPr>
            <w:r>
              <w:rPr>
                <w:rFonts w:hint="eastAsia"/>
              </w:rPr>
              <w:t>131,039,227.48</w:t>
            </w:r>
          </w:p>
        </w:tc>
      </w:tr>
      <w:tr w14:paraId="7B30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203D5">
            <w:r>
              <w:rPr>
                <w:rFonts w:hint="eastAsia"/>
              </w:rPr>
              <w:t>应收股利</w:t>
            </w:r>
          </w:p>
        </w:tc>
        <w:tc>
          <w:tcPr>
            <w:tcW w:w="2768" w:type="dxa"/>
            <w:vAlign w:val="center"/>
          </w:tcPr>
          <w:p w14:paraId="785B4EAA"/>
        </w:tc>
        <w:tc>
          <w:tcPr>
            <w:tcW w:w="2768" w:type="dxa"/>
            <w:vAlign w:val="center"/>
          </w:tcPr>
          <w:p w14:paraId="188A645F">
            <w:pPr>
              <w:jc w:val="right"/>
            </w:pPr>
            <w:r>
              <w:rPr>
                <w:rFonts w:hint="eastAsia"/>
              </w:rPr>
              <w:t>166.34</w:t>
            </w:r>
          </w:p>
        </w:tc>
      </w:tr>
      <w:tr w14:paraId="3716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AA882">
            <w:r>
              <w:rPr>
                <w:rFonts w:hint="eastAsia"/>
              </w:rPr>
              <w:t>应收申购款</w:t>
            </w:r>
          </w:p>
        </w:tc>
        <w:tc>
          <w:tcPr>
            <w:tcW w:w="2768" w:type="dxa"/>
            <w:vAlign w:val="center"/>
          </w:tcPr>
          <w:p w14:paraId="58CFA589"/>
        </w:tc>
        <w:tc>
          <w:tcPr>
            <w:tcW w:w="2768" w:type="dxa"/>
            <w:vAlign w:val="center"/>
          </w:tcPr>
          <w:p w14:paraId="75E3C262">
            <w:pPr>
              <w:jc w:val="right"/>
            </w:pPr>
            <w:r>
              <w:rPr>
                <w:rFonts w:hint="eastAsia"/>
              </w:rPr>
              <w:t>10,837,837.48</w:t>
            </w:r>
          </w:p>
        </w:tc>
      </w:tr>
      <w:tr w14:paraId="2F1A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A6E8C">
            <w:r>
              <w:rPr>
                <w:rFonts w:hint="eastAsia"/>
              </w:rPr>
              <w:t>递延所得税资产</w:t>
            </w:r>
          </w:p>
        </w:tc>
        <w:tc>
          <w:tcPr>
            <w:tcW w:w="2768" w:type="dxa"/>
            <w:vAlign w:val="center"/>
          </w:tcPr>
          <w:p w14:paraId="0CC2D5BC"/>
        </w:tc>
        <w:tc>
          <w:tcPr>
            <w:tcW w:w="2768" w:type="dxa"/>
            <w:vAlign w:val="center"/>
          </w:tcPr>
          <w:p w14:paraId="2D51DA6A">
            <w:pPr>
              <w:jc w:val="right"/>
            </w:pPr>
            <w:r>
              <w:rPr>
                <w:rFonts w:hint="eastAsia"/>
              </w:rPr>
              <w:t>-</w:t>
            </w:r>
          </w:p>
        </w:tc>
      </w:tr>
      <w:tr w14:paraId="446F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C73C9">
            <w:r>
              <w:rPr>
                <w:rFonts w:hint="eastAsia"/>
              </w:rPr>
              <w:t>其他资产</w:t>
            </w:r>
          </w:p>
        </w:tc>
        <w:tc>
          <w:tcPr>
            <w:tcW w:w="2768" w:type="dxa"/>
            <w:vAlign w:val="center"/>
          </w:tcPr>
          <w:p w14:paraId="07D41973">
            <w:r>
              <w:rPr>
                <w:rFonts w:hint="eastAsia"/>
              </w:rPr>
              <w:t>7.4.7.5</w:t>
            </w:r>
          </w:p>
        </w:tc>
        <w:tc>
          <w:tcPr>
            <w:tcW w:w="2768" w:type="dxa"/>
            <w:vAlign w:val="center"/>
          </w:tcPr>
          <w:p w14:paraId="3152AA2D">
            <w:pPr>
              <w:jc w:val="right"/>
            </w:pPr>
            <w:r>
              <w:rPr>
                <w:rFonts w:hint="eastAsia"/>
              </w:rPr>
              <w:t>56,496.71</w:t>
            </w:r>
          </w:p>
        </w:tc>
      </w:tr>
      <w:tr w14:paraId="2F36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42370">
            <w:r>
              <w:rPr>
                <w:rFonts w:hint="eastAsia"/>
              </w:rPr>
              <w:t>资产总计</w:t>
            </w:r>
          </w:p>
        </w:tc>
        <w:tc>
          <w:tcPr>
            <w:tcW w:w="2768" w:type="dxa"/>
            <w:vAlign w:val="center"/>
          </w:tcPr>
          <w:p w14:paraId="4D40FD43"/>
        </w:tc>
        <w:tc>
          <w:tcPr>
            <w:tcW w:w="2768" w:type="dxa"/>
            <w:vAlign w:val="center"/>
          </w:tcPr>
          <w:p w14:paraId="3EA2FF8F">
            <w:pPr>
              <w:jc w:val="right"/>
            </w:pPr>
            <w:r>
              <w:rPr>
                <w:rFonts w:hint="eastAsia"/>
              </w:rPr>
              <w:t>1,658,391,399.95</w:t>
            </w:r>
          </w:p>
        </w:tc>
      </w:tr>
      <w:tr w14:paraId="3550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A1215">
            <w:r>
              <w:rPr>
                <w:rFonts w:hint="eastAsia"/>
              </w:rPr>
              <w:t>负债和净资产</w:t>
            </w:r>
          </w:p>
        </w:tc>
        <w:tc>
          <w:tcPr>
            <w:tcW w:w="2768" w:type="dxa"/>
            <w:vAlign w:val="center"/>
          </w:tcPr>
          <w:p w14:paraId="2C83B438">
            <w:r>
              <w:rPr>
                <w:rFonts w:hint="eastAsia"/>
              </w:rPr>
              <w:t>附注号</w:t>
            </w:r>
          </w:p>
        </w:tc>
        <w:tc>
          <w:tcPr>
            <w:tcW w:w="2768" w:type="dxa"/>
            <w:vAlign w:val="center"/>
          </w:tcPr>
          <w:p w14:paraId="64D981AB">
            <w:r>
              <w:rPr>
                <w:rFonts w:hint="eastAsia"/>
              </w:rPr>
              <w:t>本期末2025年12月31日</w:t>
            </w:r>
          </w:p>
        </w:tc>
      </w:tr>
      <w:tr w14:paraId="4C42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D58D2">
            <w:r>
              <w:rPr>
                <w:rFonts w:hint="eastAsia"/>
              </w:rPr>
              <w:t>负债：</w:t>
            </w:r>
          </w:p>
        </w:tc>
        <w:tc>
          <w:tcPr>
            <w:tcW w:w="2768" w:type="dxa"/>
            <w:vAlign w:val="center"/>
          </w:tcPr>
          <w:p w14:paraId="3FBD8602"/>
        </w:tc>
        <w:tc>
          <w:tcPr>
            <w:tcW w:w="2768" w:type="dxa"/>
            <w:vAlign w:val="center"/>
          </w:tcPr>
          <w:p w14:paraId="72D3C2C0"/>
        </w:tc>
      </w:tr>
      <w:tr w14:paraId="6BC8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46AF3">
            <w:r>
              <w:rPr>
                <w:rFonts w:hint="eastAsia"/>
              </w:rPr>
              <w:t>短期借款</w:t>
            </w:r>
          </w:p>
        </w:tc>
        <w:tc>
          <w:tcPr>
            <w:tcW w:w="2768" w:type="dxa"/>
            <w:vAlign w:val="center"/>
          </w:tcPr>
          <w:p w14:paraId="6F281E48"/>
        </w:tc>
        <w:tc>
          <w:tcPr>
            <w:tcW w:w="2768" w:type="dxa"/>
            <w:vAlign w:val="center"/>
          </w:tcPr>
          <w:p w14:paraId="498A86B7">
            <w:pPr>
              <w:jc w:val="right"/>
            </w:pPr>
            <w:r>
              <w:rPr>
                <w:rFonts w:hint="eastAsia"/>
              </w:rPr>
              <w:t>-</w:t>
            </w:r>
          </w:p>
        </w:tc>
      </w:tr>
      <w:tr w14:paraId="45B0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2DF4A">
            <w:r>
              <w:rPr>
                <w:rFonts w:hint="eastAsia"/>
              </w:rPr>
              <w:t>交易性金融负债</w:t>
            </w:r>
          </w:p>
        </w:tc>
        <w:tc>
          <w:tcPr>
            <w:tcW w:w="2768" w:type="dxa"/>
            <w:vAlign w:val="center"/>
          </w:tcPr>
          <w:p w14:paraId="3FD8E2AD"/>
        </w:tc>
        <w:tc>
          <w:tcPr>
            <w:tcW w:w="2768" w:type="dxa"/>
            <w:vAlign w:val="center"/>
          </w:tcPr>
          <w:p w14:paraId="496DCA5E">
            <w:pPr>
              <w:jc w:val="right"/>
            </w:pPr>
            <w:r>
              <w:rPr>
                <w:rFonts w:hint="eastAsia"/>
              </w:rPr>
              <w:t>-</w:t>
            </w:r>
          </w:p>
        </w:tc>
      </w:tr>
      <w:tr w14:paraId="0A3D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573FC">
            <w:r>
              <w:rPr>
                <w:rFonts w:hint="eastAsia"/>
              </w:rPr>
              <w:t>衍生金融负债</w:t>
            </w:r>
          </w:p>
        </w:tc>
        <w:tc>
          <w:tcPr>
            <w:tcW w:w="2768" w:type="dxa"/>
            <w:vAlign w:val="center"/>
          </w:tcPr>
          <w:p w14:paraId="7F310BA9">
            <w:r>
              <w:rPr>
                <w:rFonts w:hint="eastAsia"/>
              </w:rPr>
              <w:t>7.4.7.3</w:t>
            </w:r>
          </w:p>
        </w:tc>
        <w:tc>
          <w:tcPr>
            <w:tcW w:w="2768" w:type="dxa"/>
            <w:vAlign w:val="center"/>
          </w:tcPr>
          <w:p w14:paraId="4CC50B68">
            <w:pPr>
              <w:jc w:val="right"/>
            </w:pPr>
            <w:r>
              <w:rPr>
                <w:rFonts w:hint="eastAsia"/>
              </w:rPr>
              <w:t>-</w:t>
            </w:r>
          </w:p>
        </w:tc>
      </w:tr>
      <w:tr w14:paraId="3C4F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705DB">
            <w:r>
              <w:rPr>
                <w:rFonts w:hint="eastAsia"/>
              </w:rPr>
              <w:t>卖出回购金融资产款</w:t>
            </w:r>
          </w:p>
        </w:tc>
        <w:tc>
          <w:tcPr>
            <w:tcW w:w="2768" w:type="dxa"/>
            <w:vAlign w:val="center"/>
          </w:tcPr>
          <w:p w14:paraId="174ECC7D"/>
        </w:tc>
        <w:tc>
          <w:tcPr>
            <w:tcW w:w="2768" w:type="dxa"/>
            <w:vAlign w:val="center"/>
          </w:tcPr>
          <w:p w14:paraId="51D98D0F">
            <w:pPr>
              <w:jc w:val="right"/>
            </w:pPr>
            <w:r>
              <w:rPr>
                <w:rFonts w:hint="eastAsia"/>
              </w:rPr>
              <w:t>-</w:t>
            </w:r>
          </w:p>
        </w:tc>
      </w:tr>
      <w:tr w14:paraId="3595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0BF97">
            <w:r>
              <w:rPr>
                <w:rFonts w:hint="eastAsia"/>
              </w:rPr>
              <w:t>应付清算款</w:t>
            </w:r>
          </w:p>
        </w:tc>
        <w:tc>
          <w:tcPr>
            <w:tcW w:w="2768" w:type="dxa"/>
            <w:vAlign w:val="center"/>
          </w:tcPr>
          <w:p w14:paraId="0C87A7AC"/>
        </w:tc>
        <w:tc>
          <w:tcPr>
            <w:tcW w:w="2768" w:type="dxa"/>
            <w:vAlign w:val="center"/>
          </w:tcPr>
          <w:p w14:paraId="06C14CF9">
            <w:pPr>
              <w:jc w:val="right"/>
            </w:pPr>
            <w:r>
              <w:rPr>
                <w:rFonts w:hint="eastAsia"/>
              </w:rPr>
              <w:t>-</w:t>
            </w:r>
          </w:p>
        </w:tc>
      </w:tr>
      <w:tr w14:paraId="455C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A1A89">
            <w:r>
              <w:rPr>
                <w:rFonts w:hint="eastAsia"/>
              </w:rPr>
              <w:t>应付赎回款</w:t>
            </w:r>
          </w:p>
        </w:tc>
        <w:tc>
          <w:tcPr>
            <w:tcW w:w="2768" w:type="dxa"/>
            <w:vAlign w:val="center"/>
          </w:tcPr>
          <w:p w14:paraId="35B47452"/>
        </w:tc>
        <w:tc>
          <w:tcPr>
            <w:tcW w:w="2768" w:type="dxa"/>
            <w:vAlign w:val="center"/>
          </w:tcPr>
          <w:p w14:paraId="0B00DD53">
            <w:pPr>
              <w:jc w:val="right"/>
            </w:pPr>
            <w:r>
              <w:rPr>
                <w:rFonts w:hint="eastAsia"/>
              </w:rPr>
              <w:t>79,589,801.42</w:t>
            </w:r>
          </w:p>
        </w:tc>
      </w:tr>
      <w:tr w14:paraId="3615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20B80">
            <w:r>
              <w:rPr>
                <w:rFonts w:hint="eastAsia"/>
              </w:rPr>
              <w:t>应付管理人报酬</w:t>
            </w:r>
          </w:p>
        </w:tc>
        <w:tc>
          <w:tcPr>
            <w:tcW w:w="2768" w:type="dxa"/>
            <w:vAlign w:val="center"/>
          </w:tcPr>
          <w:p w14:paraId="26E5BDEE"/>
        </w:tc>
        <w:tc>
          <w:tcPr>
            <w:tcW w:w="2768" w:type="dxa"/>
            <w:vAlign w:val="center"/>
          </w:tcPr>
          <w:p w14:paraId="1659490E">
            <w:pPr>
              <w:jc w:val="right"/>
            </w:pPr>
            <w:r>
              <w:rPr>
                <w:rFonts w:hint="eastAsia"/>
              </w:rPr>
              <w:t>389,365.62</w:t>
            </w:r>
          </w:p>
        </w:tc>
      </w:tr>
      <w:tr w14:paraId="1F99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C39D5">
            <w:r>
              <w:rPr>
                <w:rFonts w:hint="eastAsia"/>
              </w:rPr>
              <w:t>应付托管费</w:t>
            </w:r>
          </w:p>
        </w:tc>
        <w:tc>
          <w:tcPr>
            <w:tcW w:w="2768" w:type="dxa"/>
            <w:vAlign w:val="center"/>
          </w:tcPr>
          <w:p w14:paraId="274042ED"/>
        </w:tc>
        <w:tc>
          <w:tcPr>
            <w:tcW w:w="2768" w:type="dxa"/>
            <w:vAlign w:val="center"/>
          </w:tcPr>
          <w:p w14:paraId="5753DEBB">
            <w:pPr>
              <w:jc w:val="right"/>
            </w:pPr>
            <w:r>
              <w:rPr>
                <w:rFonts w:hint="eastAsia"/>
              </w:rPr>
              <w:t>140,384.26</w:t>
            </w:r>
          </w:p>
        </w:tc>
      </w:tr>
      <w:tr w14:paraId="3951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81F7E">
            <w:r>
              <w:rPr>
                <w:rFonts w:hint="eastAsia"/>
              </w:rPr>
              <w:t>应付销售服务费</w:t>
            </w:r>
          </w:p>
        </w:tc>
        <w:tc>
          <w:tcPr>
            <w:tcW w:w="2768" w:type="dxa"/>
            <w:vAlign w:val="center"/>
          </w:tcPr>
          <w:p w14:paraId="2C53DE84"/>
        </w:tc>
        <w:tc>
          <w:tcPr>
            <w:tcW w:w="2768" w:type="dxa"/>
            <w:vAlign w:val="center"/>
          </w:tcPr>
          <w:p w14:paraId="74DF53B0">
            <w:pPr>
              <w:jc w:val="right"/>
            </w:pPr>
            <w:r>
              <w:rPr>
                <w:rFonts w:hint="eastAsia"/>
              </w:rPr>
              <w:t>307,053.07</w:t>
            </w:r>
          </w:p>
        </w:tc>
      </w:tr>
      <w:tr w14:paraId="4D0A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8C3CE">
            <w:r>
              <w:rPr>
                <w:rFonts w:hint="eastAsia"/>
              </w:rPr>
              <w:t>应付投资顾问费</w:t>
            </w:r>
          </w:p>
        </w:tc>
        <w:tc>
          <w:tcPr>
            <w:tcW w:w="2768" w:type="dxa"/>
            <w:vAlign w:val="center"/>
          </w:tcPr>
          <w:p w14:paraId="00DF158C"/>
        </w:tc>
        <w:tc>
          <w:tcPr>
            <w:tcW w:w="2768" w:type="dxa"/>
            <w:vAlign w:val="center"/>
          </w:tcPr>
          <w:p w14:paraId="41961B9E">
            <w:pPr>
              <w:jc w:val="right"/>
            </w:pPr>
            <w:r>
              <w:rPr>
                <w:rFonts w:hint="eastAsia"/>
              </w:rPr>
              <w:t>-</w:t>
            </w:r>
          </w:p>
        </w:tc>
      </w:tr>
      <w:tr w14:paraId="534B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562A9">
            <w:r>
              <w:rPr>
                <w:rFonts w:hint="eastAsia"/>
              </w:rPr>
              <w:t>应交税费</w:t>
            </w:r>
          </w:p>
        </w:tc>
        <w:tc>
          <w:tcPr>
            <w:tcW w:w="2768" w:type="dxa"/>
            <w:vAlign w:val="center"/>
          </w:tcPr>
          <w:p w14:paraId="45E64838"/>
        </w:tc>
        <w:tc>
          <w:tcPr>
            <w:tcW w:w="2768" w:type="dxa"/>
            <w:vAlign w:val="center"/>
          </w:tcPr>
          <w:p w14:paraId="3DB8D2A6">
            <w:pPr>
              <w:jc w:val="right"/>
            </w:pPr>
            <w:r>
              <w:rPr>
                <w:rFonts w:hint="eastAsia"/>
              </w:rPr>
              <w:t>103,568.87</w:t>
            </w:r>
          </w:p>
        </w:tc>
      </w:tr>
      <w:tr w14:paraId="35C7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9F735">
            <w:r>
              <w:rPr>
                <w:rFonts w:hint="eastAsia"/>
              </w:rPr>
              <w:t>应付利润</w:t>
            </w:r>
          </w:p>
        </w:tc>
        <w:tc>
          <w:tcPr>
            <w:tcW w:w="2768" w:type="dxa"/>
            <w:vAlign w:val="center"/>
          </w:tcPr>
          <w:p w14:paraId="30C7E309"/>
        </w:tc>
        <w:tc>
          <w:tcPr>
            <w:tcW w:w="2768" w:type="dxa"/>
            <w:vAlign w:val="center"/>
          </w:tcPr>
          <w:p w14:paraId="6D7C332D">
            <w:pPr>
              <w:jc w:val="right"/>
            </w:pPr>
            <w:r>
              <w:rPr>
                <w:rFonts w:hint="eastAsia"/>
              </w:rPr>
              <w:t>-</w:t>
            </w:r>
          </w:p>
        </w:tc>
      </w:tr>
      <w:tr w14:paraId="1FC7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7DA66">
            <w:r>
              <w:rPr>
                <w:rFonts w:hint="eastAsia"/>
              </w:rPr>
              <w:t>递延所得税负债</w:t>
            </w:r>
          </w:p>
        </w:tc>
        <w:tc>
          <w:tcPr>
            <w:tcW w:w="2768" w:type="dxa"/>
            <w:vAlign w:val="center"/>
          </w:tcPr>
          <w:p w14:paraId="10E41ADF"/>
        </w:tc>
        <w:tc>
          <w:tcPr>
            <w:tcW w:w="2768" w:type="dxa"/>
            <w:vAlign w:val="center"/>
          </w:tcPr>
          <w:p w14:paraId="09509B7B">
            <w:pPr>
              <w:jc w:val="right"/>
            </w:pPr>
            <w:r>
              <w:rPr>
                <w:rFonts w:hint="eastAsia"/>
              </w:rPr>
              <w:t>-</w:t>
            </w:r>
          </w:p>
        </w:tc>
      </w:tr>
      <w:tr w14:paraId="787C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51804">
            <w:r>
              <w:rPr>
                <w:rFonts w:hint="eastAsia"/>
              </w:rPr>
              <w:t>其他负债</w:t>
            </w:r>
          </w:p>
        </w:tc>
        <w:tc>
          <w:tcPr>
            <w:tcW w:w="2768" w:type="dxa"/>
            <w:vAlign w:val="center"/>
          </w:tcPr>
          <w:p w14:paraId="51642037">
            <w:r>
              <w:rPr>
                <w:rFonts w:hint="eastAsia"/>
              </w:rPr>
              <w:t>7.4.7.6</w:t>
            </w:r>
          </w:p>
        </w:tc>
        <w:tc>
          <w:tcPr>
            <w:tcW w:w="2768" w:type="dxa"/>
            <w:vAlign w:val="center"/>
          </w:tcPr>
          <w:p w14:paraId="2AD352EF">
            <w:pPr>
              <w:jc w:val="right"/>
            </w:pPr>
            <w:r>
              <w:rPr>
                <w:rFonts w:hint="eastAsia"/>
              </w:rPr>
              <w:t>60,585.78</w:t>
            </w:r>
          </w:p>
        </w:tc>
      </w:tr>
      <w:tr w14:paraId="4754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14783">
            <w:r>
              <w:rPr>
                <w:rFonts w:hint="eastAsia"/>
              </w:rPr>
              <w:t>负债合计</w:t>
            </w:r>
          </w:p>
        </w:tc>
        <w:tc>
          <w:tcPr>
            <w:tcW w:w="2768" w:type="dxa"/>
            <w:vAlign w:val="center"/>
          </w:tcPr>
          <w:p w14:paraId="4A66857A"/>
        </w:tc>
        <w:tc>
          <w:tcPr>
            <w:tcW w:w="2768" w:type="dxa"/>
            <w:vAlign w:val="center"/>
          </w:tcPr>
          <w:p w14:paraId="2A050BC3">
            <w:pPr>
              <w:jc w:val="right"/>
            </w:pPr>
            <w:r>
              <w:rPr>
                <w:rFonts w:hint="eastAsia"/>
              </w:rPr>
              <w:t>80,590,759.02</w:t>
            </w:r>
          </w:p>
        </w:tc>
      </w:tr>
      <w:tr w14:paraId="7948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C970B">
            <w:r>
              <w:rPr>
                <w:rFonts w:hint="eastAsia"/>
              </w:rPr>
              <w:t>净资产：</w:t>
            </w:r>
          </w:p>
        </w:tc>
        <w:tc>
          <w:tcPr>
            <w:tcW w:w="2768" w:type="dxa"/>
            <w:vAlign w:val="center"/>
          </w:tcPr>
          <w:p w14:paraId="0F2A37F8"/>
        </w:tc>
        <w:tc>
          <w:tcPr>
            <w:tcW w:w="2768" w:type="dxa"/>
            <w:vAlign w:val="center"/>
          </w:tcPr>
          <w:p w14:paraId="00A71D0C"/>
        </w:tc>
      </w:tr>
      <w:tr w14:paraId="5001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46ABD">
            <w:r>
              <w:rPr>
                <w:rFonts w:hint="eastAsia"/>
              </w:rPr>
              <w:t>实收基金</w:t>
            </w:r>
          </w:p>
        </w:tc>
        <w:tc>
          <w:tcPr>
            <w:tcW w:w="2768" w:type="dxa"/>
            <w:vAlign w:val="center"/>
          </w:tcPr>
          <w:p w14:paraId="134ADD09">
            <w:r>
              <w:rPr>
                <w:rFonts w:hint="eastAsia"/>
              </w:rPr>
              <w:t>7.4.7.7</w:t>
            </w:r>
          </w:p>
        </w:tc>
        <w:tc>
          <w:tcPr>
            <w:tcW w:w="2768" w:type="dxa"/>
            <w:vAlign w:val="center"/>
          </w:tcPr>
          <w:p w14:paraId="17847CB8">
            <w:pPr>
              <w:jc w:val="right"/>
            </w:pPr>
            <w:r>
              <w:rPr>
                <w:rFonts w:hint="eastAsia"/>
              </w:rPr>
              <w:t>1,544,810,368.56</w:t>
            </w:r>
          </w:p>
        </w:tc>
      </w:tr>
      <w:tr w14:paraId="5AB6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9565E">
            <w:r>
              <w:rPr>
                <w:rFonts w:hint="eastAsia"/>
              </w:rPr>
              <w:t>其他综合收益</w:t>
            </w:r>
          </w:p>
        </w:tc>
        <w:tc>
          <w:tcPr>
            <w:tcW w:w="2768" w:type="dxa"/>
            <w:vAlign w:val="center"/>
          </w:tcPr>
          <w:p w14:paraId="195A0738"/>
        </w:tc>
        <w:tc>
          <w:tcPr>
            <w:tcW w:w="2768" w:type="dxa"/>
            <w:vAlign w:val="center"/>
          </w:tcPr>
          <w:p w14:paraId="1C174C34">
            <w:pPr>
              <w:jc w:val="right"/>
            </w:pPr>
            <w:r>
              <w:rPr>
                <w:rFonts w:hint="eastAsia"/>
              </w:rPr>
              <w:t>-</w:t>
            </w:r>
          </w:p>
        </w:tc>
      </w:tr>
      <w:tr w14:paraId="34FC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23EF4">
            <w:r>
              <w:rPr>
                <w:rFonts w:hint="eastAsia"/>
              </w:rPr>
              <w:t>未分配利润</w:t>
            </w:r>
          </w:p>
        </w:tc>
        <w:tc>
          <w:tcPr>
            <w:tcW w:w="2768" w:type="dxa"/>
            <w:vAlign w:val="center"/>
          </w:tcPr>
          <w:p w14:paraId="703FA5EC">
            <w:r>
              <w:rPr>
                <w:rFonts w:hint="eastAsia"/>
              </w:rPr>
              <w:t>7.4.7.8</w:t>
            </w:r>
          </w:p>
        </w:tc>
        <w:tc>
          <w:tcPr>
            <w:tcW w:w="2768" w:type="dxa"/>
            <w:vAlign w:val="center"/>
          </w:tcPr>
          <w:p w14:paraId="6A1DD559">
            <w:pPr>
              <w:jc w:val="right"/>
            </w:pPr>
            <w:r>
              <w:rPr>
                <w:rFonts w:hint="eastAsia"/>
              </w:rPr>
              <w:t>32,990,272.37</w:t>
            </w:r>
          </w:p>
        </w:tc>
      </w:tr>
      <w:tr w14:paraId="3275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168FF">
            <w:r>
              <w:rPr>
                <w:rFonts w:hint="eastAsia"/>
              </w:rPr>
              <w:t>净资产合计</w:t>
            </w:r>
          </w:p>
        </w:tc>
        <w:tc>
          <w:tcPr>
            <w:tcW w:w="2768" w:type="dxa"/>
            <w:vAlign w:val="center"/>
          </w:tcPr>
          <w:p w14:paraId="0F8EB45E"/>
        </w:tc>
        <w:tc>
          <w:tcPr>
            <w:tcW w:w="2768" w:type="dxa"/>
            <w:vAlign w:val="center"/>
          </w:tcPr>
          <w:p w14:paraId="2D720AB0">
            <w:pPr>
              <w:jc w:val="right"/>
            </w:pPr>
            <w:r>
              <w:rPr>
                <w:rFonts w:hint="eastAsia"/>
              </w:rPr>
              <w:t>1,577,800,640.93</w:t>
            </w:r>
          </w:p>
        </w:tc>
      </w:tr>
      <w:tr w14:paraId="7204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F3911">
            <w:r>
              <w:rPr>
                <w:rFonts w:hint="eastAsia"/>
              </w:rPr>
              <w:t>负债和净资产总计</w:t>
            </w:r>
          </w:p>
        </w:tc>
        <w:tc>
          <w:tcPr>
            <w:tcW w:w="2768" w:type="dxa"/>
            <w:vAlign w:val="center"/>
          </w:tcPr>
          <w:p w14:paraId="572C8DE4"/>
        </w:tc>
        <w:tc>
          <w:tcPr>
            <w:tcW w:w="2768" w:type="dxa"/>
            <w:vAlign w:val="center"/>
          </w:tcPr>
          <w:p w14:paraId="4DE2EDD3">
            <w:pPr>
              <w:jc w:val="right"/>
            </w:pPr>
            <w:r>
              <w:rPr>
                <w:rFonts w:hint="eastAsia"/>
              </w:rPr>
              <w:t>1,658,391,399.95</w:t>
            </w:r>
          </w:p>
        </w:tc>
      </w:tr>
    </w:tbl>
    <w:p w14:paraId="666733D8">
      <w:pPr>
        <w:pStyle w:val="47"/>
        <w:rPr>
          <w:rFonts w:hint="eastAsia"/>
        </w:rPr>
      </w:pPr>
      <w:r>
        <w:rPr>
          <w:rFonts w:hint="eastAsia"/>
        </w:rPr>
        <w:t>注：1.报告截止日2025年12月31日，南方稳见3个月持有混合（FOF）A份额净值1.0228元，基金份额总额444,116,526.55份；南方稳见3个月持有混合（FOF）C份额净值1.0208元，基金份额总额1,100,693,842.01份；总份额合计1,544,810,368.56份。</w:t>
      </w:r>
    </w:p>
    <w:p w14:paraId="6F9E71EB">
      <w:pPr>
        <w:pStyle w:val="47"/>
        <w:rPr>
          <w:rFonts w:hint="eastAsia"/>
        </w:rPr>
      </w:pPr>
      <w:r>
        <w:tab/>
      </w:r>
      <w:r>
        <w:rPr>
          <w:rFonts w:hint="eastAsia"/>
        </w:rPr>
        <w:t>2.本财务报表的实际编制期间为2025年04月28日(基金合同生效日)至2025年12月31日止期间。</w:t>
      </w:r>
    </w:p>
    <w:p w14:paraId="12D4AF73">
      <w:pPr>
        <w:pStyle w:val="23"/>
      </w:pPr>
      <w:bookmarkStart w:id="46" w:name="_Toc24558"/>
      <w:r>
        <w:t>利润表</w:t>
      </w:r>
      <w:bookmarkEnd w:id="46"/>
    </w:p>
    <w:p w14:paraId="4949C8FD">
      <w:pPr>
        <w:pStyle w:val="18"/>
        <w:rPr>
          <w:rFonts w:hint="eastAsia"/>
        </w:rPr>
      </w:pPr>
      <w:r>
        <w:rPr>
          <w:rFonts w:hint="eastAsia"/>
        </w:rPr>
        <w:t>会计主体：南方稳见3个月持有期混合型基金中基金（FOF）</w:t>
      </w:r>
    </w:p>
    <w:p w14:paraId="5B79E562">
      <w:pPr>
        <w:pStyle w:val="18"/>
        <w:rPr>
          <w:rFonts w:hint="eastAsia"/>
        </w:rPr>
      </w:pPr>
      <w:r>
        <w:rPr>
          <w:rFonts w:hint="eastAsia"/>
        </w:rPr>
        <w:t>本报告期：2025年4月28日(基金合同生效日)至2025年12月31日</w:t>
      </w:r>
    </w:p>
    <w:p w14:paraId="57AF04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38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633B61">
            <w:pPr>
              <w:jc w:val="center"/>
            </w:pPr>
            <w:r>
              <w:rPr>
                <w:rFonts w:hint="eastAsia"/>
                <w:b/>
              </w:rPr>
              <w:t>项目</w:t>
            </w:r>
          </w:p>
        </w:tc>
        <w:tc>
          <w:tcPr>
            <w:tcW w:w="2768" w:type="dxa"/>
            <w:shd w:val="clear" w:color="auto" w:fill="BFBFBF"/>
            <w:vAlign w:val="center"/>
          </w:tcPr>
          <w:p w14:paraId="3EEE99AD">
            <w:pPr>
              <w:jc w:val="center"/>
            </w:pPr>
            <w:r>
              <w:rPr>
                <w:rFonts w:hint="eastAsia"/>
                <w:b/>
              </w:rPr>
              <w:t>附注号</w:t>
            </w:r>
          </w:p>
        </w:tc>
        <w:tc>
          <w:tcPr>
            <w:tcW w:w="2768" w:type="dxa"/>
            <w:shd w:val="clear" w:color="auto" w:fill="BFBFBF"/>
            <w:vAlign w:val="center"/>
          </w:tcPr>
          <w:p w14:paraId="77299CCD">
            <w:pPr>
              <w:jc w:val="center"/>
            </w:pPr>
            <w:r>
              <w:rPr>
                <w:rFonts w:hint="eastAsia"/>
                <w:b/>
              </w:rPr>
              <w:t>本期2025年4月28日（基金合同生效日）至2025年12月31日</w:t>
            </w:r>
          </w:p>
        </w:tc>
      </w:tr>
      <w:tr w14:paraId="38D9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E429A">
            <w:r>
              <w:rPr>
                <w:rFonts w:hint="eastAsia"/>
              </w:rPr>
              <w:t>一、营业总收入</w:t>
            </w:r>
          </w:p>
        </w:tc>
        <w:tc>
          <w:tcPr>
            <w:tcW w:w="2768" w:type="dxa"/>
            <w:vAlign w:val="center"/>
          </w:tcPr>
          <w:p w14:paraId="28A38100"/>
        </w:tc>
        <w:tc>
          <w:tcPr>
            <w:tcW w:w="2768" w:type="dxa"/>
            <w:vAlign w:val="center"/>
          </w:tcPr>
          <w:p w14:paraId="78029733">
            <w:pPr>
              <w:jc w:val="right"/>
            </w:pPr>
            <w:r>
              <w:rPr>
                <w:rFonts w:hint="eastAsia"/>
              </w:rPr>
              <w:t>69,433,759.69</w:t>
            </w:r>
          </w:p>
        </w:tc>
      </w:tr>
      <w:tr w14:paraId="7AB6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ADA36">
            <w:r>
              <w:rPr>
                <w:rFonts w:hint="eastAsia"/>
              </w:rPr>
              <w:t>1.利息收入</w:t>
            </w:r>
          </w:p>
        </w:tc>
        <w:tc>
          <w:tcPr>
            <w:tcW w:w="2768" w:type="dxa"/>
            <w:vAlign w:val="center"/>
          </w:tcPr>
          <w:p w14:paraId="07FB673D"/>
        </w:tc>
        <w:tc>
          <w:tcPr>
            <w:tcW w:w="2768" w:type="dxa"/>
            <w:vAlign w:val="center"/>
          </w:tcPr>
          <w:p w14:paraId="4A29A1AB">
            <w:pPr>
              <w:jc w:val="right"/>
            </w:pPr>
            <w:r>
              <w:rPr>
                <w:rFonts w:hint="eastAsia"/>
              </w:rPr>
              <w:t>3,914,047.00</w:t>
            </w:r>
          </w:p>
        </w:tc>
      </w:tr>
      <w:tr w14:paraId="2E2F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634A4">
            <w:r>
              <w:rPr>
                <w:rFonts w:hint="eastAsia"/>
              </w:rPr>
              <w:t>其中：存款利息收入</w:t>
            </w:r>
          </w:p>
        </w:tc>
        <w:tc>
          <w:tcPr>
            <w:tcW w:w="2768" w:type="dxa"/>
            <w:vAlign w:val="center"/>
          </w:tcPr>
          <w:p w14:paraId="74BAA39C">
            <w:r>
              <w:rPr>
                <w:rFonts w:hint="eastAsia"/>
              </w:rPr>
              <w:t>7.4.7.9</w:t>
            </w:r>
          </w:p>
        </w:tc>
        <w:tc>
          <w:tcPr>
            <w:tcW w:w="2768" w:type="dxa"/>
            <w:vAlign w:val="center"/>
          </w:tcPr>
          <w:p w14:paraId="0DAC9565">
            <w:pPr>
              <w:jc w:val="right"/>
            </w:pPr>
            <w:r>
              <w:rPr>
                <w:rFonts w:hint="eastAsia"/>
              </w:rPr>
              <w:t>257,977.78</w:t>
            </w:r>
          </w:p>
        </w:tc>
      </w:tr>
      <w:tr w14:paraId="03EF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F5D64">
            <w:r>
              <w:rPr>
                <w:rFonts w:hint="eastAsia"/>
              </w:rPr>
              <w:t xml:space="preserve">      债券利息收入</w:t>
            </w:r>
          </w:p>
        </w:tc>
        <w:tc>
          <w:tcPr>
            <w:tcW w:w="2768" w:type="dxa"/>
            <w:vAlign w:val="center"/>
          </w:tcPr>
          <w:p w14:paraId="41028303"/>
        </w:tc>
        <w:tc>
          <w:tcPr>
            <w:tcW w:w="2768" w:type="dxa"/>
            <w:vAlign w:val="center"/>
          </w:tcPr>
          <w:p w14:paraId="0DDB74C2">
            <w:pPr>
              <w:jc w:val="right"/>
            </w:pPr>
            <w:r>
              <w:rPr>
                <w:rFonts w:hint="eastAsia"/>
              </w:rPr>
              <w:t>-</w:t>
            </w:r>
          </w:p>
        </w:tc>
      </w:tr>
      <w:tr w14:paraId="43B7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FAD17">
            <w:r>
              <w:rPr>
                <w:rFonts w:hint="eastAsia"/>
              </w:rPr>
              <w:t xml:space="preserve">      资产支持证券利息收入</w:t>
            </w:r>
          </w:p>
        </w:tc>
        <w:tc>
          <w:tcPr>
            <w:tcW w:w="2768" w:type="dxa"/>
            <w:vAlign w:val="center"/>
          </w:tcPr>
          <w:p w14:paraId="63521393"/>
        </w:tc>
        <w:tc>
          <w:tcPr>
            <w:tcW w:w="2768" w:type="dxa"/>
            <w:vAlign w:val="center"/>
          </w:tcPr>
          <w:p w14:paraId="4D0430C9">
            <w:pPr>
              <w:jc w:val="right"/>
            </w:pPr>
            <w:r>
              <w:rPr>
                <w:rFonts w:hint="eastAsia"/>
              </w:rPr>
              <w:t>-</w:t>
            </w:r>
          </w:p>
        </w:tc>
      </w:tr>
      <w:tr w14:paraId="78EF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1F569">
            <w:r>
              <w:rPr>
                <w:rFonts w:hint="eastAsia"/>
              </w:rPr>
              <w:t xml:space="preserve">      买入返售金融资产收入</w:t>
            </w:r>
          </w:p>
        </w:tc>
        <w:tc>
          <w:tcPr>
            <w:tcW w:w="2768" w:type="dxa"/>
            <w:vAlign w:val="center"/>
          </w:tcPr>
          <w:p w14:paraId="07193B7F"/>
        </w:tc>
        <w:tc>
          <w:tcPr>
            <w:tcW w:w="2768" w:type="dxa"/>
            <w:vAlign w:val="center"/>
          </w:tcPr>
          <w:p w14:paraId="1CC33C8B">
            <w:pPr>
              <w:jc w:val="right"/>
            </w:pPr>
            <w:r>
              <w:rPr>
                <w:rFonts w:hint="eastAsia"/>
              </w:rPr>
              <w:t>3,656,069.22</w:t>
            </w:r>
          </w:p>
        </w:tc>
      </w:tr>
      <w:tr w14:paraId="0F45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C51E4">
            <w:r>
              <w:rPr>
                <w:rFonts w:hint="eastAsia"/>
              </w:rPr>
              <w:t xml:space="preserve">      其他利息收入</w:t>
            </w:r>
          </w:p>
        </w:tc>
        <w:tc>
          <w:tcPr>
            <w:tcW w:w="2768" w:type="dxa"/>
            <w:vAlign w:val="center"/>
          </w:tcPr>
          <w:p w14:paraId="24F0D45C"/>
        </w:tc>
        <w:tc>
          <w:tcPr>
            <w:tcW w:w="2768" w:type="dxa"/>
            <w:vAlign w:val="center"/>
          </w:tcPr>
          <w:p w14:paraId="622F64CF">
            <w:pPr>
              <w:jc w:val="right"/>
            </w:pPr>
            <w:r>
              <w:rPr>
                <w:rFonts w:hint="eastAsia"/>
              </w:rPr>
              <w:t>-</w:t>
            </w:r>
          </w:p>
        </w:tc>
      </w:tr>
      <w:tr w14:paraId="451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194AD">
            <w:r>
              <w:rPr>
                <w:rFonts w:hint="eastAsia"/>
              </w:rPr>
              <w:t>2.投资收益（损失以“-”填列）</w:t>
            </w:r>
          </w:p>
        </w:tc>
        <w:tc>
          <w:tcPr>
            <w:tcW w:w="2768" w:type="dxa"/>
            <w:vAlign w:val="center"/>
          </w:tcPr>
          <w:p w14:paraId="02CADC26"/>
        </w:tc>
        <w:tc>
          <w:tcPr>
            <w:tcW w:w="2768" w:type="dxa"/>
            <w:vAlign w:val="center"/>
          </w:tcPr>
          <w:p w14:paraId="284F66BC">
            <w:pPr>
              <w:jc w:val="right"/>
            </w:pPr>
            <w:r>
              <w:rPr>
                <w:rFonts w:hint="eastAsia"/>
              </w:rPr>
              <w:t>44,198,413.33</w:t>
            </w:r>
          </w:p>
        </w:tc>
      </w:tr>
      <w:tr w14:paraId="4931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09567">
            <w:r>
              <w:rPr>
                <w:rFonts w:hint="eastAsia"/>
              </w:rPr>
              <w:t>其中：股票投资收益</w:t>
            </w:r>
          </w:p>
        </w:tc>
        <w:tc>
          <w:tcPr>
            <w:tcW w:w="2768" w:type="dxa"/>
            <w:vAlign w:val="center"/>
          </w:tcPr>
          <w:p w14:paraId="639CF023">
            <w:r>
              <w:rPr>
                <w:rFonts w:hint="eastAsia"/>
              </w:rPr>
              <w:t>7.4.7.10</w:t>
            </w:r>
          </w:p>
        </w:tc>
        <w:tc>
          <w:tcPr>
            <w:tcW w:w="2768" w:type="dxa"/>
            <w:vAlign w:val="center"/>
          </w:tcPr>
          <w:p w14:paraId="1D3988DC">
            <w:pPr>
              <w:jc w:val="right"/>
            </w:pPr>
            <w:r>
              <w:rPr>
                <w:rFonts w:hint="eastAsia"/>
              </w:rPr>
              <w:t>-</w:t>
            </w:r>
          </w:p>
        </w:tc>
      </w:tr>
      <w:tr w14:paraId="5631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44FBF">
            <w:r>
              <w:rPr>
                <w:rFonts w:hint="eastAsia"/>
              </w:rPr>
              <w:t xml:space="preserve">      基金投资收益</w:t>
            </w:r>
          </w:p>
        </w:tc>
        <w:tc>
          <w:tcPr>
            <w:tcW w:w="2768" w:type="dxa"/>
            <w:vAlign w:val="center"/>
          </w:tcPr>
          <w:p w14:paraId="5AFF6AF2">
            <w:r>
              <w:rPr>
                <w:rFonts w:hint="eastAsia"/>
              </w:rPr>
              <w:t>7.4.7.11</w:t>
            </w:r>
          </w:p>
        </w:tc>
        <w:tc>
          <w:tcPr>
            <w:tcW w:w="2768" w:type="dxa"/>
            <w:vAlign w:val="center"/>
          </w:tcPr>
          <w:p w14:paraId="79E01674">
            <w:pPr>
              <w:jc w:val="right"/>
            </w:pPr>
            <w:r>
              <w:rPr>
                <w:rFonts w:hint="eastAsia"/>
              </w:rPr>
              <w:t>39,007,691.30</w:t>
            </w:r>
          </w:p>
        </w:tc>
      </w:tr>
      <w:tr w14:paraId="6010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95131">
            <w:r>
              <w:rPr>
                <w:rFonts w:hint="eastAsia"/>
              </w:rPr>
              <w:t xml:space="preserve">      债券投资收益</w:t>
            </w:r>
          </w:p>
        </w:tc>
        <w:tc>
          <w:tcPr>
            <w:tcW w:w="2768" w:type="dxa"/>
            <w:vAlign w:val="center"/>
          </w:tcPr>
          <w:p w14:paraId="2E9409E0">
            <w:r>
              <w:rPr>
                <w:rFonts w:hint="eastAsia"/>
              </w:rPr>
              <w:t>7.4.7.12</w:t>
            </w:r>
          </w:p>
        </w:tc>
        <w:tc>
          <w:tcPr>
            <w:tcW w:w="2768" w:type="dxa"/>
            <w:vAlign w:val="center"/>
          </w:tcPr>
          <w:p w14:paraId="48D5BD02">
            <w:pPr>
              <w:jc w:val="right"/>
            </w:pPr>
            <w:r>
              <w:rPr>
                <w:rFonts w:hint="eastAsia"/>
              </w:rPr>
              <w:t>1,228,414.30</w:t>
            </w:r>
          </w:p>
        </w:tc>
      </w:tr>
      <w:tr w14:paraId="1180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E879A">
            <w:r>
              <w:rPr>
                <w:rFonts w:hint="eastAsia"/>
              </w:rPr>
              <w:t xml:space="preserve">      资产支持证券投资收益</w:t>
            </w:r>
          </w:p>
        </w:tc>
        <w:tc>
          <w:tcPr>
            <w:tcW w:w="2768" w:type="dxa"/>
            <w:vAlign w:val="center"/>
          </w:tcPr>
          <w:p w14:paraId="36EBB66B">
            <w:r>
              <w:rPr>
                <w:rFonts w:hint="eastAsia"/>
              </w:rPr>
              <w:t>7.4.7.13</w:t>
            </w:r>
          </w:p>
        </w:tc>
        <w:tc>
          <w:tcPr>
            <w:tcW w:w="2768" w:type="dxa"/>
            <w:vAlign w:val="center"/>
          </w:tcPr>
          <w:p w14:paraId="0FDED690">
            <w:pPr>
              <w:jc w:val="right"/>
            </w:pPr>
            <w:r>
              <w:rPr>
                <w:rFonts w:hint="eastAsia"/>
              </w:rPr>
              <w:t>-</w:t>
            </w:r>
          </w:p>
        </w:tc>
      </w:tr>
      <w:tr w14:paraId="346D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39C34">
            <w:r>
              <w:rPr>
                <w:rFonts w:hint="eastAsia"/>
              </w:rPr>
              <w:t xml:space="preserve">      贵金属投资收益</w:t>
            </w:r>
          </w:p>
        </w:tc>
        <w:tc>
          <w:tcPr>
            <w:tcW w:w="2768" w:type="dxa"/>
            <w:vAlign w:val="center"/>
          </w:tcPr>
          <w:p w14:paraId="37CE5223"/>
        </w:tc>
        <w:tc>
          <w:tcPr>
            <w:tcW w:w="2768" w:type="dxa"/>
            <w:vAlign w:val="center"/>
          </w:tcPr>
          <w:p w14:paraId="63B08732">
            <w:pPr>
              <w:jc w:val="right"/>
            </w:pPr>
            <w:r>
              <w:rPr>
                <w:rFonts w:hint="eastAsia"/>
              </w:rPr>
              <w:t>-</w:t>
            </w:r>
          </w:p>
        </w:tc>
      </w:tr>
      <w:tr w14:paraId="510E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E3CEF">
            <w:r>
              <w:rPr>
                <w:rFonts w:hint="eastAsia"/>
              </w:rPr>
              <w:t xml:space="preserve">      衍生工具收益</w:t>
            </w:r>
          </w:p>
        </w:tc>
        <w:tc>
          <w:tcPr>
            <w:tcW w:w="2768" w:type="dxa"/>
            <w:vAlign w:val="center"/>
          </w:tcPr>
          <w:p w14:paraId="52EBA72C">
            <w:r>
              <w:rPr>
                <w:rFonts w:hint="eastAsia"/>
              </w:rPr>
              <w:t>7.4.7.14</w:t>
            </w:r>
          </w:p>
        </w:tc>
        <w:tc>
          <w:tcPr>
            <w:tcW w:w="2768" w:type="dxa"/>
            <w:vAlign w:val="center"/>
          </w:tcPr>
          <w:p w14:paraId="67C3107C">
            <w:pPr>
              <w:jc w:val="right"/>
            </w:pPr>
            <w:r>
              <w:rPr>
                <w:rFonts w:hint="eastAsia"/>
              </w:rPr>
              <w:t>-</w:t>
            </w:r>
          </w:p>
        </w:tc>
      </w:tr>
      <w:tr w14:paraId="4784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61FB0">
            <w:r>
              <w:rPr>
                <w:rFonts w:hint="eastAsia"/>
              </w:rPr>
              <w:t xml:space="preserve">      股利收益</w:t>
            </w:r>
          </w:p>
        </w:tc>
        <w:tc>
          <w:tcPr>
            <w:tcW w:w="2768" w:type="dxa"/>
            <w:vAlign w:val="center"/>
          </w:tcPr>
          <w:p w14:paraId="1B30DF7C">
            <w:r>
              <w:rPr>
                <w:rFonts w:hint="eastAsia"/>
              </w:rPr>
              <w:t>7.4.7.15</w:t>
            </w:r>
          </w:p>
        </w:tc>
        <w:tc>
          <w:tcPr>
            <w:tcW w:w="2768" w:type="dxa"/>
            <w:vAlign w:val="center"/>
          </w:tcPr>
          <w:p w14:paraId="30B771FF">
            <w:pPr>
              <w:jc w:val="right"/>
            </w:pPr>
            <w:r>
              <w:rPr>
                <w:rFonts w:hint="eastAsia"/>
              </w:rPr>
              <w:t>3,962,307.73</w:t>
            </w:r>
          </w:p>
        </w:tc>
      </w:tr>
      <w:tr w14:paraId="6E15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3DE0C">
            <w:r>
              <w:rPr>
                <w:rFonts w:hint="eastAsia"/>
              </w:rPr>
              <w:t xml:space="preserve">      以摊余成本计量的金融资产终止确认产生的收益</w:t>
            </w:r>
          </w:p>
        </w:tc>
        <w:tc>
          <w:tcPr>
            <w:tcW w:w="2768" w:type="dxa"/>
            <w:vAlign w:val="center"/>
          </w:tcPr>
          <w:p w14:paraId="797BA230"/>
        </w:tc>
        <w:tc>
          <w:tcPr>
            <w:tcW w:w="2768" w:type="dxa"/>
            <w:vAlign w:val="center"/>
          </w:tcPr>
          <w:p w14:paraId="116F633D">
            <w:pPr>
              <w:jc w:val="right"/>
            </w:pPr>
            <w:r>
              <w:rPr>
                <w:rFonts w:hint="eastAsia"/>
              </w:rPr>
              <w:t>-</w:t>
            </w:r>
          </w:p>
        </w:tc>
      </w:tr>
      <w:tr w14:paraId="36D8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F888B">
            <w:r>
              <w:rPr>
                <w:rFonts w:hint="eastAsia"/>
              </w:rPr>
              <w:t xml:space="preserve">      其他投资收益</w:t>
            </w:r>
          </w:p>
        </w:tc>
        <w:tc>
          <w:tcPr>
            <w:tcW w:w="2768" w:type="dxa"/>
            <w:vAlign w:val="center"/>
          </w:tcPr>
          <w:p w14:paraId="73D35FB9"/>
        </w:tc>
        <w:tc>
          <w:tcPr>
            <w:tcW w:w="2768" w:type="dxa"/>
            <w:vAlign w:val="center"/>
          </w:tcPr>
          <w:p w14:paraId="35247E7A">
            <w:pPr>
              <w:jc w:val="right"/>
            </w:pPr>
            <w:r>
              <w:rPr>
                <w:rFonts w:hint="eastAsia"/>
              </w:rPr>
              <w:t>-</w:t>
            </w:r>
          </w:p>
        </w:tc>
      </w:tr>
      <w:tr w14:paraId="36D1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B7302">
            <w:r>
              <w:rPr>
                <w:rFonts w:hint="eastAsia"/>
              </w:rPr>
              <w:t>3.公允价值变动收益（损失以“-”号填列）</w:t>
            </w:r>
          </w:p>
        </w:tc>
        <w:tc>
          <w:tcPr>
            <w:tcW w:w="2768" w:type="dxa"/>
            <w:vAlign w:val="center"/>
          </w:tcPr>
          <w:p w14:paraId="6C17AB50">
            <w:r>
              <w:rPr>
                <w:rFonts w:hint="eastAsia"/>
              </w:rPr>
              <w:t>7.4.7.16</w:t>
            </w:r>
          </w:p>
        </w:tc>
        <w:tc>
          <w:tcPr>
            <w:tcW w:w="2768" w:type="dxa"/>
            <w:vAlign w:val="center"/>
          </w:tcPr>
          <w:p w14:paraId="5096450D">
            <w:pPr>
              <w:jc w:val="right"/>
            </w:pPr>
            <w:r>
              <w:rPr>
                <w:rFonts w:hint="eastAsia"/>
              </w:rPr>
              <w:t>19,497,781.51</w:t>
            </w:r>
          </w:p>
        </w:tc>
      </w:tr>
      <w:tr w14:paraId="6A0A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909C0">
            <w:r>
              <w:rPr>
                <w:rFonts w:hint="eastAsia"/>
              </w:rPr>
              <w:t>4.汇兑收益（损失以“－”号填列）</w:t>
            </w:r>
          </w:p>
        </w:tc>
        <w:tc>
          <w:tcPr>
            <w:tcW w:w="2768" w:type="dxa"/>
            <w:vAlign w:val="center"/>
          </w:tcPr>
          <w:p w14:paraId="46DDDD30"/>
        </w:tc>
        <w:tc>
          <w:tcPr>
            <w:tcW w:w="2768" w:type="dxa"/>
            <w:vAlign w:val="center"/>
          </w:tcPr>
          <w:p w14:paraId="4769333C">
            <w:pPr>
              <w:jc w:val="right"/>
            </w:pPr>
            <w:r>
              <w:rPr>
                <w:rFonts w:hint="eastAsia"/>
              </w:rPr>
              <w:t>-</w:t>
            </w:r>
          </w:p>
        </w:tc>
      </w:tr>
      <w:tr w14:paraId="28E4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00E00">
            <w:r>
              <w:rPr>
                <w:rFonts w:hint="eastAsia"/>
              </w:rPr>
              <w:t>5.其他收入（损失以“-”号填列）</w:t>
            </w:r>
          </w:p>
        </w:tc>
        <w:tc>
          <w:tcPr>
            <w:tcW w:w="2768" w:type="dxa"/>
            <w:vAlign w:val="center"/>
          </w:tcPr>
          <w:p w14:paraId="6EFCD9E7">
            <w:r>
              <w:rPr>
                <w:rFonts w:hint="eastAsia"/>
              </w:rPr>
              <w:t>7.4.7.17</w:t>
            </w:r>
          </w:p>
        </w:tc>
        <w:tc>
          <w:tcPr>
            <w:tcW w:w="2768" w:type="dxa"/>
            <w:vAlign w:val="center"/>
          </w:tcPr>
          <w:p w14:paraId="00AB5963">
            <w:pPr>
              <w:jc w:val="right"/>
            </w:pPr>
            <w:r>
              <w:rPr>
                <w:rFonts w:hint="eastAsia"/>
              </w:rPr>
              <w:t>1,823,517.85</w:t>
            </w:r>
          </w:p>
        </w:tc>
      </w:tr>
      <w:tr w14:paraId="34E5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1BC6E">
            <w:r>
              <w:rPr>
                <w:rFonts w:hint="eastAsia"/>
              </w:rPr>
              <w:t>减：二、营业总支出</w:t>
            </w:r>
          </w:p>
        </w:tc>
        <w:tc>
          <w:tcPr>
            <w:tcW w:w="2768" w:type="dxa"/>
            <w:vAlign w:val="center"/>
          </w:tcPr>
          <w:p w14:paraId="3EF59157"/>
        </w:tc>
        <w:tc>
          <w:tcPr>
            <w:tcW w:w="2768" w:type="dxa"/>
            <w:vAlign w:val="center"/>
          </w:tcPr>
          <w:p w14:paraId="05970499">
            <w:pPr>
              <w:jc w:val="right"/>
            </w:pPr>
            <w:r>
              <w:rPr>
                <w:rFonts w:hint="eastAsia"/>
              </w:rPr>
              <w:t>11,309,119.70</w:t>
            </w:r>
          </w:p>
        </w:tc>
      </w:tr>
      <w:tr w14:paraId="180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23EE0">
            <w:r>
              <w:rPr>
                <w:rFonts w:hint="eastAsia"/>
              </w:rPr>
              <w:t>1.管理人报酬</w:t>
            </w:r>
          </w:p>
        </w:tc>
        <w:tc>
          <w:tcPr>
            <w:tcW w:w="2768" w:type="dxa"/>
            <w:vAlign w:val="center"/>
          </w:tcPr>
          <w:p w14:paraId="414D67B3">
            <w:r>
              <w:rPr>
                <w:rFonts w:hint="eastAsia"/>
              </w:rPr>
              <w:t>7.4.10.2.1</w:t>
            </w:r>
          </w:p>
        </w:tc>
        <w:tc>
          <w:tcPr>
            <w:tcW w:w="2768" w:type="dxa"/>
            <w:vAlign w:val="center"/>
          </w:tcPr>
          <w:p w14:paraId="1B288FEC">
            <w:pPr>
              <w:jc w:val="right"/>
            </w:pPr>
            <w:r>
              <w:rPr>
                <w:rFonts w:hint="eastAsia"/>
              </w:rPr>
              <w:t>5,284,899.22</w:t>
            </w:r>
          </w:p>
        </w:tc>
      </w:tr>
      <w:tr w14:paraId="6D69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61F9C">
            <w:r>
              <w:rPr>
                <w:rFonts w:hint="eastAsia"/>
              </w:rPr>
              <w:t>其中：暂估管理人报酬</w:t>
            </w:r>
          </w:p>
        </w:tc>
        <w:tc>
          <w:tcPr>
            <w:tcW w:w="2768" w:type="dxa"/>
            <w:vAlign w:val="center"/>
          </w:tcPr>
          <w:p w14:paraId="4B67E738"/>
        </w:tc>
        <w:tc>
          <w:tcPr>
            <w:tcW w:w="2768" w:type="dxa"/>
            <w:vAlign w:val="center"/>
          </w:tcPr>
          <w:p w14:paraId="6CF141FA">
            <w:pPr>
              <w:jc w:val="right"/>
            </w:pPr>
            <w:r>
              <w:rPr>
                <w:rFonts w:hint="eastAsia"/>
              </w:rPr>
              <w:t>-</w:t>
            </w:r>
          </w:p>
        </w:tc>
      </w:tr>
      <w:tr w14:paraId="2EFD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C6071">
            <w:r>
              <w:rPr>
                <w:rFonts w:hint="eastAsia"/>
              </w:rPr>
              <w:t>2.托管费</w:t>
            </w:r>
          </w:p>
        </w:tc>
        <w:tc>
          <w:tcPr>
            <w:tcW w:w="2768" w:type="dxa"/>
            <w:vAlign w:val="center"/>
          </w:tcPr>
          <w:p w14:paraId="0C419323">
            <w:r>
              <w:rPr>
                <w:rFonts w:hint="eastAsia"/>
              </w:rPr>
              <w:t>7.4.10.2.2</w:t>
            </w:r>
          </w:p>
        </w:tc>
        <w:tc>
          <w:tcPr>
            <w:tcW w:w="2768" w:type="dxa"/>
            <w:vAlign w:val="center"/>
          </w:tcPr>
          <w:p w14:paraId="5DA4EA1B">
            <w:pPr>
              <w:jc w:val="right"/>
            </w:pPr>
            <w:r>
              <w:rPr>
                <w:rFonts w:hint="eastAsia"/>
              </w:rPr>
              <w:t>1,829,736.89</w:t>
            </w:r>
          </w:p>
        </w:tc>
      </w:tr>
      <w:tr w14:paraId="2B5D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E5C8C">
            <w:r>
              <w:rPr>
                <w:rFonts w:hint="eastAsia"/>
              </w:rPr>
              <w:t>3.销售服务费</w:t>
            </w:r>
          </w:p>
        </w:tc>
        <w:tc>
          <w:tcPr>
            <w:tcW w:w="2768" w:type="dxa"/>
            <w:vAlign w:val="center"/>
          </w:tcPr>
          <w:p w14:paraId="77650729">
            <w:r>
              <w:rPr>
                <w:rFonts w:hint="eastAsia"/>
              </w:rPr>
              <w:t>7.4.10.2.3</w:t>
            </w:r>
          </w:p>
        </w:tc>
        <w:tc>
          <w:tcPr>
            <w:tcW w:w="2768" w:type="dxa"/>
            <w:vAlign w:val="center"/>
          </w:tcPr>
          <w:p w14:paraId="3D41369E">
            <w:pPr>
              <w:jc w:val="right"/>
            </w:pPr>
            <w:r>
              <w:rPr>
                <w:rFonts w:hint="eastAsia"/>
              </w:rPr>
              <w:t>4,026,422.70</w:t>
            </w:r>
          </w:p>
        </w:tc>
      </w:tr>
      <w:tr w14:paraId="1DF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60C4B">
            <w:r>
              <w:rPr>
                <w:rFonts w:hint="eastAsia"/>
              </w:rPr>
              <w:t>4.投资顾问费</w:t>
            </w:r>
          </w:p>
        </w:tc>
        <w:tc>
          <w:tcPr>
            <w:tcW w:w="2768" w:type="dxa"/>
            <w:vAlign w:val="center"/>
          </w:tcPr>
          <w:p w14:paraId="4687EB89"/>
        </w:tc>
        <w:tc>
          <w:tcPr>
            <w:tcW w:w="2768" w:type="dxa"/>
            <w:vAlign w:val="center"/>
          </w:tcPr>
          <w:p w14:paraId="67CF55A0">
            <w:pPr>
              <w:jc w:val="right"/>
            </w:pPr>
            <w:r>
              <w:rPr>
                <w:rFonts w:hint="eastAsia"/>
              </w:rPr>
              <w:t>-</w:t>
            </w:r>
          </w:p>
        </w:tc>
      </w:tr>
      <w:tr w14:paraId="1FFC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D7E34">
            <w:r>
              <w:rPr>
                <w:rFonts w:hint="eastAsia"/>
              </w:rPr>
              <w:t>5.利息支出</w:t>
            </w:r>
          </w:p>
        </w:tc>
        <w:tc>
          <w:tcPr>
            <w:tcW w:w="2768" w:type="dxa"/>
            <w:vAlign w:val="center"/>
          </w:tcPr>
          <w:p w14:paraId="490B9DED"/>
        </w:tc>
        <w:tc>
          <w:tcPr>
            <w:tcW w:w="2768" w:type="dxa"/>
            <w:vAlign w:val="center"/>
          </w:tcPr>
          <w:p w14:paraId="02CEB9F2">
            <w:pPr>
              <w:jc w:val="right"/>
            </w:pPr>
            <w:r>
              <w:rPr>
                <w:rFonts w:hint="eastAsia"/>
              </w:rPr>
              <w:t>8,733.88</w:t>
            </w:r>
          </w:p>
        </w:tc>
      </w:tr>
      <w:tr w14:paraId="3C3F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72AB7">
            <w:r>
              <w:rPr>
                <w:rFonts w:hint="eastAsia"/>
              </w:rPr>
              <w:t>其中：卖出回购金融资产支出</w:t>
            </w:r>
          </w:p>
        </w:tc>
        <w:tc>
          <w:tcPr>
            <w:tcW w:w="2768" w:type="dxa"/>
            <w:vAlign w:val="center"/>
          </w:tcPr>
          <w:p w14:paraId="14EA412E"/>
        </w:tc>
        <w:tc>
          <w:tcPr>
            <w:tcW w:w="2768" w:type="dxa"/>
            <w:vAlign w:val="center"/>
          </w:tcPr>
          <w:p w14:paraId="5C109AB7">
            <w:pPr>
              <w:jc w:val="right"/>
            </w:pPr>
            <w:r>
              <w:rPr>
                <w:rFonts w:hint="eastAsia"/>
              </w:rPr>
              <w:t>8,733.88</w:t>
            </w:r>
          </w:p>
        </w:tc>
      </w:tr>
      <w:tr w14:paraId="2787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727B1">
            <w:r>
              <w:rPr>
                <w:rFonts w:hint="eastAsia"/>
              </w:rPr>
              <w:t>6.信用减值损失</w:t>
            </w:r>
          </w:p>
        </w:tc>
        <w:tc>
          <w:tcPr>
            <w:tcW w:w="2768" w:type="dxa"/>
            <w:vAlign w:val="center"/>
          </w:tcPr>
          <w:p w14:paraId="6232ACCF"/>
        </w:tc>
        <w:tc>
          <w:tcPr>
            <w:tcW w:w="2768" w:type="dxa"/>
            <w:vAlign w:val="center"/>
          </w:tcPr>
          <w:p w14:paraId="5DC5F95F">
            <w:pPr>
              <w:jc w:val="right"/>
            </w:pPr>
            <w:r>
              <w:rPr>
                <w:rFonts w:hint="eastAsia"/>
              </w:rPr>
              <w:t>-</w:t>
            </w:r>
          </w:p>
        </w:tc>
      </w:tr>
      <w:tr w14:paraId="7840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FE831">
            <w:r>
              <w:rPr>
                <w:rFonts w:hint="eastAsia"/>
              </w:rPr>
              <w:t>7.税金及附加</w:t>
            </w:r>
          </w:p>
        </w:tc>
        <w:tc>
          <w:tcPr>
            <w:tcW w:w="2768" w:type="dxa"/>
            <w:vAlign w:val="center"/>
          </w:tcPr>
          <w:p w14:paraId="5573F64D"/>
        </w:tc>
        <w:tc>
          <w:tcPr>
            <w:tcW w:w="2768" w:type="dxa"/>
            <w:vAlign w:val="center"/>
          </w:tcPr>
          <w:p w14:paraId="2A6569CE">
            <w:pPr>
              <w:jc w:val="right"/>
            </w:pPr>
            <w:r>
              <w:rPr>
                <w:rFonts w:hint="eastAsia"/>
              </w:rPr>
              <w:t>61,409.39</w:t>
            </w:r>
          </w:p>
        </w:tc>
      </w:tr>
      <w:tr w14:paraId="4524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F93D6">
            <w:r>
              <w:rPr>
                <w:rFonts w:hint="eastAsia"/>
              </w:rPr>
              <w:t>8.其他费用</w:t>
            </w:r>
          </w:p>
        </w:tc>
        <w:tc>
          <w:tcPr>
            <w:tcW w:w="2768" w:type="dxa"/>
            <w:vAlign w:val="center"/>
          </w:tcPr>
          <w:p w14:paraId="61D12CDD">
            <w:r>
              <w:rPr>
                <w:rFonts w:hint="eastAsia"/>
              </w:rPr>
              <w:t>7.4.7.19</w:t>
            </w:r>
          </w:p>
        </w:tc>
        <w:tc>
          <w:tcPr>
            <w:tcW w:w="2768" w:type="dxa"/>
            <w:vAlign w:val="center"/>
          </w:tcPr>
          <w:p w14:paraId="489C7B57">
            <w:pPr>
              <w:jc w:val="right"/>
            </w:pPr>
            <w:r>
              <w:rPr>
                <w:rFonts w:hint="eastAsia"/>
              </w:rPr>
              <w:t>97,917.62</w:t>
            </w:r>
          </w:p>
        </w:tc>
      </w:tr>
      <w:tr w14:paraId="1A6F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FD5A4">
            <w:r>
              <w:rPr>
                <w:rFonts w:hint="eastAsia"/>
              </w:rPr>
              <w:t>三、利润总额（亏损总额以“-”号填列）</w:t>
            </w:r>
          </w:p>
        </w:tc>
        <w:tc>
          <w:tcPr>
            <w:tcW w:w="2768" w:type="dxa"/>
            <w:vAlign w:val="center"/>
          </w:tcPr>
          <w:p w14:paraId="663A8C63"/>
        </w:tc>
        <w:tc>
          <w:tcPr>
            <w:tcW w:w="2768" w:type="dxa"/>
            <w:vAlign w:val="center"/>
          </w:tcPr>
          <w:p w14:paraId="3C61BF47">
            <w:pPr>
              <w:jc w:val="right"/>
            </w:pPr>
            <w:r>
              <w:rPr>
                <w:rFonts w:hint="eastAsia"/>
              </w:rPr>
              <w:t>58,124,639.99</w:t>
            </w:r>
          </w:p>
        </w:tc>
      </w:tr>
      <w:tr w14:paraId="463A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F21AC">
            <w:r>
              <w:rPr>
                <w:rFonts w:hint="eastAsia"/>
              </w:rPr>
              <w:t>减：所得税费用</w:t>
            </w:r>
          </w:p>
        </w:tc>
        <w:tc>
          <w:tcPr>
            <w:tcW w:w="2768" w:type="dxa"/>
            <w:vAlign w:val="center"/>
          </w:tcPr>
          <w:p w14:paraId="301880BC"/>
        </w:tc>
        <w:tc>
          <w:tcPr>
            <w:tcW w:w="2768" w:type="dxa"/>
            <w:vAlign w:val="center"/>
          </w:tcPr>
          <w:p w14:paraId="073FFC88">
            <w:pPr>
              <w:jc w:val="right"/>
            </w:pPr>
            <w:r>
              <w:rPr>
                <w:rFonts w:hint="eastAsia"/>
              </w:rPr>
              <w:t>-</w:t>
            </w:r>
          </w:p>
        </w:tc>
      </w:tr>
      <w:tr w14:paraId="0975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C9F9B">
            <w:r>
              <w:rPr>
                <w:rFonts w:hint="eastAsia"/>
              </w:rPr>
              <w:t>四、净利润（净亏损以“-”号填列）</w:t>
            </w:r>
          </w:p>
        </w:tc>
        <w:tc>
          <w:tcPr>
            <w:tcW w:w="2768" w:type="dxa"/>
            <w:vAlign w:val="center"/>
          </w:tcPr>
          <w:p w14:paraId="7BCB028D"/>
        </w:tc>
        <w:tc>
          <w:tcPr>
            <w:tcW w:w="2768" w:type="dxa"/>
            <w:vAlign w:val="center"/>
          </w:tcPr>
          <w:p w14:paraId="19D87A73">
            <w:pPr>
              <w:jc w:val="right"/>
            </w:pPr>
            <w:r>
              <w:rPr>
                <w:rFonts w:hint="eastAsia"/>
              </w:rPr>
              <w:t>58,124,639.99</w:t>
            </w:r>
          </w:p>
        </w:tc>
      </w:tr>
      <w:tr w14:paraId="6070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F96EB">
            <w:r>
              <w:rPr>
                <w:rFonts w:hint="eastAsia"/>
              </w:rPr>
              <w:t>五、其他综合收益的税后净额</w:t>
            </w:r>
          </w:p>
        </w:tc>
        <w:tc>
          <w:tcPr>
            <w:tcW w:w="2768" w:type="dxa"/>
            <w:vAlign w:val="center"/>
          </w:tcPr>
          <w:p w14:paraId="0F7AEBEC"/>
        </w:tc>
        <w:tc>
          <w:tcPr>
            <w:tcW w:w="2768" w:type="dxa"/>
            <w:vAlign w:val="center"/>
          </w:tcPr>
          <w:p w14:paraId="5B897527">
            <w:pPr>
              <w:jc w:val="right"/>
            </w:pPr>
            <w:r>
              <w:rPr>
                <w:rFonts w:hint="eastAsia"/>
              </w:rPr>
              <w:t>-</w:t>
            </w:r>
          </w:p>
        </w:tc>
      </w:tr>
      <w:tr w14:paraId="545E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BF20C">
            <w:r>
              <w:rPr>
                <w:rFonts w:hint="eastAsia"/>
              </w:rPr>
              <w:t>六、综合收益总额</w:t>
            </w:r>
          </w:p>
        </w:tc>
        <w:tc>
          <w:tcPr>
            <w:tcW w:w="2768" w:type="dxa"/>
            <w:vAlign w:val="center"/>
          </w:tcPr>
          <w:p w14:paraId="7CF3307E"/>
        </w:tc>
        <w:tc>
          <w:tcPr>
            <w:tcW w:w="2768" w:type="dxa"/>
            <w:vAlign w:val="center"/>
          </w:tcPr>
          <w:p w14:paraId="5D9FE8D7">
            <w:pPr>
              <w:jc w:val="right"/>
            </w:pPr>
            <w:r>
              <w:rPr>
                <w:rFonts w:hint="eastAsia"/>
              </w:rPr>
              <w:t>58,124,639.99</w:t>
            </w:r>
          </w:p>
        </w:tc>
      </w:tr>
    </w:tbl>
    <w:p w14:paraId="4B7F1ABE">
      <w:pPr>
        <w:pStyle w:val="23"/>
      </w:pPr>
      <w:bookmarkStart w:id="47" w:name="_Toc21878"/>
      <w:r>
        <w:t>净资产变动表</w:t>
      </w:r>
      <w:bookmarkEnd w:id="47"/>
    </w:p>
    <w:p w14:paraId="68A0689B">
      <w:pPr>
        <w:pStyle w:val="18"/>
        <w:rPr>
          <w:rFonts w:hint="eastAsia"/>
        </w:rPr>
      </w:pPr>
      <w:r>
        <w:rPr>
          <w:rFonts w:hint="eastAsia"/>
        </w:rPr>
        <w:t>会计主体：南方稳见3个月持有期混合型基金中基金（FOF）</w:t>
      </w:r>
    </w:p>
    <w:p w14:paraId="4985922F">
      <w:pPr>
        <w:pStyle w:val="18"/>
        <w:rPr>
          <w:rFonts w:hint="eastAsia"/>
        </w:rPr>
      </w:pPr>
      <w:r>
        <w:rPr>
          <w:rFonts w:hint="eastAsia"/>
        </w:rPr>
        <w:t>本报告期：2025年4月28日(基金合同生效日)至2025年12月31日</w:t>
      </w:r>
    </w:p>
    <w:p w14:paraId="25931E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4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E3FC73">
            <w:pPr>
              <w:jc w:val="center"/>
            </w:pPr>
            <w:r>
              <w:rPr>
                <w:rFonts w:hint="eastAsia"/>
                <w:b/>
              </w:rPr>
              <w:t>项目</w:t>
            </w:r>
          </w:p>
        </w:tc>
        <w:tc>
          <w:tcPr>
            <w:tcW w:w="1661" w:type="dxa"/>
            <w:gridSpan w:val="4"/>
            <w:shd w:val="clear" w:color="auto" w:fill="BFBFBF"/>
            <w:vAlign w:val="center"/>
          </w:tcPr>
          <w:p w14:paraId="5EBB30E4">
            <w:pPr>
              <w:jc w:val="center"/>
            </w:pPr>
            <w:r>
              <w:rPr>
                <w:rFonts w:hint="eastAsia"/>
                <w:b/>
              </w:rPr>
              <w:t>本期2025年4月28日（基金合同生效日）至2025年12月31日</w:t>
            </w:r>
          </w:p>
        </w:tc>
      </w:tr>
      <w:tr w14:paraId="4D56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5009B2"/>
        </w:tc>
        <w:tc>
          <w:tcPr>
            <w:tcW w:w="1661" w:type="dxa"/>
            <w:shd w:val="clear" w:color="auto" w:fill="BFBFBF"/>
            <w:vAlign w:val="center"/>
          </w:tcPr>
          <w:p w14:paraId="118A0EB7">
            <w:pPr>
              <w:jc w:val="center"/>
            </w:pPr>
            <w:r>
              <w:rPr>
                <w:rFonts w:hint="eastAsia"/>
                <w:b/>
              </w:rPr>
              <w:t>实收基金</w:t>
            </w:r>
          </w:p>
        </w:tc>
        <w:tc>
          <w:tcPr>
            <w:tcW w:w="1661" w:type="dxa"/>
            <w:shd w:val="clear" w:color="auto" w:fill="BFBFBF"/>
            <w:vAlign w:val="center"/>
          </w:tcPr>
          <w:p w14:paraId="62C4F0AF">
            <w:pPr>
              <w:jc w:val="center"/>
            </w:pPr>
            <w:r>
              <w:rPr>
                <w:rFonts w:hint="eastAsia"/>
                <w:b/>
              </w:rPr>
              <w:t>其他综合收益</w:t>
            </w:r>
          </w:p>
        </w:tc>
        <w:tc>
          <w:tcPr>
            <w:tcW w:w="1661" w:type="dxa"/>
            <w:shd w:val="clear" w:color="auto" w:fill="BFBFBF"/>
            <w:vAlign w:val="center"/>
          </w:tcPr>
          <w:p w14:paraId="48B162F3">
            <w:pPr>
              <w:jc w:val="center"/>
            </w:pPr>
            <w:r>
              <w:rPr>
                <w:rFonts w:hint="eastAsia"/>
                <w:b/>
              </w:rPr>
              <w:t>未分配利润</w:t>
            </w:r>
          </w:p>
        </w:tc>
        <w:tc>
          <w:tcPr>
            <w:tcW w:w="1661" w:type="dxa"/>
            <w:shd w:val="clear" w:color="auto" w:fill="BFBFBF"/>
            <w:vAlign w:val="center"/>
          </w:tcPr>
          <w:p w14:paraId="49B227C1">
            <w:pPr>
              <w:jc w:val="center"/>
            </w:pPr>
            <w:r>
              <w:rPr>
                <w:rFonts w:hint="eastAsia"/>
                <w:b/>
              </w:rPr>
              <w:t>净资产合计</w:t>
            </w:r>
          </w:p>
        </w:tc>
      </w:tr>
      <w:tr w14:paraId="1A82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24C1E3">
            <w:r>
              <w:rPr>
                <w:rFonts w:hint="eastAsia"/>
              </w:rPr>
              <w:t>一、上期期末净资产</w:t>
            </w:r>
          </w:p>
        </w:tc>
        <w:tc>
          <w:tcPr>
            <w:tcW w:w="1661" w:type="dxa"/>
            <w:vAlign w:val="center"/>
          </w:tcPr>
          <w:p w14:paraId="3787CE24">
            <w:pPr>
              <w:jc w:val="right"/>
            </w:pPr>
            <w:r>
              <w:rPr>
                <w:rFonts w:hint="eastAsia"/>
              </w:rPr>
              <w:t>-</w:t>
            </w:r>
          </w:p>
        </w:tc>
        <w:tc>
          <w:tcPr>
            <w:tcW w:w="1661" w:type="dxa"/>
            <w:vAlign w:val="center"/>
          </w:tcPr>
          <w:p w14:paraId="695472DB">
            <w:pPr>
              <w:jc w:val="right"/>
            </w:pPr>
            <w:r>
              <w:rPr>
                <w:rFonts w:hint="eastAsia"/>
              </w:rPr>
              <w:t>-</w:t>
            </w:r>
          </w:p>
        </w:tc>
        <w:tc>
          <w:tcPr>
            <w:tcW w:w="1661" w:type="dxa"/>
            <w:vAlign w:val="center"/>
          </w:tcPr>
          <w:p w14:paraId="636F0E8B">
            <w:pPr>
              <w:jc w:val="right"/>
            </w:pPr>
            <w:r>
              <w:rPr>
                <w:rFonts w:hint="eastAsia"/>
              </w:rPr>
              <w:t>-</w:t>
            </w:r>
          </w:p>
        </w:tc>
        <w:tc>
          <w:tcPr>
            <w:tcW w:w="1661" w:type="dxa"/>
            <w:vAlign w:val="center"/>
          </w:tcPr>
          <w:p w14:paraId="4538E218">
            <w:pPr>
              <w:jc w:val="right"/>
            </w:pPr>
            <w:r>
              <w:rPr>
                <w:rFonts w:hint="eastAsia"/>
              </w:rPr>
              <w:t>-</w:t>
            </w:r>
          </w:p>
        </w:tc>
      </w:tr>
      <w:tr w14:paraId="44BE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5CB67">
            <w:r>
              <w:rPr>
                <w:rFonts w:hint="eastAsia"/>
              </w:rPr>
              <w:t>加：会计政策变更</w:t>
            </w:r>
          </w:p>
        </w:tc>
        <w:tc>
          <w:tcPr>
            <w:tcW w:w="1661" w:type="dxa"/>
            <w:vAlign w:val="center"/>
          </w:tcPr>
          <w:p w14:paraId="23599ACD">
            <w:pPr>
              <w:jc w:val="right"/>
            </w:pPr>
            <w:r>
              <w:rPr>
                <w:rFonts w:hint="eastAsia"/>
              </w:rPr>
              <w:t>-</w:t>
            </w:r>
          </w:p>
        </w:tc>
        <w:tc>
          <w:tcPr>
            <w:tcW w:w="1661" w:type="dxa"/>
            <w:vAlign w:val="center"/>
          </w:tcPr>
          <w:p w14:paraId="10845518">
            <w:pPr>
              <w:jc w:val="right"/>
            </w:pPr>
            <w:r>
              <w:rPr>
                <w:rFonts w:hint="eastAsia"/>
              </w:rPr>
              <w:t>-</w:t>
            </w:r>
          </w:p>
        </w:tc>
        <w:tc>
          <w:tcPr>
            <w:tcW w:w="1661" w:type="dxa"/>
            <w:vAlign w:val="center"/>
          </w:tcPr>
          <w:p w14:paraId="771EB35D">
            <w:pPr>
              <w:jc w:val="right"/>
            </w:pPr>
            <w:r>
              <w:rPr>
                <w:rFonts w:hint="eastAsia"/>
              </w:rPr>
              <w:t>-</w:t>
            </w:r>
          </w:p>
        </w:tc>
        <w:tc>
          <w:tcPr>
            <w:tcW w:w="1661" w:type="dxa"/>
            <w:vAlign w:val="center"/>
          </w:tcPr>
          <w:p w14:paraId="0C50B8B4">
            <w:pPr>
              <w:jc w:val="right"/>
            </w:pPr>
            <w:r>
              <w:rPr>
                <w:rFonts w:hint="eastAsia"/>
              </w:rPr>
              <w:t>-</w:t>
            </w:r>
          </w:p>
        </w:tc>
      </w:tr>
      <w:tr w14:paraId="5BE8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5B66B">
            <w:r>
              <w:rPr>
                <w:rFonts w:hint="eastAsia"/>
              </w:rPr>
              <w:t xml:space="preserve">    前期差错更正</w:t>
            </w:r>
          </w:p>
        </w:tc>
        <w:tc>
          <w:tcPr>
            <w:tcW w:w="1661" w:type="dxa"/>
            <w:vAlign w:val="center"/>
          </w:tcPr>
          <w:p w14:paraId="778C170A">
            <w:pPr>
              <w:jc w:val="right"/>
            </w:pPr>
            <w:r>
              <w:rPr>
                <w:rFonts w:hint="eastAsia"/>
              </w:rPr>
              <w:t>-</w:t>
            </w:r>
          </w:p>
        </w:tc>
        <w:tc>
          <w:tcPr>
            <w:tcW w:w="1661" w:type="dxa"/>
            <w:vAlign w:val="center"/>
          </w:tcPr>
          <w:p w14:paraId="11CF8ED2">
            <w:pPr>
              <w:jc w:val="right"/>
            </w:pPr>
            <w:r>
              <w:rPr>
                <w:rFonts w:hint="eastAsia"/>
              </w:rPr>
              <w:t>-</w:t>
            </w:r>
          </w:p>
        </w:tc>
        <w:tc>
          <w:tcPr>
            <w:tcW w:w="1661" w:type="dxa"/>
            <w:vAlign w:val="center"/>
          </w:tcPr>
          <w:p w14:paraId="7F9EE4B9">
            <w:pPr>
              <w:jc w:val="right"/>
            </w:pPr>
            <w:r>
              <w:rPr>
                <w:rFonts w:hint="eastAsia"/>
              </w:rPr>
              <w:t>-</w:t>
            </w:r>
          </w:p>
        </w:tc>
        <w:tc>
          <w:tcPr>
            <w:tcW w:w="1661" w:type="dxa"/>
            <w:vAlign w:val="center"/>
          </w:tcPr>
          <w:p w14:paraId="4C3A87F5">
            <w:pPr>
              <w:jc w:val="right"/>
            </w:pPr>
            <w:r>
              <w:rPr>
                <w:rFonts w:hint="eastAsia"/>
              </w:rPr>
              <w:t>-</w:t>
            </w:r>
          </w:p>
        </w:tc>
      </w:tr>
      <w:tr w14:paraId="7FF9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0DD3C">
            <w:r>
              <w:rPr>
                <w:rFonts w:hint="eastAsia"/>
              </w:rPr>
              <w:t xml:space="preserve">    其他</w:t>
            </w:r>
          </w:p>
        </w:tc>
        <w:tc>
          <w:tcPr>
            <w:tcW w:w="1661" w:type="dxa"/>
            <w:vAlign w:val="center"/>
          </w:tcPr>
          <w:p w14:paraId="4C214B63">
            <w:pPr>
              <w:jc w:val="right"/>
            </w:pPr>
            <w:r>
              <w:rPr>
                <w:rFonts w:hint="eastAsia"/>
              </w:rPr>
              <w:t>-</w:t>
            </w:r>
          </w:p>
        </w:tc>
        <w:tc>
          <w:tcPr>
            <w:tcW w:w="1661" w:type="dxa"/>
            <w:vAlign w:val="center"/>
          </w:tcPr>
          <w:p w14:paraId="4E5503FB">
            <w:pPr>
              <w:jc w:val="right"/>
            </w:pPr>
            <w:r>
              <w:rPr>
                <w:rFonts w:hint="eastAsia"/>
              </w:rPr>
              <w:t>-</w:t>
            </w:r>
          </w:p>
        </w:tc>
        <w:tc>
          <w:tcPr>
            <w:tcW w:w="1661" w:type="dxa"/>
            <w:vAlign w:val="center"/>
          </w:tcPr>
          <w:p w14:paraId="32F4BFD9">
            <w:pPr>
              <w:jc w:val="right"/>
            </w:pPr>
            <w:r>
              <w:rPr>
                <w:rFonts w:hint="eastAsia"/>
              </w:rPr>
              <w:t>-</w:t>
            </w:r>
          </w:p>
        </w:tc>
        <w:tc>
          <w:tcPr>
            <w:tcW w:w="1661" w:type="dxa"/>
            <w:vAlign w:val="center"/>
          </w:tcPr>
          <w:p w14:paraId="09911D89">
            <w:pPr>
              <w:jc w:val="right"/>
            </w:pPr>
            <w:r>
              <w:rPr>
                <w:rFonts w:hint="eastAsia"/>
              </w:rPr>
              <w:t>-</w:t>
            </w:r>
          </w:p>
        </w:tc>
      </w:tr>
      <w:tr w14:paraId="7E2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1483C">
            <w:r>
              <w:rPr>
                <w:rFonts w:hint="eastAsia"/>
              </w:rPr>
              <w:t>二、本期期初净资产</w:t>
            </w:r>
          </w:p>
        </w:tc>
        <w:tc>
          <w:tcPr>
            <w:tcW w:w="1661" w:type="dxa"/>
            <w:vAlign w:val="center"/>
          </w:tcPr>
          <w:p w14:paraId="5E4B9B5E">
            <w:pPr>
              <w:jc w:val="right"/>
            </w:pPr>
            <w:r>
              <w:rPr>
                <w:rFonts w:hint="eastAsia"/>
              </w:rPr>
              <w:t>3,625,672,103.74</w:t>
            </w:r>
          </w:p>
        </w:tc>
        <w:tc>
          <w:tcPr>
            <w:tcW w:w="1661" w:type="dxa"/>
            <w:vAlign w:val="center"/>
          </w:tcPr>
          <w:p w14:paraId="514944A2">
            <w:pPr>
              <w:jc w:val="right"/>
            </w:pPr>
            <w:r>
              <w:rPr>
                <w:rFonts w:hint="eastAsia"/>
              </w:rPr>
              <w:t>-</w:t>
            </w:r>
          </w:p>
        </w:tc>
        <w:tc>
          <w:tcPr>
            <w:tcW w:w="1661" w:type="dxa"/>
            <w:vAlign w:val="center"/>
          </w:tcPr>
          <w:p w14:paraId="1BD45E4E">
            <w:pPr>
              <w:jc w:val="right"/>
            </w:pPr>
            <w:r>
              <w:rPr>
                <w:rFonts w:hint="eastAsia"/>
              </w:rPr>
              <w:t>-</w:t>
            </w:r>
          </w:p>
        </w:tc>
        <w:tc>
          <w:tcPr>
            <w:tcW w:w="1661" w:type="dxa"/>
            <w:vAlign w:val="center"/>
          </w:tcPr>
          <w:p w14:paraId="7C06B8AF">
            <w:pPr>
              <w:jc w:val="right"/>
            </w:pPr>
            <w:r>
              <w:rPr>
                <w:rFonts w:hint="eastAsia"/>
              </w:rPr>
              <w:t>3,625,672,103.74</w:t>
            </w:r>
          </w:p>
        </w:tc>
      </w:tr>
      <w:tr w14:paraId="7655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C7F62D">
            <w:r>
              <w:rPr>
                <w:rFonts w:hint="eastAsia"/>
              </w:rPr>
              <w:t>三、本期增减变动额（减少以“-”号填列）</w:t>
            </w:r>
          </w:p>
        </w:tc>
        <w:tc>
          <w:tcPr>
            <w:tcW w:w="1661" w:type="dxa"/>
            <w:vAlign w:val="center"/>
          </w:tcPr>
          <w:p w14:paraId="3E4ECDC8">
            <w:pPr>
              <w:jc w:val="right"/>
            </w:pPr>
            <w:r>
              <w:rPr>
                <w:rFonts w:hint="eastAsia"/>
              </w:rPr>
              <w:t>-2,080,861,735.18</w:t>
            </w:r>
          </w:p>
        </w:tc>
        <w:tc>
          <w:tcPr>
            <w:tcW w:w="1661" w:type="dxa"/>
            <w:vAlign w:val="center"/>
          </w:tcPr>
          <w:p w14:paraId="776DF939">
            <w:pPr>
              <w:jc w:val="right"/>
            </w:pPr>
            <w:r>
              <w:rPr>
                <w:rFonts w:hint="eastAsia"/>
              </w:rPr>
              <w:t>-</w:t>
            </w:r>
          </w:p>
        </w:tc>
        <w:tc>
          <w:tcPr>
            <w:tcW w:w="1661" w:type="dxa"/>
            <w:vAlign w:val="center"/>
          </w:tcPr>
          <w:p w14:paraId="24F95917">
            <w:pPr>
              <w:jc w:val="right"/>
            </w:pPr>
            <w:r>
              <w:rPr>
                <w:rFonts w:hint="eastAsia"/>
              </w:rPr>
              <w:t>32,990,272.37</w:t>
            </w:r>
          </w:p>
        </w:tc>
        <w:tc>
          <w:tcPr>
            <w:tcW w:w="1661" w:type="dxa"/>
            <w:vAlign w:val="center"/>
          </w:tcPr>
          <w:p w14:paraId="52E4F620">
            <w:pPr>
              <w:jc w:val="right"/>
            </w:pPr>
            <w:r>
              <w:rPr>
                <w:rFonts w:hint="eastAsia"/>
              </w:rPr>
              <w:t>-2,047,871,462.81</w:t>
            </w:r>
          </w:p>
        </w:tc>
      </w:tr>
      <w:tr w14:paraId="6E71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FD210">
            <w:r>
              <w:rPr>
                <w:rFonts w:hint="eastAsia"/>
              </w:rPr>
              <w:t>（一）、综合收益总额</w:t>
            </w:r>
          </w:p>
        </w:tc>
        <w:tc>
          <w:tcPr>
            <w:tcW w:w="1661" w:type="dxa"/>
            <w:vAlign w:val="center"/>
          </w:tcPr>
          <w:p w14:paraId="352FC2CC">
            <w:pPr>
              <w:jc w:val="right"/>
            </w:pPr>
            <w:r>
              <w:rPr>
                <w:rFonts w:hint="eastAsia"/>
              </w:rPr>
              <w:t>-</w:t>
            </w:r>
          </w:p>
        </w:tc>
        <w:tc>
          <w:tcPr>
            <w:tcW w:w="1661" w:type="dxa"/>
            <w:vAlign w:val="center"/>
          </w:tcPr>
          <w:p w14:paraId="35EA40B7">
            <w:pPr>
              <w:jc w:val="right"/>
            </w:pPr>
            <w:r>
              <w:rPr>
                <w:rFonts w:hint="eastAsia"/>
              </w:rPr>
              <w:t>-</w:t>
            </w:r>
          </w:p>
        </w:tc>
        <w:tc>
          <w:tcPr>
            <w:tcW w:w="1661" w:type="dxa"/>
            <w:vAlign w:val="center"/>
          </w:tcPr>
          <w:p w14:paraId="4684344F">
            <w:pPr>
              <w:jc w:val="right"/>
            </w:pPr>
            <w:r>
              <w:rPr>
                <w:rFonts w:hint="eastAsia"/>
              </w:rPr>
              <w:t>58,124,639.99</w:t>
            </w:r>
          </w:p>
        </w:tc>
        <w:tc>
          <w:tcPr>
            <w:tcW w:w="1661" w:type="dxa"/>
            <w:vAlign w:val="center"/>
          </w:tcPr>
          <w:p w14:paraId="3930935A">
            <w:pPr>
              <w:jc w:val="right"/>
            </w:pPr>
            <w:r>
              <w:rPr>
                <w:rFonts w:hint="eastAsia"/>
              </w:rPr>
              <w:t>58,124,639.99</w:t>
            </w:r>
          </w:p>
        </w:tc>
      </w:tr>
      <w:tr w14:paraId="7442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1AF213">
            <w:r>
              <w:rPr>
                <w:rFonts w:hint="eastAsia"/>
              </w:rPr>
              <w:t>（二）、本期基金份额交易产生的净资产变动数（净资产减少以“-”号填列）</w:t>
            </w:r>
          </w:p>
        </w:tc>
        <w:tc>
          <w:tcPr>
            <w:tcW w:w="1661" w:type="dxa"/>
            <w:vAlign w:val="center"/>
          </w:tcPr>
          <w:p w14:paraId="3BA682D6">
            <w:pPr>
              <w:jc w:val="right"/>
            </w:pPr>
            <w:r>
              <w:rPr>
                <w:rFonts w:hint="eastAsia"/>
              </w:rPr>
              <w:t>-2,080,861,735.18</w:t>
            </w:r>
          </w:p>
        </w:tc>
        <w:tc>
          <w:tcPr>
            <w:tcW w:w="1661" w:type="dxa"/>
            <w:vAlign w:val="center"/>
          </w:tcPr>
          <w:p w14:paraId="7982A321">
            <w:pPr>
              <w:jc w:val="right"/>
            </w:pPr>
            <w:r>
              <w:rPr>
                <w:rFonts w:hint="eastAsia"/>
              </w:rPr>
              <w:t>-</w:t>
            </w:r>
          </w:p>
        </w:tc>
        <w:tc>
          <w:tcPr>
            <w:tcW w:w="1661" w:type="dxa"/>
            <w:vAlign w:val="center"/>
          </w:tcPr>
          <w:p w14:paraId="71336665">
            <w:pPr>
              <w:jc w:val="right"/>
            </w:pPr>
            <w:r>
              <w:rPr>
                <w:rFonts w:hint="eastAsia"/>
              </w:rPr>
              <w:t>-25,134,367.62</w:t>
            </w:r>
          </w:p>
        </w:tc>
        <w:tc>
          <w:tcPr>
            <w:tcW w:w="1661" w:type="dxa"/>
            <w:vAlign w:val="center"/>
          </w:tcPr>
          <w:p w14:paraId="644609CE">
            <w:pPr>
              <w:jc w:val="right"/>
            </w:pPr>
            <w:r>
              <w:rPr>
                <w:rFonts w:hint="eastAsia"/>
              </w:rPr>
              <w:t>-2,105,996,102.80</w:t>
            </w:r>
          </w:p>
        </w:tc>
      </w:tr>
      <w:tr w14:paraId="1203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EABB3">
            <w:r>
              <w:rPr>
                <w:rFonts w:hint="eastAsia"/>
              </w:rPr>
              <w:t>其中：1.基金申购款</w:t>
            </w:r>
          </w:p>
        </w:tc>
        <w:tc>
          <w:tcPr>
            <w:tcW w:w="1661" w:type="dxa"/>
            <w:vAlign w:val="center"/>
          </w:tcPr>
          <w:p w14:paraId="32E80E6F">
            <w:pPr>
              <w:jc w:val="right"/>
            </w:pPr>
            <w:r>
              <w:rPr>
                <w:rFonts w:hint="eastAsia"/>
              </w:rPr>
              <w:t>213,875,935.16</w:t>
            </w:r>
          </w:p>
        </w:tc>
        <w:tc>
          <w:tcPr>
            <w:tcW w:w="1661" w:type="dxa"/>
            <w:vAlign w:val="center"/>
          </w:tcPr>
          <w:p w14:paraId="3B6C3398">
            <w:pPr>
              <w:jc w:val="right"/>
            </w:pPr>
            <w:r>
              <w:rPr>
                <w:rFonts w:hint="eastAsia"/>
              </w:rPr>
              <w:t>-</w:t>
            </w:r>
          </w:p>
        </w:tc>
        <w:tc>
          <w:tcPr>
            <w:tcW w:w="1661" w:type="dxa"/>
            <w:vAlign w:val="center"/>
          </w:tcPr>
          <w:p w14:paraId="2F6E95E1">
            <w:pPr>
              <w:jc w:val="right"/>
            </w:pPr>
            <w:r>
              <w:rPr>
                <w:rFonts w:hint="eastAsia"/>
              </w:rPr>
              <w:t>3,979,228.55</w:t>
            </w:r>
          </w:p>
        </w:tc>
        <w:tc>
          <w:tcPr>
            <w:tcW w:w="1661" w:type="dxa"/>
            <w:vAlign w:val="center"/>
          </w:tcPr>
          <w:p w14:paraId="279593FE">
            <w:pPr>
              <w:jc w:val="right"/>
            </w:pPr>
            <w:r>
              <w:rPr>
                <w:rFonts w:hint="eastAsia"/>
              </w:rPr>
              <w:t>217,855,163.71</w:t>
            </w:r>
          </w:p>
        </w:tc>
      </w:tr>
      <w:tr w14:paraId="34DD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8B8F4">
            <w:r>
              <w:rPr>
                <w:rFonts w:hint="eastAsia"/>
              </w:rPr>
              <w:t xml:space="preserve">      2.基金赎回款</w:t>
            </w:r>
          </w:p>
        </w:tc>
        <w:tc>
          <w:tcPr>
            <w:tcW w:w="1661" w:type="dxa"/>
            <w:vAlign w:val="center"/>
          </w:tcPr>
          <w:p w14:paraId="63BBA958">
            <w:pPr>
              <w:jc w:val="right"/>
            </w:pPr>
            <w:r>
              <w:rPr>
                <w:rFonts w:hint="eastAsia"/>
              </w:rPr>
              <w:t>-2,294,737,670.34</w:t>
            </w:r>
          </w:p>
        </w:tc>
        <w:tc>
          <w:tcPr>
            <w:tcW w:w="1661" w:type="dxa"/>
            <w:vAlign w:val="center"/>
          </w:tcPr>
          <w:p w14:paraId="2E5AC61E">
            <w:pPr>
              <w:jc w:val="right"/>
            </w:pPr>
            <w:r>
              <w:rPr>
                <w:rFonts w:hint="eastAsia"/>
              </w:rPr>
              <w:t>-</w:t>
            </w:r>
          </w:p>
        </w:tc>
        <w:tc>
          <w:tcPr>
            <w:tcW w:w="1661" w:type="dxa"/>
            <w:vAlign w:val="center"/>
          </w:tcPr>
          <w:p w14:paraId="27FC13C6">
            <w:pPr>
              <w:jc w:val="right"/>
            </w:pPr>
            <w:r>
              <w:rPr>
                <w:rFonts w:hint="eastAsia"/>
              </w:rPr>
              <w:t>-29,113,596.17</w:t>
            </w:r>
          </w:p>
        </w:tc>
        <w:tc>
          <w:tcPr>
            <w:tcW w:w="1661" w:type="dxa"/>
            <w:vAlign w:val="center"/>
          </w:tcPr>
          <w:p w14:paraId="11C04B3C">
            <w:pPr>
              <w:jc w:val="right"/>
            </w:pPr>
            <w:r>
              <w:rPr>
                <w:rFonts w:hint="eastAsia"/>
              </w:rPr>
              <w:t>-2,323,851,266.51</w:t>
            </w:r>
          </w:p>
        </w:tc>
      </w:tr>
      <w:tr w14:paraId="3B73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090E4B">
            <w:r>
              <w:rPr>
                <w:rFonts w:hint="eastAsia"/>
              </w:rPr>
              <w:t>（三）、本期向基金份额持有人分配利润产生的净资产变动（净资产减少以“-”号填列）</w:t>
            </w:r>
          </w:p>
        </w:tc>
        <w:tc>
          <w:tcPr>
            <w:tcW w:w="1661" w:type="dxa"/>
            <w:vAlign w:val="center"/>
          </w:tcPr>
          <w:p w14:paraId="2D7EEE60">
            <w:pPr>
              <w:jc w:val="right"/>
            </w:pPr>
            <w:r>
              <w:rPr>
                <w:rFonts w:hint="eastAsia"/>
              </w:rPr>
              <w:t>-</w:t>
            </w:r>
          </w:p>
        </w:tc>
        <w:tc>
          <w:tcPr>
            <w:tcW w:w="1661" w:type="dxa"/>
            <w:vAlign w:val="center"/>
          </w:tcPr>
          <w:p w14:paraId="4C45B72B">
            <w:pPr>
              <w:jc w:val="right"/>
            </w:pPr>
            <w:r>
              <w:rPr>
                <w:rFonts w:hint="eastAsia"/>
              </w:rPr>
              <w:t>-</w:t>
            </w:r>
          </w:p>
        </w:tc>
        <w:tc>
          <w:tcPr>
            <w:tcW w:w="1661" w:type="dxa"/>
            <w:vAlign w:val="center"/>
          </w:tcPr>
          <w:p w14:paraId="65D9609E">
            <w:pPr>
              <w:jc w:val="right"/>
            </w:pPr>
            <w:r>
              <w:rPr>
                <w:rFonts w:hint="eastAsia"/>
              </w:rPr>
              <w:t>-</w:t>
            </w:r>
          </w:p>
        </w:tc>
        <w:tc>
          <w:tcPr>
            <w:tcW w:w="1661" w:type="dxa"/>
            <w:vAlign w:val="center"/>
          </w:tcPr>
          <w:p w14:paraId="69F96F3A">
            <w:pPr>
              <w:jc w:val="right"/>
            </w:pPr>
            <w:r>
              <w:rPr>
                <w:rFonts w:hint="eastAsia"/>
              </w:rPr>
              <w:t>-</w:t>
            </w:r>
          </w:p>
        </w:tc>
      </w:tr>
      <w:tr w14:paraId="0F35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9B25F">
            <w:r>
              <w:rPr>
                <w:rFonts w:hint="eastAsia"/>
              </w:rPr>
              <w:t>（四）、其他综合收益结转留存收益</w:t>
            </w:r>
          </w:p>
        </w:tc>
        <w:tc>
          <w:tcPr>
            <w:tcW w:w="1661" w:type="dxa"/>
            <w:vAlign w:val="center"/>
          </w:tcPr>
          <w:p w14:paraId="4F9ED3A9">
            <w:pPr>
              <w:jc w:val="right"/>
            </w:pPr>
            <w:r>
              <w:rPr>
                <w:rFonts w:hint="eastAsia"/>
              </w:rPr>
              <w:t>-</w:t>
            </w:r>
          </w:p>
        </w:tc>
        <w:tc>
          <w:tcPr>
            <w:tcW w:w="1661" w:type="dxa"/>
            <w:vAlign w:val="center"/>
          </w:tcPr>
          <w:p w14:paraId="31368DFE">
            <w:pPr>
              <w:jc w:val="right"/>
            </w:pPr>
            <w:r>
              <w:rPr>
                <w:rFonts w:hint="eastAsia"/>
              </w:rPr>
              <w:t>-</w:t>
            </w:r>
          </w:p>
        </w:tc>
        <w:tc>
          <w:tcPr>
            <w:tcW w:w="1661" w:type="dxa"/>
            <w:vAlign w:val="center"/>
          </w:tcPr>
          <w:p w14:paraId="778498AB">
            <w:pPr>
              <w:jc w:val="right"/>
            </w:pPr>
            <w:r>
              <w:rPr>
                <w:rFonts w:hint="eastAsia"/>
              </w:rPr>
              <w:t>-</w:t>
            </w:r>
          </w:p>
        </w:tc>
        <w:tc>
          <w:tcPr>
            <w:tcW w:w="1661" w:type="dxa"/>
            <w:vAlign w:val="center"/>
          </w:tcPr>
          <w:p w14:paraId="79DAF688">
            <w:pPr>
              <w:jc w:val="right"/>
            </w:pPr>
            <w:r>
              <w:rPr>
                <w:rFonts w:hint="eastAsia"/>
              </w:rPr>
              <w:t>-</w:t>
            </w:r>
          </w:p>
        </w:tc>
      </w:tr>
      <w:tr w14:paraId="2E8D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84BA5">
            <w:r>
              <w:rPr>
                <w:rFonts w:hint="eastAsia"/>
              </w:rPr>
              <w:t>四、本期期末净资产</w:t>
            </w:r>
          </w:p>
        </w:tc>
        <w:tc>
          <w:tcPr>
            <w:tcW w:w="1661" w:type="dxa"/>
            <w:vAlign w:val="center"/>
          </w:tcPr>
          <w:p w14:paraId="2573F540">
            <w:pPr>
              <w:jc w:val="right"/>
            </w:pPr>
            <w:r>
              <w:rPr>
                <w:rFonts w:hint="eastAsia"/>
              </w:rPr>
              <w:t>1,544,810,368.56</w:t>
            </w:r>
          </w:p>
        </w:tc>
        <w:tc>
          <w:tcPr>
            <w:tcW w:w="1661" w:type="dxa"/>
            <w:vAlign w:val="center"/>
          </w:tcPr>
          <w:p w14:paraId="2B6459B5">
            <w:pPr>
              <w:jc w:val="right"/>
            </w:pPr>
            <w:r>
              <w:rPr>
                <w:rFonts w:hint="eastAsia"/>
              </w:rPr>
              <w:t>-</w:t>
            </w:r>
          </w:p>
        </w:tc>
        <w:tc>
          <w:tcPr>
            <w:tcW w:w="1661" w:type="dxa"/>
            <w:vAlign w:val="center"/>
          </w:tcPr>
          <w:p w14:paraId="7E5D87C4">
            <w:pPr>
              <w:jc w:val="right"/>
            </w:pPr>
            <w:r>
              <w:rPr>
                <w:rFonts w:hint="eastAsia"/>
              </w:rPr>
              <w:t>32,990,272.37</w:t>
            </w:r>
          </w:p>
        </w:tc>
        <w:tc>
          <w:tcPr>
            <w:tcW w:w="1661" w:type="dxa"/>
            <w:vAlign w:val="center"/>
          </w:tcPr>
          <w:p w14:paraId="5D54D33C">
            <w:pPr>
              <w:jc w:val="right"/>
            </w:pPr>
            <w:r>
              <w:rPr>
                <w:rFonts w:hint="eastAsia"/>
              </w:rPr>
              <w:t>1,577,800,640.93</w:t>
            </w:r>
          </w:p>
        </w:tc>
      </w:tr>
    </w:tbl>
    <w:p w14:paraId="4618A5E2">
      <w:pPr>
        <w:pStyle w:val="18"/>
        <w:rPr>
          <w:rFonts w:hint="eastAsia"/>
        </w:rPr>
      </w:pPr>
      <w:r>
        <w:rPr>
          <w:rFonts w:hint="eastAsia"/>
        </w:rPr>
        <w:t>报表附注为财务报表的组成部分。</w:t>
      </w:r>
    </w:p>
    <w:p w14:paraId="6C34FF22">
      <w:pPr>
        <w:pStyle w:val="18"/>
        <w:rPr>
          <w:rFonts w:hint="eastAsia"/>
        </w:rPr>
      </w:pPr>
      <w:r>
        <w:rPr>
          <w:rFonts w:hint="eastAsia"/>
        </w:rPr>
        <w:t>本报告 7.1 至 7.4 财务报表由下列负责人签署：</w:t>
      </w:r>
    </w:p>
    <w:p w14:paraId="2F4178F7">
      <w:pPr>
        <w:pStyle w:val="18"/>
        <w:rPr>
          <w:rFonts w:hint="eastAsia"/>
        </w:rPr>
      </w:pPr>
      <w:r>
        <w:rPr>
          <w:rFonts w:hint="eastAsia"/>
        </w:rPr>
        <w:t>____杨小松___           ____蔡忠评______          ____徐超____</w:t>
      </w:r>
    </w:p>
    <w:p w14:paraId="28157C2C">
      <w:pPr>
        <w:pStyle w:val="18"/>
        <w:rPr>
          <w:rFonts w:hint="eastAsia"/>
        </w:rPr>
      </w:pPr>
      <w:r>
        <w:rPr>
          <w:rFonts w:hint="eastAsia"/>
        </w:rPr>
        <w:t>基金管理人负责人     主管会计工作负责人         会计机构负责人</w:t>
      </w:r>
    </w:p>
    <w:p w14:paraId="0BE0AC9B">
      <w:pPr>
        <w:pStyle w:val="23"/>
      </w:pPr>
      <w:bookmarkStart w:id="48" w:name="_Toc26037"/>
      <w:r>
        <w:t>报表附注</w:t>
      </w:r>
      <w:bookmarkEnd w:id="48"/>
      <w:r>
        <w:t xml:space="preserve"> </w:t>
      </w:r>
    </w:p>
    <w:p w14:paraId="55281AA6">
      <w:pPr>
        <w:pStyle w:val="28"/>
      </w:pPr>
      <w:bookmarkStart w:id="49" w:name="_Toc49"/>
      <w:r>
        <w:t>基金基本情况</w:t>
      </w:r>
      <w:bookmarkEnd w:id="49"/>
    </w:p>
    <w:p w14:paraId="6A52378B">
      <w:pPr>
        <w:pStyle w:val="18"/>
        <w:rPr>
          <w:rFonts w:hint="eastAsia"/>
        </w:rPr>
      </w:pPr>
      <w:r>
        <w:rPr>
          <w:rFonts w:hint="eastAsia"/>
        </w:rPr>
        <w:t>南方稳见3个月持有期混合型基金中基金(FOF)(以下简称“本基金”)经中国证券监督管理委员会(以下简称“中国证监会”)证监许可[2024]1467号《关于准予南方稳见3个月持有期混合型基金中基金(FOF)注册的批复》注册，由南方基金管理股份有限公司依照《中华人民共和国证券投资基金法》和《南方稳见3个月持有期混合型基金中基金(FOF)基金合同》负责公开募集。本基金为契约型开放式，存续期限不定，首次设立募集不包括认购资金利息共募集3,624,309,051.30元，经德勤华永会计师事务所(特殊普通合伙)德师报(验)字(25)第00118号验资报告予以验证。经向中国证监会备案，《南方稳见3个月持有期混合型基金中基金(FOF)基金合同》于2025年4月28日正式生效，基金合同生效日的基金份额总额为3,625,672,103.74份，其中认购资金利息折合1,363,052.44份基金份额。本基金的基金管理人为南方基金管理股份有限公司，基金托管人为招商银行股份有限公司。</w:t>
      </w:r>
    </w:p>
    <w:p w14:paraId="38B3B158">
      <w:pPr>
        <w:pStyle w:val="18"/>
        <w:rPr>
          <w:rFonts w:hint="eastAsia"/>
        </w:rPr>
      </w:pPr>
      <w:r>
        <w:rPr>
          <w:rFonts w:hint="eastAsia"/>
        </w:rPr>
        <w:t>本基金自基金合同生效后，每个开放日开放申购，但投资人每笔认购/申购的基金份额需至少持有满3个月，在3个月锁定期内不能提出赎回申请。对于每份基金份额，锁定期指从基金合同生效日(对认购份额而言，下同)或基金份额申购申请日(对申购份额而言，下同)起，至基金合同生效日或基金份额申购申请日3个月后的月度对日的前一日。在锁定期内基金份额持有人不能提出赎回申请，锁定期届满后的下一个工作日起可以提出赎回申请。</w:t>
      </w:r>
    </w:p>
    <w:p w14:paraId="5868CAF0">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48403D3">
      <w:pPr>
        <w:pStyle w:val="18"/>
        <w:rPr>
          <w:rFonts w:hint="eastAsia"/>
        </w:rPr>
      </w:pPr>
      <w:r>
        <w:rPr>
          <w:rFonts w:hint="eastAsia"/>
        </w:rPr>
        <w:t>根据《中华人民共和国证券投资基金法》和《南方稳见3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以下简称“公募REITs”))、股票(包含主板、创业板及其他经中国证监会核准或注册上市的股票、存托凭证(下同)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如法律法规或监管机构以后允许基金投资其他品种，基金管理人在履行适当程序后，可以将其纳入投资范围。基金的投资组合比例为：80%以上基金资产投资于其他经中国证监会依法核准或注册的公开募集的基金份额(含QDII、香港互认基金、公募REITs)。基金投资于股票(含存托凭证)、股票型基金、混合型基金(指基金合同中约定股票投资占基金资产的比例为60%以上或者最近四个季度披露的股票投资占基金资产的比例均在60%以上的混合型基金)、商品基金(含商品期货基金和黄金ETF)、可转换债券和可交换债券的比例为0-30%，本基金投资于港股通标的股票的比例不超过股票资产的50%。本基金投资于QDII基金和香港互认基金的比例不超过基金资产的20%。货币市场基金投资占基金资产比例不超过15%。本基金保留的现金或到期日在一年以内的政府债券的比例合计不低于基金资产净值的5%，其中现金不包括结算备付金、存出保证金、应收申购款等。本基金的业绩比较基准为：中证普通债券型基金指数收益率×80%+中证偏股型基金指数收益率×15%+银行活期存款利率(税后)×5%。</w:t>
      </w:r>
    </w:p>
    <w:p w14:paraId="382D7F91">
      <w:pPr>
        <w:pStyle w:val="18"/>
        <w:rPr>
          <w:rFonts w:hint="eastAsia"/>
        </w:rPr>
      </w:pPr>
      <w:r>
        <w:rPr>
          <w:rFonts w:hint="eastAsia"/>
        </w:rPr>
        <w:t>本财务报表由本基金的基金管理人南方基金管理股份有限公司于2026年3月27日批准报出。</w:t>
      </w:r>
    </w:p>
    <w:p w14:paraId="5B8425A4">
      <w:pPr>
        <w:pStyle w:val="28"/>
      </w:pPr>
      <w:bookmarkStart w:id="50" w:name="_Toc50"/>
      <w:r>
        <w:t xml:space="preserve"> 会计报表的编制基础 </w:t>
      </w:r>
      <w:bookmarkEnd w:id="50"/>
    </w:p>
    <w:p w14:paraId="20DE3C2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D7BE8FF">
      <w:pPr>
        <w:pStyle w:val="18"/>
        <w:rPr>
          <w:rFonts w:hint="eastAsia"/>
        </w:rPr>
      </w:pPr>
      <w:r>
        <w:rPr>
          <w:rFonts w:hint="eastAsia"/>
        </w:rPr>
        <w:t>本财务报表以持续经营为基础编制。</w:t>
      </w:r>
    </w:p>
    <w:p w14:paraId="1152F0B4">
      <w:pPr>
        <w:pStyle w:val="28"/>
      </w:pPr>
      <w:bookmarkStart w:id="51" w:name="_Toc51"/>
      <w:r>
        <w:t xml:space="preserve"> 遵循企业会计准则及其他有关规定的声明</w:t>
      </w:r>
      <w:bookmarkEnd w:id="51"/>
    </w:p>
    <w:p w14:paraId="460BCCD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4月28日(基金合同生效日)至2025年12月31日止期间的经营成果和净资产变动情况。</w:t>
      </w:r>
    </w:p>
    <w:p w14:paraId="36ED6039">
      <w:pPr>
        <w:pStyle w:val="28"/>
      </w:pPr>
      <w:bookmarkStart w:id="52" w:name="_Toc52"/>
      <w:r>
        <w:t xml:space="preserve">重要会计政策和会计估计 </w:t>
      </w:r>
      <w:bookmarkEnd w:id="52"/>
    </w:p>
    <w:p w14:paraId="607D667C">
      <w:pPr>
        <w:pStyle w:val="35"/>
      </w:pPr>
      <w:bookmarkStart w:id="53" w:name="_Toc53"/>
      <w:r>
        <w:t>会计年度</w:t>
      </w:r>
      <w:bookmarkEnd w:id="53"/>
    </w:p>
    <w:p w14:paraId="2F2029DC">
      <w:pPr>
        <w:pStyle w:val="18"/>
        <w:rPr>
          <w:rFonts w:hint="eastAsia"/>
        </w:rPr>
      </w:pPr>
      <w:r>
        <w:rPr>
          <w:rFonts w:hint="eastAsia"/>
        </w:rPr>
        <w:t>本基金的会计年度为公历年度，即每年1月1日起至12月31日止。本财务报表的实际编制期间为2025年4月28日(基金合同生效日)至2025年12月31日止期间。</w:t>
      </w:r>
    </w:p>
    <w:p w14:paraId="3D091CF1">
      <w:pPr>
        <w:pStyle w:val="35"/>
      </w:pPr>
      <w:bookmarkStart w:id="54" w:name="_Toc54"/>
      <w:r>
        <w:t>记账本位币</w:t>
      </w:r>
      <w:bookmarkEnd w:id="54"/>
    </w:p>
    <w:p w14:paraId="6C78ECDC">
      <w:pPr>
        <w:pStyle w:val="18"/>
        <w:rPr>
          <w:rFonts w:hint="eastAsia"/>
        </w:rPr>
      </w:pPr>
      <w:r>
        <w:rPr>
          <w:rFonts w:hint="eastAsia"/>
        </w:rPr>
        <w:t>本基金以人民币为记账本位币。</w:t>
      </w:r>
    </w:p>
    <w:p w14:paraId="606F0560">
      <w:pPr>
        <w:pStyle w:val="35"/>
      </w:pPr>
      <w:bookmarkStart w:id="55" w:name="_Toc55"/>
      <w:r>
        <w:t>金融资产和金融负债的分类</w:t>
      </w:r>
      <w:bookmarkEnd w:id="55"/>
    </w:p>
    <w:p w14:paraId="4DBA5A85">
      <w:pPr>
        <w:pStyle w:val="18"/>
        <w:rPr>
          <w:rFonts w:hint="eastAsia"/>
        </w:rPr>
      </w:pPr>
      <w:r>
        <w:rPr>
          <w:rFonts w:hint="eastAsia"/>
        </w:rPr>
        <w:t>(1)金融资产的分类</w:t>
      </w:r>
    </w:p>
    <w:p w14:paraId="05745A6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BD2964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4E56B1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B989DF0">
      <w:pPr>
        <w:pStyle w:val="18"/>
        <w:rPr>
          <w:rFonts w:hint="eastAsia"/>
        </w:rPr>
      </w:pPr>
      <w:r>
        <w:rPr>
          <w:rFonts w:hint="eastAsia"/>
        </w:rPr>
        <w:t>(2)金融负债的分类</w:t>
      </w:r>
    </w:p>
    <w:p w14:paraId="0F73DC95">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EC4F104">
      <w:pPr>
        <w:pStyle w:val="18"/>
        <w:rPr>
          <w:rFonts w:hint="eastAsia"/>
        </w:rPr>
      </w:pPr>
      <w:r>
        <w:rPr>
          <w:rFonts w:hint="eastAsia"/>
        </w:rPr>
        <w:t>其他金融负债包括各类应付款项、卖出回购金融资产款等。</w:t>
      </w:r>
    </w:p>
    <w:p w14:paraId="07545B69">
      <w:pPr>
        <w:pStyle w:val="35"/>
      </w:pPr>
      <w:bookmarkStart w:id="56" w:name="_Toc56"/>
      <w:r>
        <w:t xml:space="preserve">金融资产和金融负债的初始确认、后续计量和终止确认 </w:t>
      </w:r>
      <w:bookmarkEnd w:id="56"/>
    </w:p>
    <w:p w14:paraId="08F31EA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3B3B8E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0CC80B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D40C968">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BF22E6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8518B6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9170995">
      <w:pPr>
        <w:pStyle w:val="35"/>
      </w:pPr>
      <w:bookmarkStart w:id="57" w:name="_Toc57"/>
      <w:r>
        <w:t>金融资产和金融负债的估值原则</w:t>
      </w:r>
      <w:bookmarkEnd w:id="57"/>
    </w:p>
    <w:p w14:paraId="26244D8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CCECF8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ACB103F">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738FA9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3213668">
      <w:pPr>
        <w:pStyle w:val="35"/>
      </w:pPr>
      <w:bookmarkStart w:id="58" w:name="_Toc58"/>
      <w:r>
        <w:t>金融资产和金融负债的抵销</w:t>
      </w:r>
      <w:bookmarkEnd w:id="58"/>
    </w:p>
    <w:p w14:paraId="5CC902B7">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9377EDA">
      <w:pPr>
        <w:pStyle w:val="35"/>
      </w:pPr>
      <w:bookmarkStart w:id="59" w:name="_Toc59"/>
      <w:r>
        <w:t>实收基金</w:t>
      </w:r>
      <w:bookmarkEnd w:id="59"/>
    </w:p>
    <w:p w14:paraId="5849C43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8F7AF67">
      <w:pPr>
        <w:pStyle w:val="35"/>
      </w:pPr>
      <w:bookmarkStart w:id="60" w:name="_Toc60"/>
      <w:r>
        <w:t>损益平准金</w:t>
      </w:r>
      <w:bookmarkEnd w:id="60"/>
    </w:p>
    <w:p w14:paraId="7A2F3A6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C3FD89D">
      <w:pPr>
        <w:pStyle w:val="35"/>
      </w:pPr>
      <w:bookmarkStart w:id="61" w:name="_Toc61"/>
      <w:r>
        <w:t>收入/（损失）的确认和计量</w:t>
      </w:r>
      <w:bookmarkEnd w:id="61"/>
    </w:p>
    <w:p w14:paraId="14F6727C">
      <w:pPr>
        <w:pStyle w:val="18"/>
        <w:rPr>
          <w:rFonts w:hint="eastAsia"/>
        </w:rPr>
      </w:pPr>
      <w:r>
        <w:rPr>
          <w:rFonts w:hint="eastAsia"/>
        </w:rPr>
        <w:t>(1)利息收入</w:t>
      </w:r>
    </w:p>
    <w:p w14:paraId="0E5F18C0">
      <w:pPr>
        <w:pStyle w:val="18"/>
        <w:rPr>
          <w:rFonts w:hint="eastAsia"/>
        </w:rPr>
      </w:pPr>
      <w:r>
        <w:rPr>
          <w:rFonts w:hint="eastAsia"/>
        </w:rPr>
        <w:t>存款利息收入按存款的本金与适用利率逐日计提。</w:t>
      </w:r>
    </w:p>
    <w:p w14:paraId="0AF8FA17">
      <w:pPr>
        <w:pStyle w:val="18"/>
        <w:rPr>
          <w:rFonts w:hint="eastAsia"/>
        </w:rPr>
      </w:pPr>
      <w:r>
        <w:rPr>
          <w:rFonts w:hint="eastAsia"/>
        </w:rPr>
        <w:t>买入返售金融资产收入按买入返售金融资产的摊余成本在返售期内以实际利率法逐日计提。</w:t>
      </w:r>
    </w:p>
    <w:p w14:paraId="0170EE15">
      <w:pPr>
        <w:pStyle w:val="18"/>
        <w:rPr>
          <w:rFonts w:hint="eastAsia"/>
        </w:rPr>
      </w:pPr>
      <w:r>
        <w:rPr>
          <w:rFonts w:hint="eastAsia"/>
        </w:rPr>
        <w:t>(2)投资收益</w:t>
      </w:r>
    </w:p>
    <w:p w14:paraId="1B4184F4">
      <w:pPr>
        <w:pStyle w:val="18"/>
        <w:rPr>
          <w:rFonts w:hint="eastAsia"/>
        </w:rPr>
      </w:pPr>
      <w:r>
        <w:rPr>
          <w:rFonts w:hint="eastAsia"/>
        </w:rPr>
        <w:t>股票投资收益为卖出股票交易日的成交总额扣除应结转的股票投资成本与相关交易费用的差额确认。</w:t>
      </w:r>
    </w:p>
    <w:p w14:paraId="35DB639C">
      <w:pPr>
        <w:pStyle w:val="18"/>
        <w:rPr>
          <w:rFonts w:hint="eastAsia"/>
        </w:rPr>
      </w:pPr>
      <w:r>
        <w:rPr>
          <w:rFonts w:hint="eastAsia"/>
        </w:rPr>
        <w:t>基金投资收益于卖出基金成交日确认，并按卖出基金成交金额扣除应结转的基金投资成本与相关交易费用后的差额入账。</w:t>
      </w:r>
    </w:p>
    <w:p w14:paraId="0D928DF6">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65CF69B">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B0472D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B412B69">
      <w:pPr>
        <w:pStyle w:val="18"/>
        <w:rPr>
          <w:rFonts w:hint="eastAsia"/>
        </w:rPr>
      </w:pPr>
      <w:r>
        <w:rPr>
          <w:rFonts w:hint="eastAsia"/>
        </w:rPr>
        <w:t>基金投资在持有期间应取得的红利于除权(息)日确认为投资收益。</w:t>
      </w:r>
    </w:p>
    <w:p w14:paraId="2CB62D2A">
      <w:pPr>
        <w:pStyle w:val="18"/>
        <w:rPr>
          <w:rFonts w:hint="eastAsia"/>
        </w:rPr>
      </w:pPr>
      <w:r>
        <w:rPr>
          <w:rFonts w:hint="eastAsia"/>
        </w:rPr>
        <w:t>(3)公允价值变动收益</w:t>
      </w:r>
    </w:p>
    <w:p w14:paraId="4377FA3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E113BE4">
      <w:pPr>
        <w:pStyle w:val="18"/>
        <w:rPr>
          <w:rFonts w:hint="eastAsia"/>
        </w:rPr>
      </w:pPr>
      <w:r>
        <w:rPr>
          <w:rFonts w:hint="eastAsia"/>
        </w:rPr>
        <w:t>(4)信用减值损失</w:t>
      </w:r>
    </w:p>
    <w:p w14:paraId="512DD31A">
      <w:pPr>
        <w:pStyle w:val="18"/>
        <w:rPr>
          <w:rFonts w:hint="eastAsia"/>
        </w:rPr>
      </w:pPr>
      <w:r>
        <w:rPr>
          <w:rFonts w:hint="eastAsia"/>
        </w:rPr>
        <w:t>本基金对于以摊余成本计量的金融资产，以预期信用损失为基础确认信用损失准备。本基金所计提的信用减值损失计入当期损益。</w:t>
      </w:r>
    </w:p>
    <w:p w14:paraId="5192BAE4">
      <w:pPr>
        <w:pStyle w:val="35"/>
      </w:pPr>
      <w:bookmarkStart w:id="62" w:name="_Toc62"/>
      <w:r>
        <w:t>费用的确认和计量</w:t>
      </w:r>
      <w:bookmarkEnd w:id="62"/>
    </w:p>
    <w:p w14:paraId="663F0CFC">
      <w:pPr>
        <w:pStyle w:val="18"/>
        <w:rPr>
          <w:rFonts w:hint="eastAsia"/>
        </w:rPr>
      </w:pPr>
      <w:r>
        <w:rPr>
          <w:rFonts w:hint="eastAsia"/>
        </w:rPr>
        <w:t>本基金的管理人报酬、托管费和销售服务费在费用涵盖期间按基金合同或相关公告约定的费率和计算方法逐日确认。</w:t>
      </w:r>
    </w:p>
    <w:p w14:paraId="759ABEDC">
      <w:pPr>
        <w:pStyle w:val="18"/>
        <w:rPr>
          <w:rFonts w:hint="eastAsia"/>
        </w:rPr>
      </w:pPr>
      <w:r>
        <w:rPr>
          <w:rFonts w:hint="eastAsia"/>
        </w:rPr>
        <w:t>卖出回购金融资产支出，按卖出回购金融资产的摊余成本及实际利率在回购期内逐日计提。</w:t>
      </w:r>
    </w:p>
    <w:p w14:paraId="4241CF9F">
      <w:pPr>
        <w:pStyle w:val="35"/>
      </w:pPr>
      <w:bookmarkStart w:id="63" w:name="_Toc63"/>
      <w:r>
        <w:t>基金的收益分配政策</w:t>
      </w:r>
      <w:bookmarkEnd w:id="63"/>
    </w:p>
    <w:p w14:paraId="1779A67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89D3438">
      <w:pPr>
        <w:pStyle w:val="18"/>
        <w:rPr>
          <w:rFonts w:hint="eastAsia"/>
        </w:rPr>
      </w:pPr>
      <w:r>
        <w:rPr>
          <w:rFonts w:hint="eastAsia"/>
        </w:rPr>
        <w:t>(2)本基金收益分配方式分两种：现金分红与红利再投资，投资人可选择现金红利或将现金红利自动转为同一类别基金份额进行再投资；若投资人不选择，本基金默认的收益分配方式是现金分红；</w:t>
      </w:r>
    </w:p>
    <w:p w14:paraId="620FA1C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E50ADE1">
      <w:pPr>
        <w:pStyle w:val="18"/>
        <w:rPr>
          <w:rFonts w:hint="eastAsia"/>
        </w:rPr>
      </w:pPr>
      <w:r>
        <w:rPr>
          <w:rFonts w:hint="eastAsia"/>
        </w:rPr>
        <w:t>(4)同一类别每一基金份额享有同等分配权，红利再投资份额的锁定期视作与原份额相同；</w:t>
      </w:r>
    </w:p>
    <w:p w14:paraId="147F6652">
      <w:pPr>
        <w:pStyle w:val="18"/>
        <w:rPr>
          <w:rFonts w:hint="eastAsia"/>
        </w:rPr>
      </w:pPr>
      <w:r>
        <w:rPr>
          <w:rFonts w:hint="eastAsia"/>
        </w:rPr>
        <w:t>(5)法律法规或监管机关另有规定的，从其规定。</w:t>
      </w:r>
    </w:p>
    <w:p w14:paraId="0254D357">
      <w:pPr>
        <w:pStyle w:val="35"/>
      </w:pPr>
      <w:bookmarkStart w:id="64" w:name="_Toc64"/>
      <w:r>
        <w:t>外币交易</w:t>
      </w:r>
      <w:bookmarkEnd w:id="64"/>
    </w:p>
    <w:p w14:paraId="3EC5F756">
      <w:pPr>
        <w:pStyle w:val="18"/>
        <w:rPr>
          <w:rFonts w:hint="eastAsia"/>
        </w:rPr>
      </w:pPr>
      <w:r>
        <w:rPr>
          <w:rFonts w:hint="eastAsia"/>
        </w:rPr>
        <w:t>外币交易按交易发生日的即期汇率将外币金额折算为人民币入账。</w:t>
      </w:r>
    </w:p>
    <w:p w14:paraId="56F11F1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1B7B95B">
      <w:pPr>
        <w:pStyle w:val="35"/>
      </w:pPr>
      <w:bookmarkStart w:id="65" w:name="_Toc65"/>
      <w:r>
        <w:t xml:space="preserve"> 分部报告</w:t>
      </w:r>
      <w:bookmarkEnd w:id="65"/>
    </w:p>
    <w:p w14:paraId="6F5F5CED">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ACD2B26">
      <w:pPr>
        <w:pStyle w:val="35"/>
      </w:pPr>
      <w:bookmarkStart w:id="66" w:name="_Toc66"/>
      <w:r>
        <w:t>其他重要的会计政策和会计估计</w:t>
      </w:r>
      <w:bookmarkEnd w:id="66"/>
    </w:p>
    <w:p w14:paraId="70DB3BA8">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50BF3939">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4BCE560E">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1C51A34">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37AEF64">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0B71724">
      <w:pPr>
        <w:pStyle w:val="28"/>
      </w:pPr>
      <w:bookmarkStart w:id="67" w:name="_Toc67"/>
      <w:r>
        <w:t xml:space="preserve">会计政策和会计估计变更以及差错更正的说明 </w:t>
      </w:r>
      <w:bookmarkEnd w:id="67"/>
    </w:p>
    <w:p w14:paraId="2EAC2596">
      <w:pPr>
        <w:pStyle w:val="35"/>
      </w:pPr>
      <w:bookmarkStart w:id="68" w:name="_Toc68"/>
      <w:r>
        <w:t xml:space="preserve">会计政策变更的说明 </w:t>
      </w:r>
      <w:bookmarkEnd w:id="68"/>
    </w:p>
    <w:p w14:paraId="170BE955">
      <w:pPr>
        <w:pStyle w:val="18"/>
        <w:rPr>
          <w:rFonts w:hint="eastAsia"/>
        </w:rPr>
      </w:pPr>
      <w:r>
        <w:rPr>
          <w:rFonts w:hint="eastAsia"/>
        </w:rPr>
        <w:t>本基金本报告期内无需要说明的重大会计政策变更。</w:t>
      </w:r>
    </w:p>
    <w:p w14:paraId="2CB0EF7A">
      <w:pPr>
        <w:pStyle w:val="35"/>
      </w:pPr>
      <w:bookmarkStart w:id="69" w:name="_Toc69"/>
      <w:r>
        <w:t>会计估计变更的说明</w:t>
      </w:r>
      <w:bookmarkEnd w:id="69"/>
    </w:p>
    <w:p w14:paraId="0EB747AB">
      <w:pPr>
        <w:pStyle w:val="18"/>
        <w:rPr>
          <w:rFonts w:hint="eastAsia"/>
        </w:rPr>
      </w:pPr>
      <w:r>
        <w:rPr>
          <w:rFonts w:hint="eastAsia"/>
        </w:rPr>
        <w:t>本基金本报告期内无需要说明的重大会计估计变更。</w:t>
      </w:r>
    </w:p>
    <w:p w14:paraId="45073FAA">
      <w:pPr>
        <w:pStyle w:val="35"/>
      </w:pPr>
      <w:bookmarkStart w:id="70" w:name="_Toc70"/>
      <w:r>
        <w:t>差错更正的说明</w:t>
      </w:r>
      <w:bookmarkEnd w:id="70"/>
    </w:p>
    <w:p w14:paraId="443589BE">
      <w:pPr>
        <w:pStyle w:val="18"/>
        <w:rPr>
          <w:rFonts w:hint="eastAsia"/>
        </w:rPr>
      </w:pPr>
      <w:r>
        <w:rPr>
          <w:rFonts w:hint="eastAsia"/>
        </w:rPr>
        <w:t>本基金本报告期内无需要说明的重大会计差错更正。</w:t>
      </w:r>
    </w:p>
    <w:p w14:paraId="1C8961D4">
      <w:pPr>
        <w:pStyle w:val="28"/>
      </w:pPr>
      <w:bookmarkStart w:id="71" w:name="_Toc71"/>
      <w:r>
        <w:t>税项</w:t>
      </w:r>
      <w:bookmarkEnd w:id="71"/>
    </w:p>
    <w:p w14:paraId="43BD410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F2A8818">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FB4644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909C5B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C4DA34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28545F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FE833E4">
      <w:pPr>
        <w:pStyle w:val="18"/>
        <w:rPr>
          <w:rFonts w:hint="eastAsia"/>
        </w:rPr>
      </w:pPr>
      <w:r>
        <w:rPr>
          <w:rFonts w:hint="eastAsia"/>
        </w:rPr>
        <w:t>(5)本基金的城市维护建设税、教育费附加和地方教育附加等税费按照实际缴纳增值税额的适用比例计算缴纳。</w:t>
      </w:r>
    </w:p>
    <w:p w14:paraId="03F197FF">
      <w:pPr>
        <w:pStyle w:val="28"/>
      </w:pPr>
      <w:bookmarkStart w:id="72" w:name="_Toc72"/>
      <w:r>
        <w:t xml:space="preserve">重要财务报表项目的说明 </w:t>
      </w:r>
      <w:bookmarkEnd w:id="72"/>
    </w:p>
    <w:p w14:paraId="25CFC830">
      <w:pPr>
        <w:pStyle w:val="35"/>
      </w:pPr>
      <w:bookmarkStart w:id="73" w:name="_Toc73"/>
      <w:r>
        <w:t>货币资金</w:t>
      </w:r>
      <w:bookmarkEnd w:id="73"/>
    </w:p>
    <w:p w14:paraId="62344A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B6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11058A">
            <w:pPr>
              <w:jc w:val="center"/>
            </w:pPr>
            <w:r>
              <w:rPr>
                <w:rFonts w:hint="eastAsia"/>
                <w:b/>
              </w:rPr>
              <w:t>项目</w:t>
            </w:r>
          </w:p>
        </w:tc>
        <w:tc>
          <w:tcPr>
            <w:tcW w:w="4153" w:type="dxa"/>
            <w:shd w:val="clear" w:color="auto" w:fill="BFBFBF"/>
            <w:vAlign w:val="center"/>
          </w:tcPr>
          <w:p w14:paraId="72B81A97">
            <w:pPr>
              <w:jc w:val="center"/>
            </w:pPr>
            <w:r>
              <w:rPr>
                <w:rFonts w:hint="eastAsia"/>
                <w:b/>
              </w:rPr>
              <w:t>本期末2025年12月31日</w:t>
            </w:r>
          </w:p>
        </w:tc>
      </w:tr>
      <w:tr w14:paraId="1ECE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6FDF5">
            <w:r>
              <w:rPr>
                <w:rFonts w:hint="eastAsia"/>
              </w:rPr>
              <w:t>活期存款</w:t>
            </w:r>
          </w:p>
        </w:tc>
        <w:tc>
          <w:tcPr>
            <w:tcW w:w="4153" w:type="dxa"/>
            <w:vAlign w:val="center"/>
          </w:tcPr>
          <w:p w14:paraId="6BE93383">
            <w:pPr>
              <w:jc w:val="right"/>
            </w:pPr>
            <w:r>
              <w:rPr>
                <w:rFonts w:hint="eastAsia"/>
              </w:rPr>
              <w:t>1,960,349.49</w:t>
            </w:r>
          </w:p>
        </w:tc>
      </w:tr>
      <w:tr w14:paraId="2C83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5DC4C">
            <w:r>
              <w:rPr>
                <w:rFonts w:hint="eastAsia"/>
              </w:rPr>
              <w:t>等于：本金</w:t>
            </w:r>
          </w:p>
        </w:tc>
        <w:tc>
          <w:tcPr>
            <w:tcW w:w="4153" w:type="dxa"/>
            <w:vAlign w:val="center"/>
          </w:tcPr>
          <w:p w14:paraId="0DF83B4B">
            <w:pPr>
              <w:jc w:val="right"/>
            </w:pPr>
            <w:r>
              <w:rPr>
                <w:rFonts w:hint="eastAsia"/>
              </w:rPr>
              <w:t>1,957,721.18</w:t>
            </w:r>
          </w:p>
        </w:tc>
      </w:tr>
      <w:tr w14:paraId="1B3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3AA89">
            <w:r>
              <w:rPr>
                <w:rFonts w:hint="eastAsia"/>
              </w:rPr>
              <w:t xml:space="preserve">      加：应计利息</w:t>
            </w:r>
          </w:p>
        </w:tc>
        <w:tc>
          <w:tcPr>
            <w:tcW w:w="4153" w:type="dxa"/>
            <w:vAlign w:val="center"/>
          </w:tcPr>
          <w:p w14:paraId="5E1FB252">
            <w:pPr>
              <w:jc w:val="right"/>
            </w:pPr>
            <w:r>
              <w:rPr>
                <w:rFonts w:hint="eastAsia"/>
              </w:rPr>
              <w:t>2,628.31</w:t>
            </w:r>
          </w:p>
        </w:tc>
      </w:tr>
      <w:tr w14:paraId="790C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10CEF6">
            <w:r>
              <w:rPr>
                <w:rFonts w:hint="eastAsia"/>
              </w:rPr>
              <w:t xml:space="preserve">      减：坏账准备</w:t>
            </w:r>
          </w:p>
        </w:tc>
        <w:tc>
          <w:tcPr>
            <w:tcW w:w="4153" w:type="dxa"/>
            <w:vAlign w:val="center"/>
          </w:tcPr>
          <w:p w14:paraId="584D8166">
            <w:pPr>
              <w:jc w:val="right"/>
            </w:pPr>
            <w:r>
              <w:rPr>
                <w:rFonts w:hint="eastAsia"/>
              </w:rPr>
              <w:t>-</w:t>
            </w:r>
          </w:p>
        </w:tc>
      </w:tr>
      <w:tr w14:paraId="1A49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F6B8A">
            <w:r>
              <w:rPr>
                <w:rFonts w:hint="eastAsia"/>
              </w:rPr>
              <w:t>定期存款</w:t>
            </w:r>
          </w:p>
        </w:tc>
        <w:tc>
          <w:tcPr>
            <w:tcW w:w="4153" w:type="dxa"/>
            <w:vAlign w:val="center"/>
          </w:tcPr>
          <w:p w14:paraId="27529F3D">
            <w:pPr>
              <w:jc w:val="right"/>
            </w:pPr>
            <w:r>
              <w:rPr>
                <w:rFonts w:hint="eastAsia"/>
              </w:rPr>
              <w:t>-</w:t>
            </w:r>
          </w:p>
        </w:tc>
      </w:tr>
      <w:tr w14:paraId="305D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EE538">
            <w:r>
              <w:rPr>
                <w:rFonts w:hint="eastAsia"/>
              </w:rPr>
              <w:t>等于：本金</w:t>
            </w:r>
          </w:p>
        </w:tc>
        <w:tc>
          <w:tcPr>
            <w:tcW w:w="4153" w:type="dxa"/>
            <w:vAlign w:val="center"/>
          </w:tcPr>
          <w:p w14:paraId="1ED15A87">
            <w:pPr>
              <w:jc w:val="right"/>
            </w:pPr>
            <w:r>
              <w:rPr>
                <w:rFonts w:hint="eastAsia"/>
              </w:rPr>
              <w:t>-</w:t>
            </w:r>
          </w:p>
        </w:tc>
      </w:tr>
      <w:tr w14:paraId="3E53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5EC61">
            <w:r>
              <w:rPr>
                <w:rFonts w:hint="eastAsia"/>
              </w:rPr>
              <w:t xml:space="preserve">      加：应计利息</w:t>
            </w:r>
          </w:p>
        </w:tc>
        <w:tc>
          <w:tcPr>
            <w:tcW w:w="4153" w:type="dxa"/>
            <w:vAlign w:val="center"/>
          </w:tcPr>
          <w:p w14:paraId="6EFD446F">
            <w:pPr>
              <w:jc w:val="right"/>
            </w:pPr>
            <w:r>
              <w:rPr>
                <w:rFonts w:hint="eastAsia"/>
              </w:rPr>
              <w:t>-</w:t>
            </w:r>
          </w:p>
        </w:tc>
      </w:tr>
      <w:tr w14:paraId="579A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B87FA">
            <w:r>
              <w:rPr>
                <w:rFonts w:hint="eastAsia"/>
              </w:rPr>
              <w:t xml:space="preserve">      减：坏账准备</w:t>
            </w:r>
          </w:p>
        </w:tc>
        <w:tc>
          <w:tcPr>
            <w:tcW w:w="4153" w:type="dxa"/>
            <w:vAlign w:val="center"/>
          </w:tcPr>
          <w:p w14:paraId="263245F0">
            <w:pPr>
              <w:jc w:val="right"/>
            </w:pPr>
            <w:r>
              <w:rPr>
                <w:rFonts w:hint="eastAsia"/>
              </w:rPr>
              <w:t>-</w:t>
            </w:r>
          </w:p>
        </w:tc>
      </w:tr>
      <w:tr w14:paraId="3835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2423D0">
            <w:r>
              <w:rPr>
                <w:rFonts w:hint="eastAsia"/>
              </w:rPr>
              <w:t>其中：存款期限1个月以内</w:t>
            </w:r>
          </w:p>
        </w:tc>
        <w:tc>
          <w:tcPr>
            <w:tcW w:w="4153" w:type="dxa"/>
            <w:vAlign w:val="center"/>
          </w:tcPr>
          <w:p w14:paraId="3690E24D">
            <w:pPr>
              <w:jc w:val="right"/>
            </w:pPr>
            <w:r>
              <w:rPr>
                <w:rFonts w:hint="eastAsia"/>
              </w:rPr>
              <w:t>-</w:t>
            </w:r>
          </w:p>
        </w:tc>
      </w:tr>
      <w:tr w14:paraId="3B47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071285">
            <w:r>
              <w:rPr>
                <w:rFonts w:hint="eastAsia"/>
              </w:rPr>
              <w:t xml:space="preserve">      存款期限1-3个月</w:t>
            </w:r>
          </w:p>
        </w:tc>
        <w:tc>
          <w:tcPr>
            <w:tcW w:w="4153" w:type="dxa"/>
            <w:vAlign w:val="center"/>
          </w:tcPr>
          <w:p w14:paraId="2054FC51">
            <w:pPr>
              <w:jc w:val="right"/>
            </w:pPr>
            <w:r>
              <w:rPr>
                <w:rFonts w:hint="eastAsia"/>
              </w:rPr>
              <w:t>-</w:t>
            </w:r>
          </w:p>
        </w:tc>
      </w:tr>
      <w:tr w14:paraId="0E46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DB7B9E">
            <w:r>
              <w:rPr>
                <w:rFonts w:hint="eastAsia"/>
              </w:rPr>
              <w:t xml:space="preserve">      存款期限3个月以上</w:t>
            </w:r>
          </w:p>
        </w:tc>
        <w:tc>
          <w:tcPr>
            <w:tcW w:w="4153" w:type="dxa"/>
            <w:vAlign w:val="center"/>
          </w:tcPr>
          <w:p w14:paraId="5CEE10C1">
            <w:pPr>
              <w:jc w:val="right"/>
            </w:pPr>
            <w:r>
              <w:rPr>
                <w:rFonts w:hint="eastAsia"/>
              </w:rPr>
              <w:t>-</w:t>
            </w:r>
          </w:p>
        </w:tc>
      </w:tr>
      <w:tr w14:paraId="054E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62FBF2">
            <w:r>
              <w:rPr>
                <w:rFonts w:hint="eastAsia"/>
              </w:rPr>
              <w:t>其他存款</w:t>
            </w:r>
          </w:p>
        </w:tc>
        <w:tc>
          <w:tcPr>
            <w:tcW w:w="4153" w:type="dxa"/>
            <w:vAlign w:val="center"/>
          </w:tcPr>
          <w:p w14:paraId="6AD9ADE9">
            <w:pPr>
              <w:jc w:val="right"/>
            </w:pPr>
            <w:r>
              <w:rPr>
                <w:rFonts w:hint="eastAsia"/>
              </w:rPr>
              <w:t>-</w:t>
            </w:r>
          </w:p>
        </w:tc>
      </w:tr>
      <w:tr w14:paraId="22F9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1FE4A7">
            <w:r>
              <w:rPr>
                <w:rFonts w:hint="eastAsia"/>
              </w:rPr>
              <w:t>等于：本金</w:t>
            </w:r>
          </w:p>
        </w:tc>
        <w:tc>
          <w:tcPr>
            <w:tcW w:w="4153" w:type="dxa"/>
            <w:vAlign w:val="center"/>
          </w:tcPr>
          <w:p w14:paraId="574749F7">
            <w:pPr>
              <w:jc w:val="right"/>
            </w:pPr>
            <w:r>
              <w:rPr>
                <w:rFonts w:hint="eastAsia"/>
              </w:rPr>
              <w:t>-</w:t>
            </w:r>
          </w:p>
        </w:tc>
      </w:tr>
      <w:tr w14:paraId="6213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14E60A">
            <w:r>
              <w:rPr>
                <w:rFonts w:hint="eastAsia"/>
              </w:rPr>
              <w:t xml:space="preserve">      加：应计利息</w:t>
            </w:r>
          </w:p>
        </w:tc>
        <w:tc>
          <w:tcPr>
            <w:tcW w:w="4153" w:type="dxa"/>
            <w:vAlign w:val="center"/>
          </w:tcPr>
          <w:p w14:paraId="4B11EFD8">
            <w:pPr>
              <w:jc w:val="right"/>
            </w:pPr>
            <w:r>
              <w:rPr>
                <w:rFonts w:hint="eastAsia"/>
              </w:rPr>
              <w:t>-</w:t>
            </w:r>
          </w:p>
        </w:tc>
      </w:tr>
      <w:tr w14:paraId="413A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03EBC">
            <w:r>
              <w:rPr>
                <w:rFonts w:hint="eastAsia"/>
              </w:rPr>
              <w:t xml:space="preserve">      减：坏账准备</w:t>
            </w:r>
          </w:p>
        </w:tc>
        <w:tc>
          <w:tcPr>
            <w:tcW w:w="4153" w:type="dxa"/>
            <w:vAlign w:val="center"/>
          </w:tcPr>
          <w:p w14:paraId="50778873">
            <w:pPr>
              <w:jc w:val="right"/>
            </w:pPr>
            <w:r>
              <w:rPr>
                <w:rFonts w:hint="eastAsia"/>
              </w:rPr>
              <w:t>-</w:t>
            </w:r>
          </w:p>
        </w:tc>
      </w:tr>
      <w:tr w14:paraId="2EAA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DDBC91">
            <w:r>
              <w:rPr>
                <w:rFonts w:hint="eastAsia"/>
              </w:rPr>
              <w:t>合计</w:t>
            </w:r>
          </w:p>
        </w:tc>
        <w:tc>
          <w:tcPr>
            <w:tcW w:w="4153" w:type="dxa"/>
            <w:vAlign w:val="center"/>
          </w:tcPr>
          <w:p w14:paraId="4FD06046">
            <w:pPr>
              <w:jc w:val="right"/>
            </w:pPr>
            <w:r>
              <w:rPr>
                <w:rFonts w:hint="eastAsia"/>
              </w:rPr>
              <w:t>1,960,349.49</w:t>
            </w:r>
          </w:p>
        </w:tc>
      </w:tr>
    </w:tbl>
    <w:p w14:paraId="4B7AB7A6">
      <w:pPr>
        <w:pStyle w:val="35"/>
      </w:pPr>
      <w:bookmarkStart w:id="74" w:name="_Toc74"/>
      <w:r>
        <w:t>交易性金融资产</w:t>
      </w:r>
      <w:bookmarkEnd w:id="74"/>
    </w:p>
    <w:p w14:paraId="72B739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F40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4C069561">
            <w:pPr>
              <w:jc w:val="center"/>
            </w:pPr>
            <w:r>
              <w:rPr>
                <w:rFonts w:hint="eastAsia"/>
                <w:b/>
              </w:rPr>
              <w:t>项目</w:t>
            </w:r>
          </w:p>
        </w:tc>
        <w:tc>
          <w:tcPr>
            <w:tcW w:w="1860" w:type="dxa"/>
            <w:gridSpan w:val="4"/>
            <w:shd w:val="clear" w:color="auto" w:fill="BFBFBF"/>
            <w:vAlign w:val="center"/>
          </w:tcPr>
          <w:p w14:paraId="63B38711">
            <w:pPr>
              <w:jc w:val="center"/>
            </w:pPr>
            <w:r>
              <w:rPr>
                <w:rFonts w:hint="eastAsia"/>
                <w:b/>
              </w:rPr>
              <w:t>本期末2025年12月31日</w:t>
            </w:r>
          </w:p>
        </w:tc>
      </w:tr>
      <w:tr w14:paraId="5FCE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460D0C8"/>
        </w:tc>
        <w:tc>
          <w:tcPr>
            <w:tcW w:w="1860" w:type="dxa"/>
            <w:shd w:val="clear" w:color="auto" w:fill="BFBFBF"/>
            <w:vAlign w:val="center"/>
          </w:tcPr>
          <w:p w14:paraId="66A82DA9">
            <w:pPr>
              <w:jc w:val="center"/>
            </w:pPr>
            <w:r>
              <w:rPr>
                <w:rFonts w:hint="eastAsia"/>
                <w:b/>
              </w:rPr>
              <w:t>成本</w:t>
            </w:r>
          </w:p>
        </w:tc>
        <w:tc>
          <w:tcPr>
            <w:tcW w:w="1517" w:type="dxa"/>
            <w:shd w:val="clear" w:color="auto" w:fill="BFBFBF"/>
            <w:vAlign w:val="center"/>
          </w:tcPr>
          <w:p w14:paraId="30284FD7">
            <w:pPr>
              <w:jc w:val="center"/>
            </w:pPr>
            <w:r>
              <w:rPr>
                <w:rFonts w:hint="eastAsia"/>
                <w:b/>
              </w:rPr>
              <w:t>应计利息</w:t>
            </w:r>
          </w:p>
        </w:tc>
        <w:tc>
          <w:tcPr>
            <w:tcW w:w="1860" w:type="dxa"/>
            <w:shd w:val="clear" w:color="auto" w:fill="BFBFBF"/>
            <w:vAlign w:val="center"/>
          </w:tcPr>
          <w:p w14:paraId="28C212D3">
            <w:pPr>
              <w:jc w:val="center"/>
            </w:pPr>
            <w:r>
              <w:rPr>
                <w:rFonts w:hint="eastAsia"/>
                <w:b/>
              </w:rPr>
              <w:t>公允价值</w:t>
            </w:r>
          </w:p>
        </w:tc>
        <w:tc>
          <w:tcPr>
            <w:tcW w:w="1517" w:type="dxa"/>
            <w:shd w:val="clear" w:color="auto" w:fill="BFBFBF"/>
            <w:vAlign w:val="center"/>
          </w:tcPr>
          <w:p w14:paraId="341A62F0">
            <w:pPr>
              <w:jc w:val="center"/>
            </w:pPr>
            <w:r>
              <w:rPr>
                <w:rFonts w:hint="eastAsia"/>
                <w:b/>
              </w:rPr>
              <w:t>公允价值变动</w:t>
            </w:r>
          </w:p>
        </w:tc>
      </w:tr>
      <w:tr w14:paraId="2FE8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A6E89B">
            <w:r>
              <w:rPr>
                <w:rFonts w:hint="eastAsia"/>
              </w:rPr>
              <w:t>股票</w:t>
            </w:r>
          </w:p>
        </w:tc>
        <w:tc>
          <w:tcPr>
            <w:tcW w:w="1860" w:type="dxa"/>
            <w:vAlign w:val="center"/>
          </w:tcPr>
          <w:p w14:paraId="4B99DB55">
            <w:pPr>
              <w:jc w:val="right"/>
            </w:pPr>
            <w:r>
              <w:rPr>
                <w:rFonts w:hint="eastAsia"/>
              </w:rPr>
              <w:t>-</w:t>
            </w:r>
          </w:p>
        </w:tc>
        <w:tc>
          <w:tcPr>
            <w:tcW w:w="1517" w:type="dxa"/>
            <w:vAlign w:val="center"/>
          </w:tcPr>
          <w:p w14:paraId="5E397F4C">
            <w:pPr>
              <w:jc w:val="right"/>
            </w:pPr>
            <w:r>
              <w:rPr>
                <w:rFonts w:hint="eastAsia"/>
              </w:rPr>
              <w:t>-</w:t>
            </w:r>
          </w:p>
        </w:tc>
        <w:tc>
          <w:tcPr>
            <w:tcW w:w="1860" w:type="dxa"/>
            <w:vAlign w:val="center"/>
          </w:tcPr>
          <w:p w14:paraId="27B00485">
            <w:pPr>
              <w:jc w:val="right"/>
            </w:pPr>
            <w:r>
              <w:rPr>
                <w:rFonts w:hint="eastAsia"/>
              </w:rPr>
              <w:t>-</w:t>
            </w:r>
          </w:p>
        </w:tc>
        <w:tc>
          <w:tcPr>
            <w:tcW w:w="1517" w:type="dxa"/>
            <w:vAlign w:val="center"/>
          </w:tcPr>
          <w:p w14:paraId="1B6F07EF">
            <w:pPr>
              <w:jc w:val="right"/>
            </w:pPr>
            <w:r>
              <w:rPr>
                <w:rFonts w:hint="eastAsia"/>
              </w:rPr>
              <w:t>-</w:t>
            </w:r>
          </w:p>
        </w:tc>
      </w:tr>
      <w:tr w14:paraId="7B46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96BBCF">
            <w:r>
              <w:rPr>
                <w:rFonts w:hint="eastAsia"/>
              </w:rPr>
              <w:t>贵金属投资-金交所黄金合约</w:t>
            </w:r>
          </w:p>
        </w:tc>
        <w:tc>
          <w:tcPr>
            <w:tcW w:w="1860" w:type="dxa"/>
            <w:vAlign w:val="center"/>
          </w:tcPr>
          <w:p w14:paraId="2D68E3FA">
            <w:pPr>
              <w:jc w:val="right"/>
            </w:pPr>
            <w:r>
              <w:rPr>
                <w:rFonts w:hint="eastAsia"/>
              </w:rPr>
              <w:t>-</w:t>
            </w:r>
          </w:p>
        </w:tc>
        <w:tc>
          <w:tcPr>
            <w:tcW w:w="1517" w:type="dxa"/>
            <w:vAlign w:val="center"/>
          </w:tcPr>
          <w:p w14:paraId="239E6FB9">
            <w:pPr>
              <w:jc w:val="right"/>
            </w:pPr>
            <w:r>
              <w:rPr>
                <w:rFonts w:hint="eastAsia"/>
              </w:rPr>
              <w:t>-</w:t>
            </w:r>
          </w:p>
        </w:tc>
        <w:tc>
          <w:tcPr>
            <w:tcW w:w="1860" w:type="dxa"/>
            <w:vAlign w:val="center"/>
          </w:tcPr>
          <w:p w14:paraId="2BF46BDE">
            <w:pPr>
              <w:jc w:val="right"/>
            </w:pPr>
            <w:r>
              <w:rPr>
                <w:rFonts w:hint="eastAsia"/>
              </w:rPr>
              <w:t>-</w:t>
            </w:r>
          </w:p>
        </w:tc>
        <w:tc>
          <w:tcPr>
            <w:tcW w:w="1517" w:type="dxa"/>
            <w:vAlign w:val="center"/>
          </w:tcPr>
          <w:p w14:paraId="4C4426D5">
            <w:pPr>
              <w:jc w:val="right"/>
            </w:pPr>
            <w:r>
              <w:rPr>
                <w:rFonts w:hint="eastAsia"/>
              </w:rPr>
              <w:t>-</w:t>
            </w:r>
          </w:p>
        </w:tc>
      </w:tr>
      <w:tr w14:paraId="2363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621D5FB">
            <w:r>
              <w:rPr>
                <w:rFonts w:hint="eastAsia"/>
              </w:rPr>
              <w:t>债券</w:t>
            </w:r>
          </w:p>
        </w:tc>
        <w:tc>
          <w:tcPr>
            <w:tcW w:w="897" w:type="dxa"/>
            <w:vAlign w:val="center"/>
          </w:tcPr>
          <w:p w14:paraId="7AB94476">
            <w:r>
              <w:rPr>
                <w:rFonts w:hint="eastAsia"/>
              </w:rPr>
              <w:t>交易所市场</w:t>
            </w:r>
          </w:p>
        </w:tc>
        <w:tc>
          <w:tcPr>
            <w:tcW w:w="1860" w:type="dxa"/>
            <w:vAlign w:val="center"/>
          </w:tcPr>
          <w:p w14:paraId="697783D4">
            <w:pPr>
              <w:jc w:val="right"/>
            </w:pPr>
            <w:r>
              <w:rPr>
                <w:rFonts w:hint="eastAsia"/>
              </w:rPr>
              <w:t>82,426,403.48</w:t>
            </w:r>
          </w:p>
        </w:tc>
        <w:tc>
          <w:tcPr>
            <w:tcW w:w="1517" w:type="dxa"/>
            <w:vAlign w:val="center"/>
          </w:tcPr>
          <w:p w14:paraId="1E39841C">
            <w:pPr>
              <w:jc w:val="right"/>
            </w:pPr>
            <w:r>
              <w:rPr>
                <w:rFonts w:hint="eastAsia"/>
              </w:rPr>
              <w:t>921,408.66</w:t>
            </w:r>
          </w:p>
        </w:tc>
        <w:tc>
          <w:tcPr>
            <w:tcW w:w="1860" w:type="dxa"/>
            <w:vAlign w:val="center"/>
          </w:tcPr>
          <w:p w14:paraId="4A365C6C">
            <w:pPr>
              <w:jc w:val="right"/>
            </w:pPr>
            <w:r>
              <w:rPr>
                <w:rFonts w:hint="eastAsia"/>
              </w:rPr>
              <w:t>83,521,408.66</w:t>
            </w:r>
          </w:p>
        </w:tc>
        <w:tc>
          <w:tcPr>
            <w:tcW w:w="1517" w:type="dxa"/>
            <w:vAlign w:val="center"/>
          </w:tcPr>
          <w:p w14:paraId="16FD0985">
            <w:pPr>
              <w:jc w:val="right"/>
            </w:pPr>
            <w:r>
              <w:rPr>
                <w:rFonts w:hint="eastAsia"/>
              </w:rPr>
              <w:t>173,596.52</w:t>
            </w:r>
          </w:p>
        </w:tc>
      </w:tr>
      <w:tr w14:paraId="3AD1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67B59A"/>
        </w:tc>
        <w:tc>
          <w:tcPr>
            <w:tcW w:w="897" w:type="dxa"/>
            <w:vAlign w:val="center"/>
          </w:tcPr>
          <w:p w14:paraId="35E95C1D">
            <w:r>
              <w:rPr>
                <w:rFonts w:hint="eastAsia"/>
              </w:rPr>
              <w:t>银行间市场</w:t>
            </w:r>
          </w:p>
        </w:tc>
        <w:tc>
          <w:tcPr>
            <w:tcW w:w="1860" w:type="dxa"/>
            <w:vAlign w:val="center"/>
          </w:tcPr>
          <w:p w14:paraId="138FC6D1">
            <w:pPr>
              <w:jc w:val="right"/>
            </w:pPr>
            <w:r>
              <w:rPr>
                <w:rFonts w:hint="eastAsia"/>
              </w:rPr>
              <w:t>-</w:t>
            </w:r>
          </w:p>
        </w:tc>
        <w:tc>
          <w:tcPr>
            <w:tcW w:w="1517" w:type="dxa"/>
            <w:vAlign w:val="center"/>
          </w:tcPr>
          <w:p w14:paraId="09D8F113">
            <w:pPr>
              <w:jc w:val="right"/>
            </w:pPr>
            <w:r>
              <w:rPr>
                <w:rFonts w:hint="eastAsia"/>
              </w:rPr>
              <w:t>-</w:t>
            </w:r>
          </w:p>
        </w:tc>
        <w:tc>
          <w:tcPr>
            <w:tcW w:w="1860" w:type="dxa"/>
            <w:vAlign w:val="center"/>
          </w:tcPr>
          <w:p w14:paraId="0C8B7AFE">
            <w:pPr>
              <w:jc w:val="right"/>
            </w:pPr>
            <w:r>
              <w:rPr>
                <w:rFonts w:hint="eastAsia"/>
              </w:rPr>
              <w:t>-</w:t>
            </w:r>
          </w:p>
        </w:tc>
        <w:tc>
          <w:tcPr>
            <w:tcW w:w="1517" w:type="dxa"/>
            <w:vAlign w:val="center"/>
          </w:tcPr>
          <w:p w14:paraId="265DDE47">
            <w:pPr>
              <w:jc w:val="right"/>
            </w:pPr>
            <w:r>
              <w:rPr>
                <w:rFonts w:hint="eastAsia"/>
              </w:rPr>
              <w:t>-</w:t>
            </w:r>
          </w:p>
        </w:tc>
      </w:tr>
      <w:tr w14:paraId="17CC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4F0988"/>
        </w:tc>
        <w:tc>
          <w:tcPr>
            <w:tcW w:w="897" w:type="dxa"/>
            <w:vAlign w:val="center"/>
          </w:tcPr>
          <w:p w14:paraId="27461BA6">
            <w:r>
              <w:rPr>
                <w:rFonts w:hint="eastAsia"/>
              </w:rPr>
              <w:t>合计</w:t>
            </w:r>
          </w:p>
        </w:tc>
        <w:tc>
          <w:tcPr>
            <w:tcW w:w="1860" w:type="dxa"/>
            <w:vAlign w:val="center"/>
          </w:tcPr>
          <w:p w14:paraId="10EDAF33">
            <w:pPr>
              <w:jc w:val="right"/>
            </w:pPr>
            <w:r>
              <w:rPr>
                <w:rFonts w:hint="eastAsia"/>
              </w:rPr>
              <w:t>82,426,403.48</w:t>
            </w:r>
          </w:p>
        </w:tc>
        <w:tc>
          <w:tcPr>
            <w:tcW w:w="1517" w:type="dxa"/>
            <w:vAlign w:val="center"/>
          </w:tcPr>
          <w:p w14:paraId="22A19079">
            <w:pPr>
              <w:jc w:val="right"/>
            </w:pPr>
            <w:r>
              <w:rPr>
                <w:rFonts w:hint="eastAsia"/>
              </w:rPr>
              <w:t>921,408.66</w:t>
            </w:r>
          </w:p>
        </w:tc>
        <w:tc>
          <w:tcPr>
            <w:tcW w:w="1860" w:type="dxa"/>
            <w:vAlign w:val="center"/>
          </w:tcPr>
          <w:p w14:paraId="405C4B60">
            <w:pPr>
              <w:jc w:val="right"/>
            </w:pPr>
            <w:r>
              <w:rPr>
                <w:rFonts w:hint="eastAsia"/>
              </w:rPr>
              <w:t>83,521,408.66</w:t>
            </w:r>
          </w:p>
        </w:tc>
        <w:tc>
          <w:tcPr>
            <w:tcW w:w="1517" w:type="dxa"/>
            <w:vAlign w:val="center"/>
          </w:tcPr>
          <w:p w14:paraId="2AF4ADE9">
            <w:pPr>
              <w:jc w:val="right"/>
            </w:pPr>
            <w:r>
              <w:rPr>
                <w:rFonts w:hint="eastAsia"/>
              </w:rPr>
              <w:t>173,596.52</w:t>
            </w:r>
          </w:p>
        </w:tc>
      </w:tr>
      <w:tr w14:paraId="7DBE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8B491D">
            <w:r>
              <w:rPr>
                <w:rFonts w:hint="eastAsia"/>
              </w:rPr>
              <w:t>资产支持证券</w:t>
            </w:r>
          </w:p>
        </w:tc>
        <w:tc>
          <w:tcPr>
            <w:tcW w:w="1860" w:type="dxa"/>
            <w:vAlign w:val="center"/>
          </w:tcPr>
          <w:p w14:paraId="3F860D43">
            <w:pPr>
              <w:jc w:val="right"/>
            </w:pPr>
            <w:r>
              <w:rPr>
                <w:rFonts w:hint="eastAsia"/>
              </w:rPr>
              <w:t>-</w:t>
            </w:r>
          </w:p>
        </w:tc>
        <w:tc>
          <w:tcPr>
            <w:tcW w:w="1517" w:type="dxa"/>
            <w:vAlign w:val="center"/>
          </w:tcPr>
          <w:p w14:paraId="04E33229">
            <w:pPr>
              <w:jc w:val="right"/>
            </w:pPr>
            <w:r>
              <w:rPr>
                <w:rFonts w:hint="eastAsia"/>
              </w:rPr>
              <w:t>-</w:t>
            </w:r>
          </w:p>
        </w:tc>
        <w:tc>
          <w:tcPr>
            <w:tcW w:w="1860" w:type="dxa"/>
            <w:vAlign w:val="center"/>
          </w:tcPr>
          <w:p w14:paraId="1832F9CE">
            <w:pPr>
              <w:jc w:val="right"/>
            </w:pPr>
            <w:r>
              <w:rPr>
                <w:rFonts w:hint="eastAsia"/>
              </w:rPr>
              <w:t>-</w:t>
            </w:r>
          </w:p>
        </w:tc>
        <w:tc>
          <w:tcPr>
            <w:tcW w:w="1517" w:type="dxa"/>
            <w:vAlign w:val="center"/>
          </w:tcPr>
          <w:p w14:paraId="565143DB">
            <w:pPr>
              <w:jc w:val="right"/>
            </w:pPr>
            <w:r>
              <w:rPr>
                <w:rFonts w:hint="eastAsia"/>
              </w:rPr>
              <w:t>-</w:t>
            </w:r>
          </w:p>
        </w:tc>
      </w:tr>
      <w:tr w14:paraId="4DD2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940950">
            <w:r>
              <w:rPr>
                <w:rFonts w:hint="eastAsia"/>
              </w:rPr>
              <w:t>基金</w:t>
            </w:r>
          </w:p>
        </w:tc>
        <w:tc>
          <w:tcPr>
            <w:tcW w:w="1860" w:type="dxa"/>
            <w:vAlign w:val="center"/>
          </w:tcPr>
          <w:p w14:paraId="2AB80387">
            <w:pPr>
              <w:jc w:val="right"/>
            </w:pPr>
            <w:r>
              <w:rPr>
                <w:rFonts w:hint="eastAsia"/>
              </w:rPr>
              <w:t>1,407,338,296.08</w:t>
            </w:r>
          </w:p>
        </w:tc>
        <w:tc>
          <w:tcPr>
            <w:tcW w:w="1517" w:type="dxa"/>
            <w:vAlign w:val="center"/>
          </w:tcPr>
          <w:p w14:paraId="4B4441C5">
            <w:pPr>
              <w:jc w:val="right"/>
            </w:pPr>
            <w:r>
              <w:rPr>
                <w:rFonts w:hint="eastAsia"/>
              </w:rPr>
              <w:t>-</w:t>
            </w:r>
          </w:p>
        </w:tc>
        <w:tc>
          <w:tcPr>
            <w:tcW w:w="1860" w:type="dxa"/>
            <w:vAlign w:val="center"/>
          </w:tcPr>
          <w:p w14:paraId="394E5A66">
            <w:pPr>
              <w:jc w:val="right"/>
            </w:pPr>
            <w:r>
              <w:rPr>
                <w:rFonts w:hint="eastAsia"/>
              </w:rPr>
              <w:t>1,426,662,481.07</w:t>
            </w:r>
          </w:p>
        </w:tc>
        <w:tc>
          <w:tcPr>
            <w:tcW w:w="1517" w:type="dxa"/>
            <w:vAlign w:val="center"/>
          </w:tcPr>
          <w:p w14:paraId="31B4AA63">
            <w:pPr>
              <w:jc w:val="right"/>
            </w:pPr>
            <w:r>
              <w:rPr>
                <w:rFonts w:hint="eastAsia"/>
              </w:rPr>
              <w:t>19,324,184.99</w:t>
            </w:r>
          </w:p>
        </w:tc>
      </w:tr>
      <w:tr w14:paraId="43C0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FE4937">
            <w:r>
              <w:rPr>
                <w:rFonts w:hint="eastAsia"/>
              </w:rPr>
              <w:t>其他</w:t>
            </w:r>
          </w:p>
        </w:tc>
        <w:tc>
          <w:tcPr>
            <w:tcW w:w="1860" w:type="dxa"/>
            <w:vAlign w:val="center"/>
          </w:tcPr>
          <w:p w14:paraId="14CD8CDA">
            <w:pPr>
              <w:jc w:val="right"/>
            </w:pPr>
            <w:r>
              <w:rPr>
                <w:rFonts w:hint="eastAsia"/>
              </w:rPr>
              <w:t>-</w:t>
            </w:r>
          </w:p>
        </w:tc>
        <w:tc>
          <w:tcPr>
            <w:tcW w:w="1517" w:type="dxa"/>
            <w:vAlign w:val="center"/>
          </w:tcPr>
          <w:p w14:paraId="115A7C8F">
            <w:pPr>
              <w:jc w:val="right"/>
            </w:pPr>
            <w:r>
              <w:rPr>
                <w:rFonts w:hint="eastAsia"/>
              </w:rPr>
              <w:t>-</w:t>
            </w:r>
          </w:p>
        </w:tc>
        <w:tc>
          <w:tcPr>
            <w:tcW w:w="1860" w:type="dxa"/>
            <w:vAlign w:val="center"/>
          </w:tcPr>
          <w:p w14:paraId="74AAF302">
            <w:pPr>
              <w:jc w:val="right"/>
            </w:pPr>
            <w:r>
              <w:rPr>
                <w:rFonts w:hint="eastAsia"/>
              </w:rPr>
              <w:t>-</w:t>
            </w:r>
          </w:p>
        </w:tc>
        <w:tc>
          <w:tcPr>
            <w:tcW w:w="1517" w:type="dxa"/>
            <w:vAlign w:val="center"/>
          </w:tcPr>
          <w:p w14:paraId="5E26BF08">
            <w:pPr>
              <w:jc w:val="right"/>
            </w:pPr>
            <w:r>
              <w:rPr>
                <w:rFonts w:hint="eastAsia"/>
              </w:rPr>
              <w:t>-</w:t>
            </w:r>
          </w:p>
        </w:tc>
      </w:tr>
      <w:tr w14:paraId="32E8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14649B">
            <w:r>
              <w:rPr>
                <w:rFonts w:hint="eastAsia"/>
              </w:rPr>
              <w:t>合计</w:t>
            </w:r>
          </w:p>
        </w:tc>
        <w:tc>
          <w:tcPr>
            <w:tcW w:w="1860" w:type="dxa"/>
            <w:vAlign w:val="center"/>
          </w:tcPr>
          <w:p w14:paraId="6BA18BA9">
            <w:pPr>
              <w:jc w:val="right"/>
            </w:pPr>
            <w:r>
              <w:rPr>
                <w:rFonts w:hint="eastAsia"/>
              </w:rPr>
              <w:t>1,489,764,699.56</w:t>
            </w:r>
          </w:p>
        </w:tc>
        <w:tc>
          <w:tcPr>
            <w:tcW w:w="1517" w:type="dxa"/>
            <w:vAlign w:val="center"/>
          </w:tcPr>
          <w:p w14:paraId="6E1386F0">
            <w:pPr>
              <w:jc w:val="right"/>
            </w:pPr>
            <w:r>
              <w:rPr>
                <w:rFonts w:hint="eastAsia"/>
              </w:rPr>
              <w:t>921,408.66</w:t>
            </w:r>
          </w:p>
        </w:tc>
        <w:tc>
          <w:tcPr>
            <w:tcW w:w="1860" w:type="dxa"/>
            <w:vAlign w:val="center"/>
          </w:tcPr>
          <w:p w14:paraId="1A9FB115">
            <w:pPr>
              <w:jc w:val="right"/>
            </w:pPr>
            <w:r>
              <w:rPr>
                <w:rFonts w:hint="eastAsia"/>
              </w:rPr>
              <w:t>1,510,183,889.73</w:t>
            </w:r>
          </w:p>
        </w:tc>
        <w:tc>
          <w:tcPr>
            <w:tcW w:w="1517" w:type="dxa"/>
            <w:vAlign w:val="center"/>
          </w:tcPr>
          <w:p w14:paraId="2235E8D4">
            <w:pPr>
              <w:jc w:val="right"/>
            </w:pPr>
            <w:r>
              <w:rPr>
                <w:rFonts w:hint="eastAsia"/>
              </w:rPr>
              <w:t>19,497,781.51</w:t>
            </w:r>
          </w:p>
        </w:tc>
      </w:tr>
    </w:tbl>
    <w:p w14:paraId="415866B8">
      <w:pPr>
        <w:pStyle w:val="35"/>
      </w:pPr>
      <w:bookmarkStart w:id="75" w:name="_Toc75"/>
      <w:r>
        <w:t>衍生金融资产/负债</w:t>
      </w:r>
      <w:bookmarkEnd w:id="75"/>
    </w:p>
    <w:p w14:paraId="33A050B2">
      <w:pPr>
        <w:pStyle w:val="36"/>
      </w:pPr>
      <w:bookmarkStart w:id="76" w:name="_Toc76"/>
      <w:r>
        <w:t>衍生金融资产/负债期末余额</w:t>
      </w:r>
      <w:bookmarkEnd w:id="76"/>
    </w:p>
    <w:p w14:paraId="63DC102D">
      <w:pPr>
        <w:pStyle w:val="18"/>
        <w:rPr>
          <w:rFonts w:hint="eastAsia"/>
        </w:rPr>
      </w:pPr>
      <w:r>
        <w:rPr>
          <w:rFonts w:hint="eastAsia"/>
        </w:rPr>
        <w:t>无。</w:t>
      </w:r>
    </w:p>
    <w:p w14:paraId="0EEBBB98">
      <w:pPr>
        <w:pStyle w:val="35"/>
      </w:pPr>
      <w:bookmarkStart w:id="77" w:name="_Toc77"/>
      <w:r>
        <w:t xml:space="preserve"> 买入返售金融资产</w:t>
      </w:r>
      <w:bookmarkEnd w:id="77"/>
    </w:p>
    <w:p w14:paraId="5781DD06">
      <w:pPr>
        <w:pStyle w:val="36"/>
      </w:pPr>
      <w:bookmarkStart w:id="78" w:name="_Toc78"/>
      <w:r>
        <w:t>各项买入返售金融资产期末余额</w:t>
      </w:r>
      <w:bookmarkEnd w:id="78"/>
    </w:p>
    <w:p w14:paraId="16EB51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8F1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C710796">
            <w:r>
              <w:rPr>
                <w:rFonts w:hint="eastAsia"/>
              </w:rPr>
              <w:t>项目</w:t>
            </w:r>
          </w:p>
        </w:tc>
        <w:tc>
          <w:tcPr>
            <w:tcW w:w="2519" w:type="dxa"/>
            <w:gridSpan w:val="2"/>
            <w:vAlign w:val="center"/>
          </w:tcPr>
          <w:p w14:paraId="4C9FFDF1">
            <w:r>
              <w:rPr>
                <w:rFonts w:hint="eastAsia"/>
              </w:rPr>
              <w:t>本期末2025年12月31日</w:t>
            </w:r>
          </w:p>
        </w:tc>
      </w:tr>
      <w:tr w14:paraId="18A0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004D3D1"/>
        </w:tc>
        <w:tc>
          <w:tcPr>
            <w:tcW w:w="2519" w:type="dxa"/>
            <w:vAlign w:val="center"/>
          </w:tcPr>
          <w:p w14:paraId="211DA2D8">
            <w:r>
              <w:rPr>
                <w:rFonts w:hint="eastAsia"/>
              </w:rPr>
              <w:t>账面余额</w:t>
            </w:r>
          </w:p>
        </w:tc>
        <w:tc>
          <w:tcPr>
            <w:tcW w:w="3322" w:type="dxa"/>
            <w:vAlign w:val="center"/>
          </w:tcPr>
          <w:p w14:paraId="79EC5062">
            <w:r>
              <w:rPr>
                <w:rFonts w:hint="eastAsia"/>
              </w:rPr>
              <w:t>其中：买断式逆回购</w:t>
            </w:r>
          </w:p>
        </w:tc>
      </w:tr>
      <w:tr w14:paraId="3F7E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26C20F">
            <w:r>
              <w:rPr>
                <w:rFonts w:hint="eastAsia"/>
              </w:rPr>
              <w:t>交易所市场</w:t>
            </w:r>
          </w:p>
        </w:tc>
        <w:tc>
          <w:tcPr>
            <w:tcW w:w="2519" w:type="dxa"/>
            <w:vAlign w:val="center"/>
          </w:tcPr>
          <w:p w14:paraId="643D4078">
            <w:pPr>
              <w:jc w:val="right"/>
            </w:pPr>
            <w:r>
              <w:rPr>
                <w:rFonts w:hint="eastAsia"/>
              </w:rPr>
              <w:t>-31,381.98</w:t>
            </w:r>
          </w:p>
        </w:tc>
        <w:tc>
          <w:tcPr>
            <w:tcW w:w="3322" w:type="dxa"/>
            <w:vAlign w:val="center"/>
          </w:tcPr>
          <w:p w14:paraId="022E65ED">
            <w:pPr>
              <w:jc w:val="right"/>
            </w:pPr>
            <w:r>
              <w:rPr>
                <w:rFonts w:hint="eastAsia"/>
              </w:rPr>
              <w:t>-</w:t>
            </w:r>
          </w:p>
        </w:tc>
      </w:tr>
      <w:tr w14:paraId="0A52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93F635">
            <w:r>
              <w:rPr>
                <w:rFonts w:hint="eastAsia"/>
              </w:rPr>
              <w:t>银行间市场</w:t>
            </w:r>
          </w:p>
        </w:tc>
        <w:tc>
          <w:tcPr>
            <w:tcW w:w="2519" w:type="dxa"/>
            <w:vAlign w:val="center"/>
          </w:tcPr>
          <w:p w14:paraId="12D737D5">
            <w:pPr>
              <w:jc w:val="right"/>
            </w:pPr>
            <w:r>
              <w:rPr>
                <w:rFonts w:hint="eastAsia"/>
              </w:rPr>
              <w:t>-</w:t>
            </w:r>
          </w:p>
        </w:tc>
        <w:tc>
          <w:tcPr>
            <w:tcW w:w="3322" w:type="dxa"/>
            <w:vAlign w:val="center"/>
          </w:tcPr>
          <w:p w14:paraId="422EC774">
            <w:pPr>
              <w:jc w:val="right"/>
            </w:pPr>
            <w:r>
              <w:rPr>
                <w:rFonts w:hint="eastAsia"/>
              </w:rPr>
              <w:t>-</w:t>
            </w:r>
          </w:p>
        </w:tc>
      </w:tr>
      <w:tr w14:paraId="5B46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DF051D3">
            <w:r>
              <w:rPr>
                <w:rFonts w:hint="eastAsia"/>
              </w:rPr>
              <w:t>合计</w:t>
            </w:r>
          </w:p>
        </w:tc>
        <w:tc>
          <w:tcPr>
            <w:tcW w:w="2519" w:type="dxa"/>
            <w:vAlign w:val="center"/>
          </w:tcPr>
          <w:p w14:paraId="2E3B2871">
            <w:pPr>
              <w:jc w:val="right"/>
            </w:pPr>
            <w:r>
              <w:rPr>
                <w:rFonts w:hint="eastAsia"/>
              </w:rPr>
              <w:t>-31,381.98</w:t>
            </w:r>
          </w:p>
        </w:tc>
        <w:tc>
          <w:tcPr>
            <w:tcW w:w="3322" w:type="dxa"/>
            <w:vAlign w:val="center"/>
          </w:tcPr>
          <w:p w14:paraId="4C508CED">
            <w:pPr>
              <w:jc w:val="right"/>
            </w:pPr>
            <w:r>
              <w:rPr>
                <w:rFonts w:hint="eastAsia"/>
              </w:rPr>
              <w:t>-</w:t>
            </w:r>
          </w:p>
        </w:tc>
      </w:tr>
    </w:tbl>
    <w:p w14:paraId="2906EA2F">
      <w:pPr>
        <w:pStyle w:val="36"/>
      </w:pPr>
      <w:bookmarkStart w:id="79" w:name="_Toc79"/>
      <w:r>
        <w:t xml:space="preserve"> 期末买断式逆回购交易中取得的债券</w:t>
      </w:r>
      <w:bookmarkEnd w:id="79"/>
    </w:p>
    <w:p w14:paraId="7550BF13">
      <w:pPr>
        <w:pStyle w:val="18"/>
        <w:rPr>
          <w:rFonts w:hint="eastAsia"/>
        </w:rPr>
      </w:pPr>
      <w:r>
        <w:rPr>
          <w:rFonts w:hint="eastAsia"/>
        </w:rPr>
        <w:t>无。</w:t>
      </w:r>
    </w:p>
    <w:p w14:paraId="5F330943">
      <w:pPr>
        <w:pStyle w:val="35"/>
      </w:pPr>
      <w:bookmarkStart w:id="80" w:name="_Toc80"/>
      <w:r>
        <w:t xml:space="preserve"> 其他资产</w:t>
      </w:r>
      <w:bookmarkEnd w:id="80"/>
    </w:p>
    <w:p w14:paraId="4BEAF0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7E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F4F9E6">
            <w:pPr>
              <w:jc w:val="center"/>
            </w:pPr>
            <w:r>
              <w:rPr>
                <w:rFonts w:hint="eastAsia"/>
                <w:b/>
              </w:rPr>
              <w:t>项目</w:t>
            </w:r>
          </w:p>
        </w:tc>
        <w:tc>
          <w:tcPr>
            <w:tcW w:w="4153" w:type="dxa"/>
            <w:shd w:val="clear" w:color="auto" w:fill="BFBFBF"/>
            <w:vAlign w:val="center"/>
          </w:tcPr>
          <w:p w14:paraId="14585A52">
            <w:pPr>
              <w:jc w:val="center"/>
            </w:pPr>
            <w:r>
              <w:rPr>
                <w:rFonts w:hint="eastAsia"/>
                <w:b/>
              </w:rPr>
              <w:t>本期末2025年12月31日</w:t>
            </w:r>
          </w:p>
        </w:tc>
      </w:tr>
      <w:tr w14:paraId="4DD6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BBDD9B">
            <w:r>
              <w:rPr>
                <w:rFonts w:hint="eastAsia"/>
              </w:rPr>
              <w:t>应收利息</w:t>
            </w:r>
          </w:p>
        </w:tc>
        <w:tc>
          <w:tcPr>
            <w:tcW w:w="4153" w:type="dxa"/>
            <w:vAlign w:val="center"/>
          </w:tcPr>
          <w:p w14:paraId="0A35B22E">
            <w:pPr>
              <w:jc w:val="right"/>
            </w:pPr>
            <w:r>
              <w:rPr>
                <w:rFonts w:hint="eastAsia"/>
              </w:rPr>
              <w:t>-</w:t>
            </w:r>
          </w:p>
        </w:tc>
      </w:tr>
      <w:tr w14:paraId="5B21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A0C5D">
            <w:r>
              <w:rPr>
                <w:rFonts w:hint="eastAsia"/>
              </w:rPr>
              <w:t>其他应收款</w:t>
            </w:r>
          </w:p>
        </w:tc>
        <w:tc>
          <w:tcPr>
            <w:tcW w:w="4153" w:type="dxa"/>
            <w:vAlign w:val="center"/>
          </w:tcPr>
          <w:p w14:paraId="4A3C08C6">
            <w:pPr>
              <w:jc w:val="right"/>
            </w:pPr>
            <w:r>
              <w:rPr>
                <w:rFonts w:hint="eastAsia"/>
              </w:rPr>
              <w:t>56,496.71</w:t>
            </w:r>
          </w:p>
        </w:tc>
      </w:tr>
      <w:tr w14:paraId="73DF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B5FB6">
            <w:r>
              <w:rPr>
                <w:rFonts w:hint="eastAsia"/>
              </w:rPr>
              <w:t>待摊费用</w:t>
            </w:r>
          </w:p>
        </w:tc>
        <w:tc>
          <w:tcPr>
            <w:tcW w:w="4153" w:type="dxa"/>
            <w:vAlign w:val="center"/>
          </w:tcPr>
          <w:p w14:paraId="4C456A91">
            <w:pPr>
              <w:jc w:val="right"/>
            </w:pPr>
            <w:r>
              <w:rPr>
                <w:rFonts w:hint="eastAsia"/>
              </w:rPr>
              <w:t>-</w:t>
            </w:r>
          </w:p>
        </w:tc>
      </w:tr>
      <w:tr w14:paraId="1BB8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DC5AB2">
            <w:r>
              <w:rPr>
                <w:rFonts w:hint="eastAsia"/>
              </w:rPr>
              <w:t>合计</w:t>
            </w:r>
          </w:p>
        </w:tc>
        <w:tc>
          <w:tcPr>
            <w:tcW w:w="4153" w:type="dxa"/>
            <w:vAlign w:val="center"/>
          </w:tcPr>
          <w:p w14:paraId="253725FA">
            <w:pPr>
              <w:jc w:val="right"/>
            </w:pPr>
            <w:r>
              <w:rPr>
                <w:rFonts w:hint="eastAsia"/>
              </w:rPr>
              <w:t>56,496.71</w:t>
            </w:r>
          </w:p>
        </w:tc>
      </w:tr>
    </w:tbl>
    <w:p w14:paraId="0A8B6A5A">
      <w:pPr>
        <w:pStyle w:val="35"/>
      </w:pPr>
      <w:bookmarkStart w:id="81" w:name="_Toc81"/>
      <w:r>
        <w:t>其他负债</w:t>
      </w:r>
      <w:bookmarkEnd w:id="81"/>
    </w:p>
    <w:p w14:paraId="390409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0C33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44F39996">
            <w:pPr>
              <w:jc w:val="center"/>
            </w:pPr>
            <w:r>
              <w:rPr>
                <w:rFonts w:hint="eastAsia"/>
                <w:b/>
              </w:rPr>
              <w:t>项目</w:t>
            </w:r>
          </w:p>
        </w:tc>
        <w:tc>
          <w:tcPr>
            <w:tcW w:w="4706" w:type="dxa"/>
            <w:shd w:val="clear" w:color="auto" w:fill="BFBFBF"/>
            <w:vAlign w:val="center"/>
          </w:tcPr>
          <w:p w14:paraId="2015E13E">
            <w:pPr>
              <w:jc w:val="center"/>
            </w:pPr>
            <w:r>
              <w:rPr>
                <w:rFonts w:hint="eastAsia"/>
                <w:b/>
              </w:rPr>
              <w:t>本期末2025年12月31日</w:t>
            </w:r>
          </w:p>
        </w:tc>
      </w:tr>
      <w:tr w14:paraId="3E50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646AC4F">
            <w:r>
              <w:rPr>
                <w:rFonts w:hint="eastAsia"/>
              </w:rPr>
              <w:t>应付券商交易单元保证金</w:t>
            </w:r>
          </w:p>
        </w:tc>
        <w:tc>
          <w:tcPr>
            <w:tcW w:w="4706" w:type="dxa"/>
            <w:vAlign w:val="center"/>
          </w:tcPr>
          <w:p w14:paraId="30B756B4">
            <w:pPr>
              <w:jc w:val="right"/>
            </w:pPr>
            <w:r>
              <w:rPr>
                <w:rFonts w:hint="eastAsia"/>
              </w:rPr>
              <w:t>-</w:t>
            </w:r>
          </w:p>
        </w:tc>
      </w:tr>
      <w:tr w14:paraId="6602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93CDB32">
            <w:r>
              <w:rPr>
                <w:rFonts w:hint="eastAsia"/>
              </w:rPr>
              <w:t>应付赎回费</w:t>
            </w:r>
          </w:p>
        </w:tc>
        <w:tc>
          <w:tcPr>
            <w:tcW w:w="4706" w:type="dxa"/>
            <w:vAlign w:val="center"/>
          </w:tcPr>
          <w:p w14:paraId="48475BC8">
            <w:pPr>
              <w:jc w:val="right"/>
            </w:pPr>
            <w:r>
              <w:rPr>
                <w:rFonts w:hint="eastAsia"/>
              </w:rPr>
              <w:t>585.78</w:t>
            </w:r>
          </w:p>
        </w:tc>
      </w:tr>
      <w:tr w14:paraId="6D30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50D2639">
            <w:r>
              <w:rPr>
                <w:rFonts w:hint="eastAsia"/>
              </w:rPr>
              <w:t>应付证券出借违约金</w:t>
            </w:r>
          </w:p>
        </w:tc>
        <w:tc>
          <w:tcPr>
            <w:tcW w:w="4706" w:type="dxa"/>
            <w:vAlign w:val="center"/>
          </w:tcPr>
          <w:p w14:paraId="416CB99C">
            <w:pPr>
              <w:jc w:val="right"/>
            </w:pPr>
            <w:r>
              <w:rPr>
                <w:rFonts w:hint="eastAsia"/>
              </w:rPr>
              <w:t>-</w:t>
            </w:r>
          </w:p>
        </w:tc>
      </w:tr>
      <w:tr w14:paraId="0253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BD7348C">
            <w:r>
              <w:rPr>
                <w:rFonts w:hint="eastAsia"/>
              </w:rPr>
              <w:t>应付交易费用</w:t>
            </w:r>
          </w:p>
        </w:tc>
        <w:tc>
          <w:tcPr>
            <w:tcW w:w="4706" w:type="dxa"/>
            <w:vAlign w:val="center"/>
          </w:tcPr>
          <w:p w14:paraId="10AEE975">
            <w:pPr>
              <w:jc w:val="right"/>
            </w:pPr>
            <w:r>
              <w:rPr>
                <w:rFonts w:hint="eastAsia"/>
              </w:rPr>
              <w:t>-</w:t>
            </w:r>
          </w:p>
        </w:tc>
      </w:tr>
      <w:tr w14:paraId="360C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40571E8">
            <w:r>
              <w:rPr>
                <w:rFonts w:hint="eastAsia"/>
              </w:rPr>
              <w:t>其中：交易所市场</w:t>
            </w:r>
          </w:p>
        </w:tc>
        <w:tc>
          <w:tcPr>
            <w:tcW w:w="4706" w:type="dxa"/>
            <w:vAlign w:val="center"/>
          </w:tcPr>
          <w:p w14:paraId="7FD657FC">
            <w:pPr>
              <w:jc w:val="right"/>
            </w:pPr>
            <w:r>
              <w:rPr>
                <w:rFonts w:hint="eastAsia"/>
              </w:rPr>
              <w:t>-</w:t>
            </w:r>
          </w:p>
        </w:tc>
      </w:tr>
      <w:tr w14:paraId="3730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857F48A">
            <w:r>
              <w:rPr>
                <w:rFonts w:hint="eastAsia"/>
              </w:rPr>
              <w:t xml:space="preserve">      银行间市场</w:t>
            </w:r>
          </w:p>
        </w:tc>
        <w:tc>
          <w:tcPr>
            <w:tcW w:w="4706" w:type="dxa"/>
            <w:vAlign w:val="center"/>
          </w:tcPr>
          <w:p w14:paraId="03AEA5D7">
            <w:pPr>
              <w:jc w:val="right"/>
            </w:pPr>
            <w:r>
              <w:rPr>
                <w:rFonts w:hint="eastAsia"/>
              </w:rPr>
              <w:t>-</w:t>
            </w:r>
          </w:p>
        </w:tc>
      </w:tr>
      <w:tr w14:paraId="2918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8C9C580">
            <w:r>
              <w:rPr>
                <w:rFonts w:hint="eastAsia"/>
              </w:rPr>
              <w:t>应付利息</w:t>
            </w:r>
          </w:p>
        </w:tc>
        <w:tc>
          <w:tcPr>
            <w:tcW w:w="4706" w:type="dxa"/>
            <w:vAlign w:val="center"/>
          </w:tcPr>
          <w:p w14:paraId="015E8193">
            <w:pPr>
              <w:jc w:val="right"/>
            </w:pPr>
            <w:r>
              <w:rPr>
                <w:rFonts w:hint="eastAsia"/>
              </w:rPr>
              <w:t>-</w:t>
            </w:r>
          </w:p>
        </w:tc>
      </w:tr>
      <w:tr w14:paraId="6091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342C139">
            <w:r>
              <w:rPr>
                <w:rFonts w:hint="eastAsia"/>
              </w:rPr>
              <w:t>预提费用</w:t>
            </w:r>
          </w:p>
        </w:tc>
        <w:tc>
          <w:tcPr>
            <w:tcW w:w="4706" w:type="dxa"/>
            <w:vAlign w:val="center"/>
          </w:tcPr>
          <w:p w14:paraId="3A259E57">
            <w:pPr>
              <w:jc w:val="right"/>
            </w:pPr>
            <w:r>
              <w:rPr>
                <w:rFonts w:hint="eastAsia"/>
              </w:rPr>
              <w:t>60,000.00</w:t>
            </w:r>
          </w:p>
        </w:tc>
      </w:tr>
      <w:tr w14:paraId="66F0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25D7ED2">
            <w:r>
              <w:rPr>
                <w:rFonts w:hint="eastAsia"/>
              </w:rPr>
              <w:t>合计</w:t>
            </w:r>
          </w:p>
        </w:tc>
        <w:tc>
          <w:tcPr>
            <w:tcW w:w="4706" w:type="dxa"/>
            <w:vAlign w:val="center"/>
          </w:tcPr>
          <w:p w14:paraId="7F5AD467">
            <w:pPr>
              <w:jc w:val="right"/>
            </w:pPr>
            <w:r>
              <w:rPr>
                <w:rFonts w:hint="eastAsia"/>
              </w:rPr>
              <w:t>60,585.78</w:t>
            </w:r>
          </w:p>
        </w:tc>
      </w:tr>
    </w:tbl>
    <w:p w14:paraId="44572628">
      <w:pPr>
        <w:pStyle w:val="35"/>
      </w:pPr>
      <w:bookmarkStart w:id="82" w:name="_Toc82"/>
      <w:r>
        <w:t xml:space="preserve">实收基金 </w:t>
      </w:r>
      <w:bookmarkEnd w:id="82"/>
    </w:p>
    <w:p w14:paraId="21CF3A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E2F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21658C">
            <w:pPr>
              <w:jc w:val="center"/>
            </w:pPr>
            <w:r>
              <w:rPr>
                <w:rFonts w:hint="eastAsia"/>
                <w:b/>
              </w:rPr>
              <w:t>南方稳见3个月持有混合（FOF）A</w:t>
            </w:r>
          </w:p>
        </w:tc>
      </w:tr>
      <w:tr w14:paraId="020D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37A56A">
            <w:pPr>
              <w:jc w:val="center"/>
            </w:pPr>
            <w:r>
              <w:rPr>
                <w:rFonts w:hint="eastAsia"/>
                <w:b/>
              </w:rPr>
              <w:t>项目</w:t>
            </w:r>
          </w:p>
        </w:tc>
        <w:tc>
          <w:tcPr>
            <w:tcW w:w="2491" w:type="dxa"/>
            <w:gridSpan w:val="2"/>
            <w:shd w:val="clear" w:color="auto" w:fill="BFBFBF"/>
            <w:vAlign w:val="center"/>
          </w:tcPr>
          <w:p w14:paraId="20A50522">
            <w:pPr>
              <w:jc w:val="center"/>
            </w:pPr>
            <w:r>
              <w:rPr>
                <w:rFonts w:hint="eastAsia"/>
                <w:b/>
              </w:rPr>
              <w:t>本期2025年4月28日（基金合同生效日）至2025年12月31日</w:t>
            </w:r>
          </w:p>
        </w:tc>
      </w:tr>
      <w:tr w14:paraId="3228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8F92C47"/>
        </w:tc>
        <w:tc>
          <w:tcPr>
            <w:tcW w:w="2491" w:type="dxa"/>
            <w:shd w:val="clear" w:color="auto" w:fill="BFBFBF"/>
            <w:vAlign w:val="center"/>
          </w:tcPr>
          <w:p w14:paraId="7BDA3281">
            <w:pPr>
              <w:jc w:val="center"/>
            </w:pPr>
            <w:r>
              <w:rPr>
                <w:rFonts w:hint="eastAsia"/>
                <w:b/>
              </w:rPr>
              <w:t>基金份额（份）</w:t>
            </w:r>
          </w:p>
        </w:tc>
        <w:tc>
          <w:tcPr>
            <w:tcW w:w="2907" w:type="dxa"/>
            <w:shd w:val="clear" w:color="auto" w:fill="BFBFBF"/>
            <w:vAlign w:val="center"/>
          </w:tcPr>
          <w:p w14:paraId="5FC4BFCD">
            <w:pPr>
              <w:jc w:val="center"/>
            </w:pPr>
            <w:r>
              <w:rPr>
                <w:rFonts w:hint="eastAsia"/>
                <w:b/>
              </w:rPr>
              <w:t>账面金额</w:t>
            </w:r>
          </w:p>
        </w:tc>
      </w:tr>
      <w:tr w14:paraId="019D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ED2709">
            <w:r>
              <w:rPr>
                <w:rFonts w:hint="eastAsia"/>
              </w:rPr>
              <w:t>基金合同生效日</w:t>
            </w:r>
          </w:p>
        </w:tc>
        <w:tc>
          <w:tcPr>
            <w:tcW w:w="2491" w:type="dxa"/>
            <w:vAlign w:val="center"/>
          </w:tcPr>
          <w:p w14:paraId="5EAF5ECB">
            <w:pPr>
              <w:jc w:val="right"/>
            </w:pPr>
            <w:r>
              <w:rPr>
                <w:rFonts w:hint="eastAsia"/>
              </w:rPr>
              <w:t>966,499,636.61</w:t>
            </w:r>
          </w:p>
        </w:tc>
        <w:tc>
          <w:tcPr>
            <w:tcW w:w="2907" w:type="dxa"/>
            <w:vAlign w:val="center"/>
          </w:tcPr>
          <w:p w14:paraId="2E29A581">
            <w:pPr>
              <w:jc w:val="right"/>
            </w:pPr>
            <w:r>
              <w:rPr>
                <w:rFonts w:hint="eastAsia"/>
              </w:rPr>
              <w:t>966,499,636.61</w:t>
            </w:r>
          </w:p>
        </w:tc>
      </w:tr>
      <w:tr w14:paraId="41A3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F8A2DA">
            <w:r>
              <w:rPr>
                <w:rFonts w:hint="eastAsia"/>
              </w:rPr>
              <w:t>本期申购</w:t>
            </w:r>
          </w:p>
        </w:tc>
        <w:tc>
          <w:tcPr>
            <w:tcW w:w="2491" w:type="dxa"/>
            <w:vAlign w:val="center"/>
          </w:tcPr>
          <w:p w14:paraId="02239121">
            <w:pPr>
              <w:jc w:val="right"/>
            </w:pPr>
            <w:r>
              <w:rPr>
                <w:rFonts w:hint="eastAsia"/>
              </w:rPr>
              <w:t>116,431,794.20</w:t>
            </w:r>
          </w:p>
        </w:tc>
        <w:tc>
          <w:tcPr>
            <w:tcW w:w="2907" w:type="dxa"/>
            <w:vAlign w:val="center"/>
          </w:tcPr>
          <w:p w14:paraId="69575425">
            <w:pPr>
              <w:jc w:val="right"/>
            </w:pPr>
            <w:r>
              <w:rPr>
                <w:rFonts w:hint="eastAsia"/>
              </w:rPr>
              <w:t>116,431,794.20</w:t>
            </w:r>
          </w:p>
        </w:tc>
      </w:tr>
      <w:tr w14:paraId="748B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0223C8">
            <w:r>
              <w:rPr>
                <w:rFonts w:hint="eastAsia"/>
              </w:rPr>
              <w:t>本期赎回（以“-”号填列）</w:t>
            </w:r>
          </w:p>
        </w:tc>
        <w:tc>
          <w:tcPr>
            <w:tcW w:w="2491" w:type="dxa"/>
            <w:vAlign w:val="center"/>
          </w:tcPr>
          <w:p w14:paraId="1DBF878F">
            <w:pPr>
              <w:jc w:val="right"/>
            </w:pPr>
            <w:r>
              <w:rPr>
                <w:rFonts w:hint="eastAsia"/>
              </w:rPr>
              <w:t>-638,814,904.26</w:t>
            </w:r>
          </w:p>
        </w:tc>
        <w:tc>
          <w:tcPr>
            <w:tcW w:w="2907" w:type="dxa"/>
            <w:vAlign w:val="center"/>
          </w:tcPr>
          <w:p w14:paraId="594A055C">
            <w:pPr>
              <w:jc w:val="right"/>
            </w:pPr>
            <w:r>
              <w:rPr>
                <w:rFonts w:hint="eastAsia"/>
              </w:rPr>
              <w:t>-638,814,904.26</w:t>
            </w:r>
          </w:p>
        </w:tc>
      </w:tr>
      <w:tr w14:paraId="6AE8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19DCF2">
            <w:r>
              <w:rPr>
                <w:rFonts w:hint="eastAsia"/>
              </w:rPr>
              <w:t>基金拆分/份额折算前</w:t>
            </w:r>
          </w:p>
        </w:tc>
        <w:tc>
          <w:tcPr>
            <w:tcW w:w="2491" w:type="dxa"/>
            <w:vAlign w:val="center"/>
          </w:tcPr>
          <w:p w14:paraId="65889275">
            <w:pPr>
              <w:jc w:val="right"/>
            </w:pPr>
            <w:r>
              <w:rPr>
                <w:rFonts w:hint="eastAsia"/>
              </w:rPr>
              <w:t>-</w:t>
            </w:r>
          </w:p>
        </w:tc>
        <w:tc>
          <w:tcPr>
            <w:tcW w:w="2907" w:type="dxa"/>
            <w:vAlign w:val="center"/>
          </w:tcPr>
          <w:p w14:paraId="2BEBF527">
            <w:pPr>
              <w:jc w:val="right"/>
            </w:pPr>
            <w:r>
              <w:rPr>
                <w:rFonts w:hint="eastAsia"/>
              </w:rPr>
              <w:t>-</w:t>
            </w:r>
          </w:p>
        </w:tc>
      </w:tr>
      <w:tr w14:paraId="72A4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851EDD">
            <w:r>
              <w:rPr>
                <w:rFonts w:hint="eastAsia"/>
              </w:rPr>
              <w:t>基金拆分/份额折算调整</w:t>
            </w:r>
          </w:p>
        </w:tc>
        <w:tc>
          <w:tcPr>
            <w:tcW w:w="2491" w:type="dxa"/>
            <w:vAlign w:val="center"/>
          </w:tcPr>
          <w:p w14:paraId="00CFD621">
            <w:pPr>
              <w:jc w:val="right"/>
            </w:pPr>
            <w:r>
              <w:rPr>
                <w:rFonts w:hint="eastAsia"/>
              </w:rPr>
              <w:t>-</w:t>
            </w:r>
          </w:p>
        </w:tc>
        <w:tc>
          <w:tcPr>
            <w:tcW w:w="2907" w:type="dxa"/>
            <w:vAlign w:val="center"/>
          </w:tcPr>
          <w:p w14:paraId="6CF4FCCF">
            <w:pPr>
              <w:jc w:val="right"/>
            </w:pPr>
            <w:r>
              <w:rPr>
                <w:rFonts w:hint="eastAsia"/>
              </w:rPr>
              <w:t>-</w:t>
            </w:r>
          </w:p>
        </w:tc>
      </w:tr>
      <w:tr w14:paraId="314F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866986">
            <w:r>
              <w:rPr>
                <w:rFonts w:hint="eastAsia"/>
              </w:rPr>
              <w:t>本期申购</w:t>
            </w:r>
          </w:p>
        </w:tc>
        <w:tc>
          <w:tcPr>
            <w:tcW w:w="2491" w:type="dxa"/>
            <w:vAlign w:val="center"/>
          </w:tcPr>
          <w:p w14:paraId="6DC23C46">
            <w:pPr>
              <w:jc w:val="right"/>
            </w:pPr>
            <w:r>
              <w:rPr>
                <w:rFonts w:hint="eastAsia"/>
              </w:rPr>
              <w:t>-</w:t>
            </w:r>
          </w:p>
        </w:tc>
        <w:tc>
          <w:tcPr>
            <w:tcW w:w="2907" w:type="dxa"/>
            <w:vAlign w:val="center"/>
          </w:tcPr>
          <w:p w14:paraId="078DB30C">
            <w:pPr>
              <w:jc w:val="right"/>
            </w:pPr>
            <w:r>
              <w:rPr>
                <w:rFonts w:hint="eastAsia"/>
              </w:rPr>
              <w:t>-</w:t>
            </w:r>
          </w:p>
        </w:tc>
      </w:tr>
      <w:tr w14:paraId="5427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09B412">
            <w:r>
              <w:rPr>
                <w:rFonts w:hint="eastAsia"/>
              </w:rPr>
              <w:t>本期赎回（以“-”号填列）</w:t>
            </w:r>
          </w:p>
        </w:tc>
        <w:tc>
          <w:tcPr>
            <w:tcW w:w="2491" w:type="dxa"/>
            <w:vAlign w:val="center"/>
          </w:tcPr>
          <w:p w14:paraId="35B8D8DA">
            <w:pPr>
              <w:jc w:val="right"/>
            </w:pPr>
            <w:r>
              <w:rPr>
                <w:rFonts w:hint="eastAsia"/>
              </w:rPr>
              <w:t>-</w:t>
            </w:r>
          </w:p>
        </w:tc>
        <w:tc>
          <w:tcPr>
            <w:tcW w:w="2907" w:type="dxa"/>
            <w:vAlign w:val="center"/>
          </w:tcPr>
          <w:p w14:paraId="563381DA">
            <w:pPr>
              <w:jc w:val="right"/>
            </w:pPr>
            <w:r>
              <w:rPr>
                <w:rFonts w:hint="eastAsia"/>
              </w:rPr>
              <w:t>-</w:t>
            </w:r>
          </w:p>
        </w:tc>
      </w:tr>
      <w:tr w14:paraId="3254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1BF7B1">
            <w:r>
              <w:rPr>
                <w:rFonts w:hint="eastAsia"/>
              </w:rPr>
              <w:t>本期末</w:t>
            </w:r>
          </w:p>
        </w:tc>
        <w:tc>
          <w:tcPr>
            <w:tcW w:w="2491" w:type="dxa"/>
            <w:vAlign w:val="center"/>
          </w:tcPr>
          <w:p w14:paraId="0F4B36BE">
            <w:pPr>
              <w:jc w:val="right"/>
            </w:pPr>
            <w:r>
              <w:rPr>
                <w:rFonts w:hint="eastAsia"/>
              </w:rPr>
              <w:t>444,116,526.55</w:t>
            </w:r>
          </w:p>
        </w:tc>
        <w:tc>
          <w:tcPr>
            <w:tcW w:w="2907" w:type="dxa"/>
            <w:vAlign w:val="center"/>
          </w:tcPr>
          <w:p w14:paraId="4A33E15C">
            <w:pPr>
              <w:jc w:val="right"/>
            </w:pPr>
            <w:r>
              <w:rPr>
                <w:rFonts w:hint="eastAsia"/>
              </w:rPr>
              <w:t>444,116,526.55</w:t>
            </w:r>
          </w:p>
        </w:tc>
      </w:tr>
    </w:tbl>
    <w:p w14:paraId="6F13226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0DC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A30598">
            <w:pPr>
              <w:jc w:val="center"/>
            </w:pPr>
            <w:r>
              <w:rPr>
                <w:rFonts w:hint="eastAsia"/>
                <w:b/>
              </w:rPr>
              <w:t>南方稳见3个月持有混合（FOF）C</w:t>
            </w:r>
          </w:p>
        </w:tc>
      </w:tr>
      <w:tr w14:paraId="0AAD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D262C0">
            <w:pPr>
              <w:jc w:val="center"/>
            </w:pPr>
            <w:r>
              <w:rPr>
                <w:rFonts w:hint="eastAsia"/>
                <w:b/>
              </w:rPr>
              <w:t>项目</w:t>
            </w:r>
          </w:p>
        </w:tc>
        <w:tc>
          <w:tcPr>
            <w:tcW w:w="2491" w:type="dxa"/>
            <w:gridSpan w:val="2"/>
            <w:shd w:val="clear" w:color="auto" w:fill="BFBFBF"/>
            <w:vAlign w:val="center"/>
          </w:tcPr>
          <w:p w14:paraId="6962647B">
            <w:pPr>
              <w:jc w:val="center"/>
            </w:pPr>
            <w:r>
              <w:rPr>
                <w:rFonts w:hint="eastAsia"/>
                <w:b/>
              </w:rPr>
              <w:t>本期2025年4月28日（基金合同生效日）至2025年12月31日</w:t>
            </w:r>
          </w:p>
        </w:tc>
      </w:tr>
      <w:tr w14:paraId="1877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F5E5A6"/>
        </w:tc>
        <w:tc>
          <w:tcPr>
            <w:tcW w:w="2491" w:type="dxa"/>
            <w:shd w:val="clear" w:color="auto" w:fill="BFBFBF"/>
            <w:vAlign w:val="center"/>
          </w:tcPr>
          <w:p w14:paraId="01097B6E">
            <w:pPr>
              <w:jc w:val="center"/>
            </w:pPr>
            <w:r>
              <w:rPr>
                <w:rFonts w:hint="eastAsia"/>
                <w:b/>
              </w:rPr>
              <w:t>基金份额（份）</w:t>
            </w:r>
          </w:p>
        </w:tc>
        <w:tc>
          <w:tcPr>
            <w:tcW w:w="2907" w:type="dxa"/>
            <w:shd w:val="clear" w:color="auto" w:fill="BFBFBF"/>
            <w:vAlign w:val="center"/>
          </w:tcPr>
          <w:p w14:paraId="1D37BC04">
            <w:pPr>
              <w:jc w:val="center"/>
            </w:pPr>
            <w:r>
              <w:rPr>
                <w:rFonts w:hint="eastAsia"/>
                <w:b/>
              </w:rPr>
              <w:t>账面金额</w:t>
            </w:r>
          </w:p>
        </w:tc>
      </w:tr>
      <w:tr w14:paraId="1207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82B79B">
            <w:r>
              <w:rPr>
                <w:rFonts w:hint="eastAsia"/>
              </w:rPr>
              <w:t>基金合同生效日</w:t>
            </w:r>
          </w:p>
        </w:tc>
        <w:tc>
          <w:tcPr>
            <w:tcW w:w="2491" w:type="dxa"/>
            <w:vAlign w:val="center"/>
          </w:tcPr>
          <w:p w14:paraId="22392987">
            <w:pPr>
              <w:jc w:val="right"/>
            </w:pPr>
            <w:r>
              <w:rPr>
                <w:rFonts w:hint="eastAsia"/>
              </w:rPr>
              <w:t>2,659,172,467.13</w:t>
            </w:r>
          </w:p>
        </w:tc>
        <w:tc>
          <w:tcPr>
            <w:tcW w:w="2907" w:type="dxa"/>
            <w:vAlign w:val="center"/>
          </w:tcPr>
          <w:p w14:paraId="3BEE4AD3">
            <w:pPr>
              <w:jc w:val="right"/>
            </w:pPr>
            <w:r>
              <w:rPr>
                <w:rFonts w:hint="eastAsia"/>
              </w:rPr>
              <w:t>2,659,172,467.13</w:t>
            </w:r>
          </w:p>
        </w:tc>
      </w:tr>
      <w:tr w14:paraId="6CBE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FB24BB">
            <w:r>
              <w:rPr>
                <w:rFonts w:hint="eastAsia"/>
              </w:rPr>
              <w:t>本期申购</w:t>
            </w:r>
          </w:p>
        </w:tc>
        <w:tc>
          <w:tcPr>
            <w:tcW w:w="2491" w:type="dxa"/>
            <w:vAlign w:val="center"/>
          </w:tcPr>
          <w:p w14:paraId="417D5DFD">
            <w:pPr>
              <w:jc w:val="right"/>
            </w:pPr>
            <w:r>
              <w:rPr>
                <w:rFonts w:hint="eastAsia"/>
              </w:rPr>
              <w:t>97,444,140.96</w:t>
            </w:r>
          </w:p>
        </w:tc>
        <w:tc>
          <w:tcPr>
            <w:tcW w:w="2907" w:type="dxa"/>
            <w:vAlign w:val="center"/>
          </w:tcPr>
          <w:p w14:paraId="5B291923">
            <w:pPr>
              <w:jc w:val="right"/>
            </w:pPr>
            <w:r>
              <w:rPr>
                <w:rFonts w:hint="eastAsia"/>
              </w:rPr>
              <w:t>97,444,140.96</w:t>
            </w:r>
          </w:p>
        </w:tc>
      </w:tr>
      <w:tr w14:paraId="456A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3036F0">
            <w:r>
              <w:rPr>
                <w:rFonts w:hint="eastAsia"/>
              </w:rPr>
              <w:t>本期赎回（以“-”号填列）</w:t>
            </w:r>
          </w:p>
        </w:tc>
        <w:tc>
          <w:tcPr>
            <w:tcW w:w="2491" w:type="dxa"/>
            <w:vAlign w:val="center"/>
          </w:tcPr>
          <w:p w14:paraId="17E4846F">
            <w:pPr>
              <w:jc w:val="right"/>
            </w:pPr>
            <w:r>
              <w:rPr>
                <w:rFonts w:hint="eastAsia"/>
              </w:rPr>
              <w:t>-1,655,922,766.08</w:t>
            </w:r>
          </w:p>
        </w:tc>
        <w:tc>
          <w:tcPr>
            <w:tcW w:w="2907" w:type="dxa"/>
            <w:vAlign w:val="center"/>
          </w:tcPr>
          <w:p w14:paraId="49A9577E">
            <w:pPr>
              <w:jc w:val="right"/>
            </w:pPr>
            <w:r>
              <w:rPr>
                <w:rFonts w:hint="eastAsia"/>
              </w:rPr>
              <w:t>-1,655,922,766.08</w:t>
            </w:r>
          </w:p>
        </w:tc>
      </w:tr>
      <w:tr w14:paraId="27EB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A19C1F">
            <w:r>
              <w:rPr>
                <w:rFonts w:hint="eastAsia"/>
              </w:rPr>
              <w:t>基金拆分/份额折算前</w:t>
            </w:r>
          </w:p>
        </w:tc>
        <w:tc>
          <w:tcPr>
            <w:tcW w:w="2491" w:type="dxa"/>
            <w:vAlign w:val="center"/>
          </w:tcPr>
          <w:p w14:paraId="533E5C36">
            <w:pPr>
              <w:jc w:val="right"/>
            </w:pPr>
            <w:r>
              <w:rPr>
                <w:rFonts w:hint="eastAsia"/>
              </w:rPr>
              <w:t>-</w:t>
            </w:r>
          </w:p>
        </w:tc>
        <w:tc>
          <w:tcPr>
            <w:tcW w:w="2907" w:type="dxa"/>
            <w:vAlign w:val="center"/>
          </w:tcPr>
          <w:p w14:paraId="07F79E71">
            <w:pPr>
              <w:jc w:val="right"/>
            </w:pPr>
            <w:r>
              <w:rPr>
                <w:rFonts w:hint="eastAsia"/>
              </w:rPr>
              <w:t>-</w:t>
            </w:r>
          </w:p>
        </w:tc>
      </w:tr>
      <w:tr w14:paraId="024A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6A9C0">
            <w:r>
              <w:rPr>
                <w:rFonts w:hint="eastAsia"/>
              </w:rPr>
              <w:t>基金拆分/份额折算调整</w:t>
            </w:r>
          </w:p>
        </w:tc>
        <w:tc>
          <w:tcPr>
            <w:tcW w:w="2491" w:type="dxa"/>
            <w:vAlign w:val="center"/>
          </w:tcPr>
          <w:p w14:paraId="15D96859">
            <w:pPr>
              <w:jc w:val="right"/>
            </w:pPr>
            <w:r>
              <w:rPr>
                <w:rFonts w:hint="eastAsia"/>
              </w:rPr>
              <w:t>-</w:t>
            </w:r>
          </w:p>
        </w:tc>
        <w:tc>
          <w:tcPr>
            <w:tcW w:w="2907" w:type="dxa"/>
            <w:vAlign w:val="center"/>
          </w:tcPr>
          <w:p w14:paraId="31F8C59D">
            <w:pPr>
              <w:jc w:val="right"/>
            </w:pPr>
            <w:r>
              <w:rPr>
                <w:rFonts w:hint="eastAsia"/>
              </w:rPr>
              <w:t>-</w:t>
            </w:r>
          </w:p>
        </w:tc>
      </w:tr>
      <w:tr w14:paraId="132F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AE726C">
            <w:r>
              <w:rPr>
                <w:rFonts w:hint="eastAsia"/>
              </w:rPr>
              <w:t>本期申购</w:t>
            </w:r>
          </w:p>
        </w:tc>
        <w:tc>
          <w:tcPr>
            <w:tcW w:w="2491" w:type="dxa"/>
            <w:vAlign w:val="center"/>
          </w:tcPr>
          <w:p w14:paraId="5A60E07C">
            <w:pPr>
              <w:jc w:val="right"/>
            </w:pPr>
            <w:r>
              <w:rPr>
                <w:rFonts w:hint="eastAsia"/>
              </w:rPr>
              <w:t>-</w:t>
            </w:r>
          </w:p>
        </w:tc>
        <w:tc>
          <w:tcPr>
            <w:tcW w:w="2907" w:type="dxa"/>
            <w:vAlign w:val="center"/>
          </w:tcPr>
          <w:p w14:paraId="2048241E">
            <w:pPr>
              <w:jc w:val="right"/>
            </w:pPr>
            <w:r>
              <w:rPr>
                <w:rFonts w:hint="eastAsia"/>
              </w:rPr>
              <w:t>-</w:t>
            </w:r>
          </w:p>
        </w:tc>
      </w:tr>
      <w:tr w14:paraId="428E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71FF2B">
            <w:r>
              <w:rPr>
                <w:rFonts w:hint="eastAsia"/>
              </w:rPr>
              <w:t>本期赎回（以“-”号填列）</w:t>
            </w:r>
          </w:p>
        </w:tc>
        <w:tc>
          <w:tcPr>
            <w:tcW w:w="2491" w:type="dxa"/>
            <w:vAlign w:val="center"/>
          </w:tcPr>
          <w:p w14:paraId="0DB49370">
            <w:pPr>
              <w:jc w:val="right"/>
            </w:pPr>
            <w:r>
              <w:rPr>
                <w:rFonts w:hint="eastAsia"/>
              </w:rPr>
              <w:t>-</w:t>
            </w:r>
          </w:p>
        </w:tc>
        <w:tc>
          <w:tcPr>
            <w:tcW w:w="2907" w:type="dxa"/>
            <w:vAlign w:val="center"/>
          </w:tcPr>
          <w:p w14:paraId="3FE4B341">
            <w:pPr>
              <w:jc w:val="right"/>
            </w:pPr>
            <w:r>
              <w:rPr>
                <w:rFonts w:hint="eastAsia"/>
              </w:rPr>
              <w:t>-</w:t>
            </w:r>
          </w:p>
        </w:tc>
      </w:tr>
      <w:tr w14:paraId="1826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352F10">
            <w:r>
              <w:rPr>
                <w:rFonts w:hint="eastAsia"/>
              </w:rPr>
              <w:t>本期末</w:t>
            </w:r>
          </w:p>
        </w:tc>
        <w:tc>
          <w:tcPr>
            <w:tcW w:w="2491" w:type="dxa"/>
            <w:vAlign w:val="center"/>
          </w:tcPr>
          <w:p w14:paraId="69BAD795">
            <w:pPr>
              <w:jc w:val="right"/>
            </w:pPr>
            <w:r>
              <w:rPr>
                <w:rFonts w:hint="eastAsia"/>
              </w:rPr>
              <w:t>1,100,693,842.01</w:t>
            </w:r>
          </w:p>
        </w:tc>
        <w:tc>
          <w:tcPr>
            <w:tcW w:w="2907" w:type="dxa"/>
            <w:vAlign w:val="center"/>
          </w:tcPr>
          <w:p w14:paraId="31027868">
            <w:pPr>
              <w:jc w:val="right"/>
            </w:pPr>
            <w:r>
              <w:rPr>
                <w:rFonts w:hint="eastAsia"/>
              </w:rPr>
              <w:t>1,100,693,842.01</w:t>
            </w:r>
          </w:p>
        </w:tc>
      </w:tr>
    </w:tbl>
    <w:p w14:paraId="1A532A7A">
      <w:pPr>
        <w:pStyle w:val="47"/>
        <w:rPr>
          <w:rFonts w:hint="eastAsia"/>
        </w:rPr>
      </w:pPr>
      <w:r>
        <w:rPr>
          <w:rFonts w:hint="eastAsia"/>
        </w:rPr>
        <w:t>注：1.本基金申购含红利再投份额（如有）、转换入份额（如有）；赎回含转出份额（如有）。</w:t>
      </w:r>
    </w:p>
    <w:p w14:paraId="37DFAF9C">
      <w:pPr>
        <w:pStyle w:val="47"/>
        <w:rPr>
          <w:rFonts w:hint="eastAsia"/>
        </w:rPr>
      </w:pPr>
      <w:r>
        <w:tab/>
      </w:r>
      <w:r>
        <w:rPr>
          <w:rFonts w:hint="eastAsia"/>
        </w:rPr>
        <w:t>2.本基金合同于2025年4月28日生效，基金合同生效日的基金份额总额为3,625,672,103.74份基金份额，其中认购资金利息折合1,363,052.44份基金份额。</w:t>
      </w:r>
    </w:p>
    <w:p w14:paraId="6ED13B7A">
      <w:pPr>
        <w:pStyle w:val="35"/>
      </w:pPr>
      <w:bookmarkStart w:id="83" w:name="_Toc83"/>
      <w:r>
        <w:t xml:space="preserve"> 未分配利润 </w:t>
      </w:r>
      <w:bookmarkEnd w:id="83"/>
    </w:p>
    <w:p w14:paraId="43E1D4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2C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A17624F">
            <w:pPr>
              <w:jc w:val="center"/>
            </w:pPr>
            <w:r>
              <w:rPr>
                <w:rFonts w:hint="eastAsia"/>
                <w:b/>
              </w:rPr>
              <w:t>南方稳见3个月持有混合（FOF）A</w:t>
            </w:r>
          </w:p>
        </w:tc>
      </w:tr>
      <w:tr w14:paraId="16F6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7F9AFB9">
            <w:pPr>
              <w:jc w:val="center"/>
            </w:pPr>
            <w:r>
              <w:rPr>
                <w:rFonts w:hint="eastAsia"/>
                <w:b/>
              </w:rPr>
              <w:t>项目</w:t>
            </w:r>
          </w:p>
        </w:tc>
        <w:tc>
          <w:tcPr>
            <w:tcW w:w="2076" w:type="dxa"/>
            <w:shd w:val="clear" w:color="auto" w:fill="BFBFBF"/>
            <w:vAlign w:val="center"/>
          </w:tcPr>
          <w:p w14:paraId="45D85EC6">
            <w:pPr>
              <w:jc w:val="center"/>
            </w:pPr>
            <w:r>
              <w:rPr>
                <w:rFonts w:hint="eastAsia"/>
                <w:b/>
              </w:rPr>
              <w:t>已实现部分</w:t>
            </w:r>
          </w:p>
        </w:tc>
        <w:tc>
          <w:tcPr>
            <w:tcW w:w="2076" w:type="dxa"/>
            <w:shd w:val="clear" w:color="auto" w:fill="BFBFBF"/>
            <w:vAlign w:val="center"/>
          </w:tcPr>
          <w:p w14:paraId="45A1087E">
            <w:pPr>
              <w:jc w:val="center"/>
            </w:pPr>
            <w:r>
              <w:rPr>
                <w:rFonts w:hint="eastAsia"/>
                <w:b/>
              </w:rPr>
              <w:t>未实现部分</w:t>
            </w:r>
          </w:p>
        </w:tc>
        <w:tc>
          <w:tcPr>
            <w:tcW w:w="2076" w:type="dxa"/>
            <w:shd w:val="clear" w:color="auto" w:fill="BFBFBF"/>
            <w:vAlign w:val="center"/>
          </w:tcPr>
          <w:p w14:paraId="6C2E0034">
            <w:pPr>
              <w:jc w:val="center"/>
            </w:pPr>
            <w:r>
              <w:rPr>
                <w:rFonts w:hint="eastAsia"/>
                <w:b/>
              </w:rPr>
              <w:t>未分配利润合计</w:t>
            </w:r>
          </w:p>
        </w:tc>
      </w:tr>
      <w:tr w14:paraId="443D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5157A9">
            <w:r>
              <w:rPr>
                <w:rFonts w:hint="eastAsia"/>
              </w:rPr>
              <w:t>基金合同生效日</w:t>
            </w:r>
          </w:p>
        </w:tc>
        <w:tc>
          <w:tcPr>
            <w:tcW w:w="2076" w:type="dxa"/>
            <w:vAlign w:val="center"/>
          </w:tcPr>
          <w:p w14:paraId="007D440B">
            <w:pPr>
              <w:jc w:val="right"/>
            </w:pPr>
            <w:r>
              <w:rPr>
                <w:rFonts w:hint="eastAsia"/>
              </w:rPr>
              <w:t>-</w:t>
            </w:r>
          </w:p>
        </w:tc>
        <w:tc>
          <w:tcPr>
            <w:tcW w:w="2076" w:type="dxa"/>
            <w:vAlign w:val="center"/>
          </w:tcPr>
          <w:p w14:paraId="0715AA39">
            <w:pPr>
              <w:jc w:val="right"/>
            </w:pPr>
            <w:r>
              <w:rPr>
                <w:rFonts w:hint="eastAsia"/>
              </w:rPr>
              <w:t>-</w:t>
            </w:r>
          </w:p>
        </w:tc>
        <w:tc>
          <w:tcPr>
            <w:tcW w:w="2076" w:type="dxa"/>
            <w:vAlign w:val="center"/>
          </w:tcPr>
          <w:p w14:paraId="2A987867">
            <w:pPr>
              <w:jc w:val="right"/>
            </w:pPr>
            <w:r>
              <w:rPr>
                <w:rFonts w:hint="eastAsia"/>
              </w:rPr>
              <w:t>-</w:t>
            </w:r>
          </w:p>
        </w:tc>
      </w:tr>
      <w:tr w14:paraId="1275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3A33E">
            <w:r>
              <w:rPr>
                <w:rFonts w:hint="eastAsia"/>
              </w:rPr>
              <w:t>加：会计政策变更</w:t>
            </w:r>
          </w:p>
        </w:tc>
        <w:tc>
          <w:tcPr>
            <w:tcW w:w="2076" w:type="dxa"/>
            <w:vAlign w:val="center"/>
          </w:tcPr>
          <w:p w14:paraId="506B4AD3">
            <w:pPr>
              <w:jc w:val="right"/>
            </w:pPr>
            <w:r>
              <w:rPr>
                <w:rFonts w:hint="eastAsia"/>
              </w:rPr>
              <w:t>-</w:t>
            </w:r>
          </w:p>
        </w:tc>
        <w:tc>
          <w:tcPr>
            <w:tcW w:w="2076" w:type="dxa"/>
            <w:vAlign w:val="center"/>
          </w:tcPr>
          <w:p w14:paraId="2860CCDA">
            <w:pPr>
              <w:jc w:val="right"/>
            </w:pPr>
            <w:r>
              <w:rPr>
                <w:rFonts w:hint="eastAsia"/>
              </w:rPr>
              <w:t>-</w:t>
            </w:r>
          </w:p>
        </w:tc>
        <w:tc>
          <w:tcPr>
            <w:tcW w:w="2076" w:type="dxa"/>
            <w:vAlign w:val="center"/>
          </w:tcPr>
          <w:p w14:paraId="343BF409">
            <w:pPr>
              <w:jc w:val="right"/>
            </w:pPr>
            <w:r>
              <w:rPr>
                <w:rFonts w:hint="eastAsia"/>
              </w:rPr>
              <w:t>-</w:t>
            </w:r>
          </w:p>
        </w:tc>
      </w:tr>
      <w:tr w14:paraId="4E7C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C7FF4">
            <w:r>
              <w:rPr>
                <w:rFonts w:hint="eastAsia"/>
              </w:rPr>
              <w:t xml:space="preserve">      前期差错更正</w:t>
            </w:r>
          </w:p>
        </w:tc>
        <w:tc>
          <w:tcPr>
            <w:tcW w:w="2076" w:type="dxa"/>
            <w:vAlign w:val="center"/>
          </w:tcPr>
          <w:p w14:paraId="174FE1BC">
            <w:pPr>
              <w:jc w:val="right"/>
            </w:pPr>
            <w:r>
              <w:rPr>
                <w:rFonts w:hint="eastAsia"/>
              </w:rPr>
              <w:t>-</w:t>
            </w:r>
          </w:p>
        </w:tc>
        <w:tc>
          <w:tcPr>
            <w:tcW w:w="2076" w:type="dxa"/>
            <w:vAlign w:val="center"/>
          </w:tcPr>
          <w:p w14:paraId="28AAA484">
            <w:pPr>
              <w:jc w:val="right"/>
            </w:pPr>
            <w:r>
              <w:rPr>
                <w:rFonts w:hint="eastAsia"/>
              </w:rPr>
              <w:t>-</w:t>
            </w:r>
          </w:p>
        </w:tc>
        <w:tc>
          <w:tcPr>
            <w:tcW w:w="2076" w:type="dxa"/>
            <w:vAlign w:val="center"/>
          </w:tcPr>
          <w:p w14:paraId="63108775">
            <w:pPr>
              <w:jc w:val="right"/>
            </w:pPr>
            <w:r>
              <w:rPr>
                <w:rFonts w:hint="eastAsia"/>
              </w:rPr>
              <w:t>-</w:t>
            </w:r>
          </w:p>
        </w:tc>
      </w:tr>
      <w:tr w14:paraId="1CD5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9C3CDE">
            <w:r>
              <w:rPr>
                <w:rFonts w:hint="eastAsia"/>
              </w:rPr>
              <w:t xml:space="preserve">      其他</w:t>
            </w:r>
          </w:p>
        </w:tc>
        <w:tc>
          <w:tcPr>
            <w:tcW w:w="2076" w:type="dxa"/>
            <w:vAlign w:val="center"/>
          </w:tcPr>
          <w:p w14:paraId="0DA13DE7">
            <w:pPr>
              <w:jc w:val="right"/>
            </w:pPr>
            <w:r>
              <w:rPr>
                <w:rFonts w:hint="eastAsia"/>
              </w:rPr>
              <w:t>-</w:t>
            </w:r>
          </w:p>
        </w:tc>
        <w:tc>
          <w:tcPr>
            <w:tcW w:w="2076" w:type="dxa"/>
            <w:vAlign w:val="center"/>
          </w:tcPr>
          <w:p w14:paraId="7A294C22">
            <w:pPr>
              <w:jc w:val="right"/>
            </w:pPr>
            <w:r>
              <w:rPr>
                <w:rFonts w:hint="eastAsia"/>
              </w:rPr>
              <w:t>-</w:t>
            </w:r>
          </w:p>
        </w:tc>
        <w:tc>
          <w:tcPr>
            <w:tcW w:w="2076" w:type="dxa"/>
            <w:vAlign w:val="center"/>
          </w:tcPr>
          <w:p w14:paraId="06F739A3">
            <w:pPr>
              <w:jc w:val="right"/>
            </w:pPr>
            <w:r>
              <w:rPr>
                <w:rFonts w:hint="eastAsia"/>
              </w:rPr>
              <w:t>-</w:t>
            </w:r>
          </w:p>
        </w:tc>
      </w:tr>
      <w:tr w14:paraId="70E1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84556D">
            <w:r>
              <w:rPr>
                <w:rFonts w:hint="eastAsia"/>
              </w:rPr>
              <w:t>本期期初</w:t>
            </w:r>
          </w:p>
        </w:tc>
        <w:tc>
          <w:tcPr>
            <w:tcW w:w="2076" w:type="dxa"/>
            <w:vAlign w:val="center"/>
          </w:tcPr>
          <w:p w14:paraId="43F110D0">
            <w:pPr>
              <w:jc w:val="right"/>
            </w:pPr>
            <w:r>
              <w:rPr>
                <w:rFonts w:hint="eastAsia"/>
              </w:rPr>
              <w:t>-</w:t>
            </w:r>
          </w:p>
        </w:tc>
        <w:tc>
          <w:tcPr>
            <w:tcW w:w="2076" w:type="dxa"/>
            <w:vAlign w:val="center"/>
          </w:tcPr>
          <w:p w14:paraId="2FC59892">
            <w:pPr>
              <w:jc w:val="right"/>
            </w:pPr>
            <w:r>
              <w:rPr>
                <w:rFonts w:hint="eastAsia"/>
              </w:rPr>
              <w:t>-</w:t>
            </w:r>
          </w:p>
        </w:tc>
        <w:tc>
          <w:tcPr>
            <w:tcW w:w="2076" w:type="dxa"/>
            <w:vAlign w:val="center"/>
          </w:tcPr>
          <w:p w14:paraId="4997C241">
            <w:pPr>
              <w:jc w:val="right"/>
            </w:pPr>
            <w:r>
              <w:rPr>
                <w:rFonts w:hint="eastAsia"/>
              </w:rPr>
              <w:t>-</w:t>
            </w:r>
          </w:p>
        </w:tc>
      </w:tr>
      <w:tr w14:paraId="03E2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2F394">
            <w:r>
              <w:rPr>
                <w:rFonts w:hint="eastAsia"/>
              </w:rPr>
              <w:t>本期利润</w:t>
            </w:r>
          </w:p>
        </w:tc>
        <w:tc>
          <w:tcPr>
            <w:tcW w:w="2076" w:type="dxa"/>
            <w:vAlign w:val="center"/>
          </w:tcPr>
          <w:p w14:paraId="44ED198F">
            <w:pPr>
              <w:jc w:val="right"/>
            </w:pPr>
            <w:r>
              <w:rPr>
                <w:rFonts w:hint="eastAsia"/>
              </w:rPr>
              <w:t>12,656,267.67</w:t>
            </w:r>
          </w:p>
        </w:tc>
        <w:tc>
          <w:tcPr>
            <w:tcW w:w="2076" w:type="dxa"/>
            <w:vAlign w:val="center"/>
          </w:tcPr>
          <w:p w14:paraId="4122B433">
            <w:pPr>
              <w:jc w:val="right"/>
            </w:pPr>
            <w:r>
              <w:rPr>
                <w:rFonts w:hint="eastAsia"/>
              </w:rPr>
              <w:t>5,421,019.83</w:t>
            </w:r>
          </w:p>
        </w:tc>
        <w:tc>
          <w:tcPr>
            <w:tcW w:w="2076" w:type="dxa"/>
            <w:vAlign w:val="center"/>
          </w:tcPr>
          <w:p w14:paraId="08772998">
            <w:pPr>
              <w:jc w:val="right"/>
            </w:pPr>
            <w:r>
              <w:rPr>
                <w:rFonts w:hint="eastAsia"/>
              </w:rPr>
              <w:t>18,077,287.50</w:t>
            </w:r>
          </w:p>
        </w:tc>
      </w:tr>
      <w:tr w14:paraId="7FF5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BA0E18">
            <w:r>
              <w:rPr>
                <w:rFonts w:hint="eastAsia"/>
              </w:rPr>
              <w:t>本期基金份额交易产生的变动数</w:t>
            </w:r>
          </w:p>
        </w:tc>
        <w:tc>
          <w:tcPr>
            <w:tcW w:w="2076" w:type="dxa"/>
            <w:vAlign w:val="center"/>
          </w:tcPr>
          <w:p w14:paraId="471D8CDD">
            <w:pPr>
              <w:jc w:val="right"/>
            </w:pPr>
            <w:r>
              <w:rPr>
                <w:rFonts w:hint="eastAsia"/>
              </w:rPr>
              <w:t>-4,542,363.72</w:t>
            </w:r>
          </w:p>
        </w:tc>
        <w:tc>
          <w:tcPr>
            <w:tcW w:w="2076" w:type="dxa"/>
            <w:vAlign w:val="center"/>
          </w:tcPr>
          <w:p w14:paraId="4AE166C1">
            <w:pPr>
              <w:jc w:val="right"/>
            </w:pPr>
            <w:r>
              <w:rPr>
                <w:rFonts w:hint="eastAsia"/>
              </w:rPr>
              <w:t>-3,390,115.81</w:t>
            </w:r>
          </w:p>
        </w:tc>
        <w:tc>
          <w:tcPr>
            <w:tcW w:w="2076" w:type="dxa"/>
            <w:vAlign w:val="center"/>
          </w:tcPr>
          <w:p w14:paraId="28FE2725">
            <w:pPr>
              <w:jc w:val="right"/>
            </w:pPr>
            <w:r>
              <w:rPr>
                <w:rFonts w:hint="eastAsia"/>
              </w:rPr>
              <w:t>-7,932,479.53</w:t>
            </w:r>
          </w:p>
        </w:tc>
      </w:tr>
      <w:tr w14:paraId="3233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3F356D">
            <w:r>
              <w:rPr>
                <w:rFonts w:hint="eastAsia"/>
              </w:rPr>
              <w:t>其中：基金申购款</w:t>
            </w:r>
          </w:p>
        </w:tc>
        <w:tc>
          <w:tcPr>
            <w:tcW w:w="2076" w:type="dxa"/>
            <w:vAlign w:val="center"/>
          </w:tcPr>
          <w:p w14:paraId="2D689CFE">
            <w:pPr>
              <w:jc w:val="right"/>
            </w:pPr>
            <w:r>
              <w:rPr>
                <w:rFonts w:hint="eastAsia"/>
              </w:rPr>
              <w:t>1,390,904.92</w:t>
            </w:r>
          </w:p>
        </w:tc>
        <w:tc>
          <w:tcPr>
            <w:tcW w:w="2076" w:type="dxa"/>
            <w:vAlign w:val="center"/>
          </w:tcPr>
          <w:p w14:paraId="7CBBF774">
            <w:pPr>
              <w:jc w:val="right"/>
            </w:pPr>
            <w:r>
              <w:rPr>
                <w:rFonts w:hint="eastAsia"/>
              </w:rPr>
              <w:t>926,819.08</w:t>
            </w:r>
          </w:p>
        </w:tc>
        <w:tc>
          <w:tcPr>
            <w:tcW w:w="2076" w:type="dxa"/>
            <w:vAlign w:val="center"/>
          </w:tcPr>
          <w:p w14:paraId="73C9EEAD">
            <w:pPr>
              <w:jc w:val="right"/>
            </w:pPr>
            <w:r>
              <w:rPr>
                <w:rFonts w:hint="eastAsia"/>
              </w:rPr>
              <w:t>2,317,724.00</w:t>
            </w:r>
          </w:p>
        </w:tc>
      </w:tr>
      <w:tr w14:paraId="4DC3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E1700">
            <w:r>
              <w:rPr>
                <w:rFonts w:hint="eastAsia"/>
              </w:rPr>
              <w:t xml:space="preserve">      基金赎回款</w:t>
            </w:r>
          </w:p>
        </w:tc>
        <w:tc>
          <w:tcPr>
            <w:tcW w:w="2076" w:type="dxa"/>
            <w:vAlign w:val="center"/>
          </w:tcPr>
          <w:p w14:paraId="0A751181">
            <w:pPr>
              <w:jc w:val="right"/>
            </w:pPr>
            <w:r>
              <w:rPr>
                <w:rFonts w:hint="eastAsia"/>
              </w:rPr>
              <w:t>-5,933,268.64</w:t>
            </w:r>
          </w:p>
        </w:tc>
        <w:tc>
          <w:tcPr>
            <w:tcW w:w="2076" w:type="dxa"/>
            <w:vAlign w:val="center"/>
          </w:tcPr>
          <w:p w14:paraId="13B684BD">
            <w:pPr>
              <w:jc w:val="right"/>
            </w:pPr>
            <w:r>
              <w:rPr>
                <w:rFonts w:hint="eastAsia"/>
              </w:rPr>
              <w:t>-4,316,934.89</w:t>
            </w:r>
          </w:p>
        </w:tc>
        <w:tc>
          <w:tcPr>
            <w:tcW w:w="2076" w:type="dxa"/>
            <w:vAlign w:val="center"/>
          </w:tcPr>
          <w:p w14:paraId="351A2792">
            <w:pPr>
              <w:jc w:val="right"/>
            </w:pPr>
            <w:r>
              <w:rPr>
                <w:rFonts w:hint="eastAsia"/>
              </w:rPr>
              <w:t>-10,250,203.53</w:t>
            </w:r>
          </w:p>
        </w:tc>
      </w:tr>
      <w:tr w14:paraId="5595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F14F61">
            <w:r>
              <w:rPr>
                <w:rFonts w:hint="eastAsia"/>
              </w:rPr>
              <w:t>本期已分配利润</w:t>
            </w:r>
          </w:p>
        </w:tc>
        <w:tc>
          <w:tcPr>
            <w:tcW w:w="2076" w:type="dxa"/>
            <w:vAlign w:val="center"/>
          </w:tcPr>
          <w:p w14:paraId="76CDFA62">
            <w:pPr>
              <w:jc w:val="right"/>
            </w:pPr>
            <w:r>
              <w:rPr>
                <w:rFonts w:hint="eastAsia"/>
              </w:rPr>
              <w:t>-</w:t>
            </w:r>
          </w:p>
        </w:tc>
        <w:tc>
          <w:tcPr>
            <w:tcW w:w="2076" w:type="dxa"/>
            <w:vAlign w:val="center"/>
          </w:tcPr>
          <w:p w14:paraId="6FE5D6BE">
            <w:pPr>
              <w:jc w:val="right"/>
            </w:pPr>
            <w:r>
              <w:rPr>
                <w:rFonts w:hint="eastAsia"/>
              </w:rPr>
              <w:t>-</w:t>
            </w:r>
          </w:p>
        </w:tc>
        <w:tc>
          <w:tcPr>
            <w:tcW w:w="2076" w:type="dxa"/>
            <w:vAlign w:val="center"/>
          </w:tcPr>
          <w:p w14:paraId="507A7944">
            <w:pPr>
              <w:jc w:val="right"/>
            </w:pPr>
            <w:r>
              <w:rPr>
                <w:rFonts w:hint="eastAsia"/>
              </w:rPr>
              <w:t>-</w:t>
            </w:r>
          </w:p>
        </w:tc>
      </w:tr>
      <w:tr w14:paraId="45F7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C9856">
            <w:r>
              <w:rPr>
                <w:rFonts w:hint="eastAsia"/>
              </w:rPr>
              <w:t>本期末</w:t>
            </w:r>
          </w:p>
        </w:tc>
        <w:tc>
          <w:tcPr>
            <w:tcW w:w="2076" w:type="dxa"/>
            <w:vAlign w:val="center"/>
          </w:tcPr>
          <w:p w14:paraId="6D657F6D">
            <w:pPr>
              <w:jc w:val="right"/>
            </w:pPr>
            <w:r>
              <w:rPr>
                <w:rFonts w:hint="eastAsia"/>
              </w:rPr>
              <w:t>8,113,903.95</w:t>
            </w:r>
          </w:p>
        </w:tc>
        <w:tc>
          <w:tcPr>
            <w:tcW w:w="2076" w:type="dxa"/>
            <w:vAlign w:val="center"/>
          </w:tcPr>
          <w:p w14:paraId="4E7C00AA">
            <w:pPr>
              <w:jc w:val="right"/>
            </w:pPr>
            <w:r>
              <w:rPr>
                <w:rFonts w:hint="eastAsia"/>
              </w:rPr>
              <w:t>2,030,904.02</w:t>
            </w:r>
          </w:p>
        </w:tc>
        <w:tc>
          <w:tcPr>
            <w:tcW w:w="2076" w:type="dxa"/>
            <w:vAlign w:val="center"/>
          </w:tcPr>
          <w:p w14:paraId="64EC35D3">
            <w:pPr>
              <w:jc w:val="right"/>
            </w:pPr>
            <w:r>
              <w:rPr>
                <w:rFonts w:hint="eastAsia"/>
              </w:rPr>
              <w:t>10,144,807.97</w:t>
            </w:r>
          </w:p>
        </w:tc>
      </w:tr>
    </w:tbl>
    <w:p w14:paraId="3A1C4EC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4A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A2080C">
            <w:pPr>
              <w:jc w:val="center"/>
            </w:pPr>
            <w:r>
              <w:rPr>
                <w:rFonts w:hint="eastAsia"/>
                <w:b/>
              </w:rPr>
              <w:t>南方稳见3个月持有混合（FOF）C</w:t>
            </w:r>
          </w:p>
        </w:tc>
      </w:tr>
      <w:tr w14:paraId="128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B95020">
            <w:pPr>
              <w:jc w:val="center"/>
            </w:pPr>
            <w:r>
              <w:rPr>
                <w:rFonts w:hint="eastAsia"/>
                <w:b/>
              </w:rPr>
              <w:t>项目</w:t>
            </w:r>
          </w:p>
        </w:tc>
        <w:tc>
          <w:tcPr>
            <w:tcW w:w="2076" w:type="dxa"/>
            <w:shd w:val="clear" w:color="auto" w:fill="BFBFBF"/>
            <w:vAlign w:val="center"/>
          </w:tcPr>
          <w:p w14:paraId="31F5ED4A">
            <w:pPr>
              <w:jc w:val="center"/>
            </w:pPr>
            <w:r>
              <w:rPr>
                <w:rFonts w:hint="eastAsia"/>
                <w:b/>
              </w:rPr>
              <w:t>已实现部分</w:t>
            </w:r>
          </w:p>
        </w:tc>
        <w:tc>
          <w:tcPr>
            <w:tcW w:w="2076" w:type="dxa"/>
            <w:shd w:val="clear" w:color="auto" w:fill="BFBFBF"/>
            <w:vAlign w:val="center"/>
          </w:tcPr>
          <w:p w14:paraId="4CD49A44">
            <w:pPr>
              <w:jc w:val="center"/>
            </w:pPr>
            <w:r>
              <w:rPr>
                <w:rFonts w:hint="eastAsia"/>
                <w:b/>
              </w:rPr>
              <w:t>未实现部分</w:t>
            </w:r>
          </w:p>
        </w:tc>
        <w:tc>
          <w:tcPr>
            <w:tcW w:w="2076" w:type="dxa"/>
            <w:shd w:val="clear" w:color="auto" w:fill="BFBFBF"/>
            <w:vAlign w:val="center"/>
          </w:tcPr>
          <w:p w14:paraId="544ED453">
            <w:pPr>
              <w:jc w:val="center"/>
            </w:pPr>
            <w:r>
              <w:rPr>
                <w:rFonts w:hint="eastAsia"/>
                <w:b/>
              </w:rPr>
              <w:t>未分配利润合计</w:t>
            </w:r>
          </w:p>
        </w:tc>
      </w:tr>
      <w:tr w14:paraId="31C9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FEF60">
            <w:r>
              <w:rPr>
                <w:rFonts w:hint="eastAsia"/>
              </w:rPr>
              <w:t>基金合同生效日</w:t>
            </w:r>
          </w:p>
        </w:tc>
        <w:tc>
          <w:tcPr>
            <w:tcW w:w="2076" w:type="dxa"/>
            <w:vAlign w:val="center"/>
          </w:tcPr>
          <w:p w14:paraId="79B11790">
            <w:pPr>
              <w:jc w:val="right"/>
            </w:pPr>
            <w:r>
              <w:rPr>
                <w:rFonts w:hint="eastAsia"/>
              </w:rPr>
              <w:t>-</w:t>
            </w:r>
          </w:p>
        </w:tc>
        <w:tc>
          <w:tcPr>
            <w:tcW w:w="2076" w:type="dxa"/>
            <w:vAlign w:val="center"/>
          </w:tcPr>
          <w:p w14:paraId="42B1516C">
            <w:pPr>
              <w:jc w:val="right"/>
            </w:pPr>
            <w:r>
              <w:rPr>
                <w:rFonts w:hint="eastAsia"/>
              </w:rPr>
              <w:t>-</w:t>
            </w:r>
          </w:p>
        </w:tc>
        <w:tc>
          <w:tcPr>
            <w:tcW w:w="2076" w:type="dxa"/>
            <w:vAlign w:val="center"/>
          </w:tcPr>
          <w:p w14:paraId="501F8870">
            <w:pPr>
              <w:jc w:val="right"/>
            </w:pPr>
            <w:r>
              <w:rPr>
                <w:rFonts w:hint="eastAsia"/>
              </w:rPr>
              <w:t>-</w:t>
            </w:r>
          </w:p>
        </w:tc>
      </w:tr>
      <w:tr w14:paraId="18E9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0B5C00">
            <w:r>
              <w:rPr>
                <w:rFonts w:hint="eastAsia"/>
              </w:rPr>
              <w:t>加：会计政策变更</w:t>
            </w:r>
          </w:p>
        </w:tc>
        <w:tc>
          <w:tcPr>
            <w:tcW w:w="2076" w:type="dxa"/>
            <w:vAlign w:val="center"/>
          </w:tcPr>
          <w:p w14:paraId="4C834736">
            <w:pPr>
              <w:jc w:val="right"/>
            </w:pPr>
            <w:r>
              <w:rPr>
                <w:rFonts w:hint="eastAsia"/>
              </w:rPr>
              <w:t>-</w:t>
            </w:r>
          </w:p>
        </w:tc>
        <w:tc>
          <w:tcPr>
            <w:tcW w:w="2076" w:type="dxa"/>
            <w:vAlign w:val="center"/>
          </w:tcPr>
          <w:p w14:paraId="052F6EBC">
            <w:pPr>
              <w:jc w:val="right"/>
            </w:pPr>
            <w:r>
              <w:rPr>
                <w:rFonts w:hint="eastAsia"/>
              </w:rPr>
              <w:t>-</w:t>
            </w:r>
          </w:p>
        </w:tc>
        <w:tc>
          <w:tcPr>
            <w:tcW w:w="2076" w:type="dxa"/>
            <w:vAlign w:val="center"/>
          </w:tcPr>
          <w:p w14:paraId="7C1E4457">
            <w:pPr>
              <w:jc w:val="right"/>
            </w:pPr>
            <w:r>
              <w:rPr>
                <w:rFonts w:hint="eastAsia"/>
              </w:rPr>
              <w:t>-</w:t>
            </w:r>
          </w:p>
        </w:tc>
      </w:tr>
      <w:tr w14:paraId="39B0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675112">
            <w:r>
              <w:rPr>
                <w:rFonts w:hint="eastAsia"/>
              </w:rPr>
              <w:t xml:space="preserve">      前期差错更正</w:t>
            </w:r>
          </w:p>
        </w:tc>
        <w:tc>
          <w:tcPr>
            <w:tcW w:w="2076" w:type="dxa"/>
            <w:vAlign w:val="center"/>
          </w:tcPr>
          <w:p w14:paraId="7999A480">
            <w:pPr>
              <w:jc w:val="right"/>
            </w:pPr>
            <w:r>
              <w:rPr>
                <w:rFonts w:hint="eastAsia"/>
              </w:rPr>
              <w:t>-</w:t>
            </w:r>
          </w:p>
        </w:tc>
        <w:tc>
          <w:tcPr>
            <w:tcW w:w="2076" w:type="dxa"/>
            <w:vAlign w:val="center"/>
          </w:tcPr>
          <w:p w14:paraId="13E0F870">
            <w:pPr>
              <w:jc w:val="right"/>
            </w:pPr>
            <w:r>
              <w:rPr>
                <w:rFonts w:hint="eastAsia"/>
              </w:rPr>
              <w:t>-</w:t>
            </w:r>
          </w:p>
        </w:tc>
        <w:tc>
          <w:tcPr>
            <w:tcW w:w="2076" w:type="dxa"/>
            <w:vAlign w:val="center"/>
          </w:tcPr>
          <w:p w14:paraId="1B78D2E3">
            <w:pPr>
              <w:jc w:val="right"/>
            </w:pPr>
            <w:r>
              <w:rPr>
                <w:rFonts w:hint="eastAsia"/>
              </w:rPr>
              <w:t>-</w:t>
            </w:r>
          </w:p>
        </w:tc>
      </w:tr>
      <w:tr w14:paraId="5A40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1EC112">
            <w:r>
              <w:rPr>
                <w:rFonts w:hint="eastAsia"/>
              </w:rPr>
              <w:t xml:space="preserve">      其他</w:t>
            </w:r>
          </w:p>
        </w:tc>
        <w:tc>
          <w:tcPr>
            <w:tcW w:w="2076" w:type="dxa"/>
            <w:vAlign w:val="center"/>
          </w:tcPr>
          <w:p w14:paraId="7B5105FA">
            <w:pPr>
              <w:jc w:val="right"/>
            </w:pPr>
            <w:r>
              <w:rPr>
                <w:rFonts w:hint="eastAsia"/>
              </w:rPr>
              <w:t>-</w:t>
            </w:r>
          </w:p>
        </w:tc>
        <w:tc>
          <w:tcPr>
            <w:tcW w:w="2076" w:type="dxa"/>
            <w:vAlign w:val="center"/>
          </w:tcPr>
          <w:p w14:paraId="242F7127">
            <w:pPr>
              <w:jc w:val="right"/>
            </w:pPr>
            <w:r>
              <w:rPr>
                <w:rFonts w:hint="eastAsia"/>
              </w:rPr>
              <w:t>-</w:t>
            </w:r>
          </w:p>
        </w:tc>
        <w:tc>
          <w:tcPr>
            <w:tcW w:w="2076" w:type="dxa"/>
            <w:vAlign w:val="center"/>
          </w:tcPr>
          <w:p w14:paraId="2F314C53">
            <w:pPr>
              <w:jc w:val="right"/>
            </w:pPr>
            <w:r>
              <w:rPr>
                <w:rFonts w:hint="eastAsia"/>
              </w:rPr>
              <w:t>-</w:t>
            </w:r>
          </w:p>
        </w:tc>
      </w:tr>
      <w:tr w14:paraId="7753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6B55DE">
            <w:r>
              <w:rPr>
                <w:rFonts w:hint="eastAsia"/>
              </w:rPr>
              <w:t>本期期初</w:t>
            </w:r>
          </w:p>
        </w:tc>
        <w:tc>
          <w:tcPr>
            <w:tcW w:w="2076" w:type="dxa"/>
            <w:vAlign w:val="center"/>
          </w:tcPr>
          <w:p w14:paraId="486239B3">
            <w:pPr>
              <w:jc w:val="right"/>
            </w:pPr>
            <w:r>
              <w:rPr>
                <w:rFonts w:hint="eastAsia"/>
              </w:rPr>
              <w:t>-</w:t>
            </w:r>
          </w:p>
        </w:tc>
        <w:tc>
          <w:tcPr>
            <w:tcW w:w="2076" w:type="dxa"/>
            <w:vAlign w:val="center"/>
          </w:tcPr>
          <w:p w14:paraId="79EF90B5">
            <w:pPr>
              <w:jc w:val="right"/>
            </w:pPr>
            <w:r>
              <w:rPr>
                <w:rFonts w:hint="eastAsia"/>
              </w:rPr>
              <w:t>-</w:t>
            </w:r>
          </w:p>
        </w:tc>
        <w:tc>
          <w:tcPr>
            <w:tcW w:w="2076" w:type="dxa"/>
            <w:vAlign w:val="center"/>
          </w:tcPr>
          <w:p w14:paraId="543E2FE0">
            <w:pPr>
              <w:jc w:val="right"/>
            </w:pPr>
            <w:r>
              <w:rPr>
                <w:rFonts w:hint="eastAsia"/>
              </w:rPr>
              <w:t>-</w:t>
            </w:r>
          </w:p>
        </w:tc>
      </w:tr>
      <w:tr w14:paraId="01BD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949F1">
            <w:r>
              <w:rPr>
                <w:rFonts w:hint="eastAsia"/>
              </w:rPr>
              <w:t>本期利润</w:t>
            </w:r>
          </w:p>
        </w:tc>
        <w:tc>
          <w:tcPr>
            <w:tcW w:w="2076" w:type="dxa"/>
            <w:vAlign w:val="center"/>
          </w:tcPr>
          <w:p w14:paraId="55CB7B47">
            <w:pPr>
              <w:jc w:val="right"/>
            </w:pPr>
            <w:r>
              <w:rPr>
                <w:rFonts w:hint="eastAsia"/>
              </w:rPr>
              <w:t>25,970,590.81</w:t>
            </w:r>
          </w:p>
        </w:tc>
        <w:tc>
          <w:tcPr>
            <w:tcW w:w="2076" w:type="dxa"/>
            <w:vAlign w:val="center"/>
          </w:tcPr>
          <w:p w14:paraId="274DFF70">
            <w:pPr>
              <w:jc w:val="right"/>
            </w:pPr>
            <w:r>
              <w:rPr>
                <w:rFonts w:hint="eastAsia"/>
              </w:rPr>
              <w:t>14,076,761.68</w:t>
            </w:r>
          </w:p>
        </w:tc>
        <w:tc>
          <w:tcPr>
            <w:tcW w:w="2076" w:type="dxa"/>
            <w:vAlign w:val="center"/>
          </w:tcPr>
          <w:p w14:paraId="4CC204C7">
            <w:pPr>
              <w:jc w:val="right"/>
            </w:pPr>
            <w:r>
              <w:rPr>
                <w:rFonts w:hint="eastAsia"/>
              </w:rPr>
              <w:t>40,047,352.49</w:t>
            </w:r>
          </w:p>
        </w:tc>
      </w:tr>
      <w:tr w14:paraId="2C74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4E599">
            <w:r>
              <w:rPr>
                <w:rFonts w:hint="eastAsia"/>
              </w:rPr>
              <w:t>本期基金份额交易产生的变动数</w:t>
            </w:r>
          </w:p>
        </w:tc>
        <w:tc>
          <w:tcPr>
            <w:tcW w:w="2076" w:type="dxa"/>
            <w:vAlign w:val="center"/>
          </w:tcPr>
          <w:p w14:paraId="3F7AF054">
            <w:pPr>
              <w:jc w:val="right"/>
            </w:pPr>
            <w:r>
              <w:rPr>
                <w:rFonts w:hint="eastAsia"/>
              </w:rPr>
              <w:t>-8,159,297.37</w:t>
            </w:r>
          </w:p>
        </w:tc>
        <w:tc>
          <w:tcPr>
            <w:tcW w:w="2076" w:type="dxa"/>
            <w:vAlign w:val="center"/>
          </w:tcPr>
          <w:p w14:paraId="3FA35DA9">
            <w:pPr>
              <w:jc w:val="right"/>
            </w:pPr>
            <w:r>
              <w:rPr>
                <w:rFonts w:hint="eastAsia"/>
              </w:rPr>
              <w:t>-9,042,590.72</w:t>
            </w:r>
          </w:p>
        </w:tc>
        <w:tc>
          <w:tcPr>
            <w:tcW w:w="2076" w:type="dxa"/>
            <w:vAlign w:val="center"/>
          </w:tcPr>
          <w:p w14:paraId="39125B01">
            <w:pPr>
              <w:jc w:val="right"/>
            </w:pPr>
            <w:r>
              <w:rPr>
                <w:rFonts w:hint="eastAsia"/>
              </w:rPr>
              <w:t>-17,201,888.09</w:t>
            </w:r>
          </w:p>
        </w:tc>
      </w:tr>
      <w:tr w14:paraId="6894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681D5">
            <w:r>
              <w:rPr>
                <w:rFonts w:hint="eastAsia"/>
              </w:rPr>
              <w:t>其中：基金申购款</w:t>
            </w:r>
          </w:p>
        </w:tc>
        <w:tc>
          <w:tcPr>
            <w:tcW w:w="2076" w:type="dxa"/>
            <w:vAlign w:val="center"/>
          </w:tcPr>
          <w:p w14:paraId="68D2332D">
            <w:pPr>
              <w:jc w:val="right"/>
            </w:pPr>
            <w:r>
              <w:rPr>
                <w:rFonts w:hint="eastAsia"/>
              </w:rPr>
              <w:t>963,886.61</w:t>
            </w:r>
          </w:p>
        </w:tc>
        <w:tc>
          <w:tcPr>
            <w:tcW w:w="2076" w:type="dxa"/>
            <w:vAlign w:val="center"/>
          </w:tcPr>
          <w:p w14:paraId="2154210C">
            <w:pPr>
              <w:jc w:val="right"/>
            </w:pPr>
            <w:r>
              <w:rPr>
                <w:rFonts w:hint="eastAsia"/>
              </w:rPr>
              <w:t>697,617.94</w:t>
            </w:r>
          </w:p>
        </w:tc>
        <w:tc>
          <w:tcPr>
            <w:tcW w:w="2076" w:type="dxa"/>
            <w:vAlign w:val="center"/>
          </w:tcPr>
          <w:p w14:paraId="1EF52920">
            <w:pPr>
              <w:jc w:val="right"/>
            </w:pPr>
            <w:r>
              <w:rPr>
                <w:rFonts w:hint="eastAsia"/>
              </w:rPr>
              <w:t>1,661,504.55</w:t>
            </w:r>
          </w:p>
        </w:tc>
      </w:tr>
      <w:tr w14:paraId="3F56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3E530">
            <w:r>
              <w:rPr>
                <w:rFonts w:hint="eastAsia"/>
              </w:rPr>
              <w:t xml:space="preserve">      基金赎回款</w:t>
            </w:r>
          </w:p>
        </w:tc>
        <w:tc>
          <w:tcPr>
            <w:tcW w:w="2076" w:type="dxa"/>
            <w:vAlign w:val="center"/>
          </w:tcPr>
          <w:p w14:paraId="10096165">
            <w:pPr>
              <w:jc w:val="right"/>
            </w:pPr>
            <w:r>
              <w:rPr>
                <w:rFonts w:hint="eastAsia"/>
              </w:rPr>
              <w:t>-9,123,183.98</w:t>
            </w:r>
          </w:p>
        </w:tc>
        <w:tc>
          <w:tcPr>
            <w:tcW w:w="2076" w:type="dxa"/>
            <w:vAlign w:val="center"/>
          </w:tcPr>
          <w:p w14:paraId="5D2AD4B6">
            <w:pPr>
              <w:jc w:val="right"/>
            </w:pPr>
            <w:r>
              <w:rPr>
                <w:rFonts w:hint="eastAsia"/>
              </w:rPr>
              <w:t>-9,740,208.66</w:t>
            </w:r>
          </w:p>
        </w:tc>
        <w:tc>
          <w:tcPr>
            <w:tcW w:w="2076" w:type="dxa"/>
            <w:vAlign w:val="center"/>
          </w:tcPr>
          <w:p w14:paraId="47F8F597">
            <w:pPr>
              <w:jc w:val="right"/>
            </w:pPr>
            <w:r>
              <w:rPr>
                <w:rFonts w:hint="eastAsia"/>
              </w:rPr>
              <w:t>-18,863,392.64</w:t>
            </w:r>
          </w:p>
        </w:tc>
      </w:tr>
      <w:tr w14:paraId="03AA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307B9">
            <w:r>
              <w:rPr>
                <w:rFonts w:hint="eastAsia"/>
              </w:rPr>
              <w:t>本期已分配利润</w:t>
            </w:r>
          </w:p>
        </w:tc>
        <w:tc>
          <w:tcPr>
            <w:tcW w:w="2076" w:type="dxa"/>
            <w:vAlign w:val="center"/>
          </w:tcPr>
          <w:p w14:paraId="1A97582B">
            <w:pPr>
              <w:jc w:val="right"/>
            </w:pPr>
            <w:r>
              <w:rPr>
                <w:rFonts w:hint="eastAsia"/>
              </w:rPr>
              <w:t>-</w:t>
            </w:r>
          </w:p>
        </w:tc>
        <w:tc>
          <w:tcPr>
            <w:tcW w:w="2076" w:type="dxa"/>
            <w:vAlign w:val="center"/>
          </w:tcPr>
          <w:p w14:paraId="0567E95A">
            <w:pPr>
              <w:jc w:val="right"/>
            </w:pPr>
            <w:r>
              <w:rPr>
                <w:rFonts w:hint="eastAsia"/>
              </w:rPr>
              <w:t>-</w:t>
            </w:r>
          </w:p>
        </w:tc>
        <w:tc>
          <w:tcPr>
            <w:tcW w:w="2076" w:type="dxa"/>
            <w:vAlign w:val="center"/>
          </w:tcPr>
          <w:p w14:paraId="3568264E">
            <w:pPr>
              <w:jc w:val="right"/>
            </w:pPr>
            <w:r>
              <w:rPr>
                <w:rFonts w:hint="eastAsia"/>
              </w:rPr>
              <w:t>-</w:t>
            </w:r>
          </w:p>
        </w:tc>
      </w:tr>
      <w:tr w14:paraId="6CAD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4D0D4">
            <w:r>
              <w:rPr>
                <w:rFonts w:hint="eastAsia"/>
              </w:rPr>
              <w:t>本期末</w:t>
            </w:r>
          </w:p>
        </w:tc>
        <w:tc>
          <w:tcPr>
            <w:tcW w:w="2076" w:type="dxa"/>
            <w:vAlign w:val="center"/>
          </w:tcPr>
          <w:p w14:paraId="61D0E07A">
            <w:pPr>
              <w:jc w:val="right"/>
            </w:pPr>
            <w:r>
              <w:rPr>
                <w:rFonts w:hint="eastAsia"/>
              </w:rPr>
              <w:t>17,811,293.44</w:t>
            </w:r>
          </w:p>
        </w:tc>
        <w:tc>
          <w:tcPr>
            <w:tcW w:w="2076" w:type="dxa"/>
            <w:vAlign w:val="center"/>
          </w:tcPr>
          <w:p w14:paraId="38C30885">
            <w:pPr>
              <w:jc w:val="right"/>
            </w:pPr>
            <w:r>
              <w:rPr>
                <w:rFonts w:hint="eastAsia"/>
              </w:rPr>
              <w:t>5,034,170.96</w:t>
            </w:r>
          </w:p>
        </w:tc>
        <w:tc>
          <w:tcPr>
            <w:tcW w:w="2076" w:type="dxa"/>
            <w:vAlign w:val="center"/>
          </w:tcPr>
          <w:p w14:paraId="13761179">
            <w:pPr>
              <w:jc w:val="right"/>
            </w:pPr>
            <w:r>
              <w:rPr>
                <w:rFonts w:hint="eastAsia"/>
              </w:rPr>
              <w:t>22,845,464.40</w:t>
            </w:r>
          </w:p>
        </w:tc>
      </w:tr>
    </w:tbl>
    <w:p w14:paraId="38C6EB60">
      <w:pPr>
        <w:pStyle w:val="35"/>
      </w:pPr>
      <w:bookmarkStart w:id="84" w:name="_Toc84"/>
      <w:r>
        <w:t xml:space="preserve"> 存款利息收入</w:t>
      </w:r>
      <w:bookmarkEnd w:id="84"/>
    </w:p>
    <w:p w14:paraId="6FDD52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771E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177FC6E7">
            <w:pPr>
              <w:jc w:val="center"/>
            </w:pPr>
            <w:r>
              <w:rPr>
                <w:rFonts w:hint="eastAsia"/>
                <w:b/>
              </w:rPr>
              <w:t>项目</w:t>
            </w:r>
          </w:p>
        </w:tc>
        <w:tc>
          <w:tcPr>
            <w:tcW w:w="5814" w:type="dxa"/>
            <w:shd w:val="clear" w:color="auto" w:fill="BFBFBF"/>
            <w:vAlign w:val="center"/>
          </w:tcPr>
          <w:p w14:paraId="776A127F">
            <w:pPr>
              <w:jc w:val="center"/>
            </w:pPr>
            <w:r>
              <w:rPr>
                <w:rFonts w:hint="eastAsia"/>
                <w:b/>
              </w:rPr>
              <w:t>本期2025年4月28日（基金合同生效日）至2025年12月31日</w:t>
            </w:r>
          </w:p>
        </w:tc>
      </w:tr>
      <w:tr w14:paraId="14FC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29EE019">
            <w:r>
              <w:rPr>
                <w:rFonts w:hint="eastAsia"/>
              </w:rPr>
              <w:t>活期存款利息收入</w:t>
            </w:r>
          </w:p>
        </w:tc>
        <w:tc>
          <w:tcPr>
            <w:tcW w:w="5814" w:type="dxa"/>
            <w:vAlign w:val="center"/>
          </w:tcPr>
          <w:p w14:paraId="0CB84B83">
            <w:pPr>
              <w:jc w:val="right"/>
            </w:pPr>
            <w:r>
              <w:rPr>
                <w:rFonts w:hint="eastAsia"/>
              </w:rPr>
              <w:t>228,948.34</w:t>
            </w:r>
          </w:p>
        </w:tc>
      </w:tr>
      <w:tr w14:paraId="7D0E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054C3FF">
            <w:r>
              <w:rPr>
                <w:rFonts w:hint="eastAsia"/>
              </w:rPr>
              <w:t>定期存款利息收入</w:t>
            </w:r>
          </w:p>
        </w:tc>
        <w:tc>
          <w:tcPr>
            <w:tcW w:w="5814" w:type="dxa"/>
            <w:vAlign w:val="center"/>
          </w:tcPr>
          <w:p w14:paraId="37231F21">
            <w:pPr>
              <w:jc w:val="right"/>
            </w:pPr>
            <w:r>
              <w:rPr>
                <w:rFonts w:hint="eastAsia"/>
              </w:rPr>
              <w:t>-</w:t>
            </w:r>
          </w:p>
        </w:tc>
      </w:tr>
      <w:tr w14:paraId="52EE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43B02DF">
            <w:r>
              <w:rPr>
                <w:rFonts w:hint="eastAsia"/>
              </w:rPr>
              <w:t>其他存款利息收入</w:t>
            </w:r>
          </w:p>
        </w:tc>
        <w:tc>
          <w:tcPr>
            <w:tcW w:w="5814" w:type="dxa"/>
            <w:vAlign w:val="center"/>
          </w:tcPr>
          <w:p w14:paraId="1EFBE57B">
            <w:pPr>
              <w:jc w:val="right"/>
            </w:pPr>
            <w:r>
              <w:rPr>
                <w:rFonts w:hint="eastAsia"/>
              </w:rPr>
              <w:t>-</w:t>
            </w:r>
          </w:p>
        </w:tc>
      </w:tr>
      <w:tr w14:paraId="51AB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BECAEB6">
            <w:r>
              <w:rPr>
                <w:rFonts w:hint="eastAsia"/>
              </w:rPr>
              <w:t>结算备付金利息收入</w:t>
            </w:r>
          </w:p>
        </w:tc>
        <w:tc>
          <w:tcPr>
            <w:tcW w:w="5814" w:type="dxa"/>
            <w:vAlign w:val="center"/>
          </w:tcPr>
          <w:p w14:paraId="3220DDE6">
            <w:pPr>
              <w:jc w:val="right"/>
            </w:pPr>
            <w:r>
              <w:rPr>
                <w:rFonts w:hint="eastAsia"/>
              </w:rPr>
              <w:t>26,559.96</w:t>
            </w:r>
          </w:p>
        </w:tc>
      </w:tr>
      <w:tr w14:paraId="2B97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A7AE5B7">
            <w:r>
              <w:rPr>
                <w:rFonts w:hint="eastAsia"/>
              </w:rPr>
              <w:t>其他</w:t>
            </w:r>
          </w:p>
        </w:tc>
        <w:tc>
          <w:tcPr>
            <w:tcW w:w="5814" w:type="dxa"/>
            <w:vAlign w:val="center"/>
          </w:tcPr>
          <w:p w14:paraId="14685AE9">
            <w:pPr>
              <w:jc w:val="right"/>
            </w:pPr>
            <w:r>
              <w:rPr>
                <w:rFonts w:hint="eastAsia"/>
              </w:rPr>
              <w:t>2,469.48</w:t>
            </w:r>
          </w:p>
        </w:tc>
      </w:tr>
      <w:tr w14:paraId="330B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9E6B67B">
            <w:r>
              <w:rPr>
                <w:rFonts w:hint="eastAsia"/>
              </w:rPr>
              <w:t>合计</w:t>
            </w:r>
          </w:p>
        </w:tc>
        <w:tc>
          <w:tcPr>
            <w:tcW w:w="5814" w:type="dxa"/>
            <w:vAlign w:val="center"/>
          </w:tcPr>
          <w:p w14:paraId="17D471A4">
            <w:pPr>
              <w:jc w:val="right"/>
            </w:pPr>
            <w:r>
              <w:rPr>
                <w:rFonts w:hint="eastAsia"/>
              </w:rPr>
              <w:t>257,977.78</w:t>
            </w:r>
          </w:p>
        </w:tc>
      </w:tr>
    </w:tbl>
    <w:p w14:paraId="54CAC726">
      <w:pPr>
        <w:pStyle w:val="35"/>
      </w:pPr>
      <w:bookmarkStart w:id="85" w:name="_Toc85"/>
      <w:r>
        <w:t>股票投资收益</w:t>
      </w:r>
      <w:bookmarkEnd w:id="85"/>
    </w:p>
    <w:p w14:paraId="47588D63">
      <w:pPr>
        <w:pStyle w:val="36"/>
      </w:pPr>
      <w:bookmarkStart w:id="86" w:name="_Toc86"/>
      <w:r>
        <w:t>股票投资收益——买卖股票差价收入</w:t>
      </w:r>
      <w:bookmarkEnd w:id="86"/>
    </w:p>
    <w:p w14:paraId="0575712C">
      <w:pPr>
        <w:pStyle w:val="18"/>
        <w:rPr>
          <w:rFonts w:hint="eastAsia"/>
        </w:rPr>
      </w:pPr>
      <w:r>
        <w:rPr>
          <w:rFonts w:hint="eastAsia"/>
        </w:rPr>
        <w:t>无。</w:t>
      </w:r>
    </w:p>
    <w:p w14:paraId="4555912A">
      <w:pPr>
        <w:pStyle w:val="35"/>
      </w:pPr>
      <w:bookmarkStart w:id="87" w:name="_Toc87"/>
      <w:r>
        <w:t>基金投资收益</w:t>
      </w:r>
      <w:bookmarkEnd w:id="87"/>
    </w:p>
    <w:p w14:paraId="685EA7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1E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D9F150">
            <w:pPr>
              <w:jc w:val="center"/>
            </w:pPr>
            <w:r>
              <w:rPr>
                <w:rFonts w:hint="eastAsia"/>
                <w:b/>
              </w:rPr>
              <w:t>项目</w:t>
            </w:r>
          </w:p>
        </w:tc>
        <w:tc>
          <w:tcPr>
            <w:tcW w:w="4153" w:type="dxa"/>
            <w:shd w:val="clear" w:color="auto" w:fill="BFBFBF"/>
            <w:vAlign w:val="center"/>
          </w:tcPr>
          <w:p w14:paraId="455A90AE">
            <w:pPr>
              <w:jc w:val="center"/>
            </w:pPr>
            <w:r>
              <w:rPr>
                <w:rFonts w:hint="eastAsia"/>
                <w:b/>
              </w:rPr>
              <w:t>本期2025年4月28日（基金合同生效日）至2025年12月31日</w:t>
            </w:r>
          </w:p>
        </w:tc>
      </w:tr>
      <w:tr w14:paraId="687D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54FAE">
            <w:r>
              <w:rPr>
                <w:rFonts w:hint="eastAsia"/>
              </w:rPr>
              <w:t>卖出/赎回基金成交总额</w:t>
            </w:r>
          </w:p>
        </w:tc>
        <w:tc>
          <w:tcPr>
            <w:tcW w:w="4153" w:type="dxa"/>
            <w:vAlign w:val="center"/>
          </w:tcPr>
          <w:p w14:paraId="524D242C">
            <w:pPr>
              <w:jc w:val="right"/>
            </w:pPr>
            <w:r>
              <w:rPr>
                <w:rFonts w:hint="eastAsia"/>
              </w:rPr>
              <w:t>5,543,379,717.08</w:t>
            </w:r>
          </w:p>
        </w:tc>
      </w:tr>
      <w:tr w14:paraId="532E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C67CC9">
            <w:r>
              <w:rPr>
                <w:rFonts w:hint="eastAsia"/>
              </w:rPr>
              <w:t>减：卖出/赎回基金成本总额</w:t>
            </w:r>
          </w:p>
        </w:tc>
        <w:tc>
          <w:tcPr>
            <w:tcW w:w="4153" w:type="dxa"/>
            <w:vAlign w:val="center"/>
          </w:tcPr>
          <w:p w14:paraId="0B6C53AF">
            <w:pPr>
              <w:jc w:val="right"/>
            </w:pPr>
            <w:r>
              <w:rPr>
                <w:rFonts w:hint="eastAsia"/>
              </w:rPr>
              <w:t>5,503,611,437.74</w:t>
            </w:r>
          </w:p>
        </w:tc>
      </w:tr>
      <w:tr w14:paraId="15D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28958">
            <w:r>
              <w:rPr>
                <w:rFonts w:hint="eastAsia"/>
              </w:rPr>
              <w:t>减：买卖基金差价收入应缴纳增值税额</w:t>
            </w:r>
          </w:p>
        </w:tc>
        <w:tc>
          <w:tcPr>
            <w:tcW w:w="4153" w:type="dxa"/>
            <w:vAlign w:val="center"/>
          </w:tcPr>
          <w:p w14:paraId="4AE4D5FD">
            <w:pPr>
              <w:jc w:val="right"/>
            </w:pPr>
            <w:r>
              <w:rPr>
                <w:rFonts w:hint="eastAsia"/>
              </w:rPr>
              <w:t>511,744.98</w:t>
            </w:r>
          </w:p>
        </w:tc>
      </w:tr>
      <w:tr w14:paraId="6C60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97346">
            <w:r>
              <w:rPr>
                <w:rFonts w:hint="eastAsia"/>
              </w:rPr>
              <w:t>减：交易费用</w:t>
            </w:r>
          </w:p>
        </w:tc>
        <w:tc>
          <w:tcPr>
            <w:tcW w:w="4153" w:type="dxa"/>
            <w:vAlign w:val="center"/>
          </w:tcPr>
          <w:p w14:paraId="0060220E">
            <w:pPr>
              <w:jc w:val="right"/>
            </w:pPr>
            <w:r>
              <w:rPr>
                <w:rFonts w:hint="eastAsia"/>
              </w:rPr>
              <w:t>248,843.06</w:t>
            </w:r>
          </w:p>
        </w:tc>
      </w:tr>
      <w:tr w14:paraId="4A57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9B80F">
            <w:r>
              <w:rPr>
                <w:rFonts w:hint="eastAsia"/>
              </w:rPr>
              <w:t>基金投资收益</w:t>
            </w:r>
          </w:p>
        </w:tc>
        <w:tc>
          <w:tcPr>
            <w:tcW w:w="4153" w:type="dxa"/>
            <w:vAlign w:val="center"/>
          </w:tcPr>
          <w:p w14:paraId="6479E3EF">
            <w:pPr>
              <w:jc w:val="right"/>
            </w:pPr>
            <w:r>
              <w:rPr>
                <w:rFonts w:hint="eastAsia"/>
              </w:rPr>
              <w:t>39,007,691.30</w:t>
            </w:r>
          </w:p>
        </w:tc>
      </w:tr>
    </w:tbl>
    <w:p w14:paraId="16CECDA8">
      <w:pPr>
        <w:pStyle w:val="47"/>
        <w:rPr>
          <w:rFonts w:hint="eastAsia"/>
        </w:rPr>
      </w:pPr>
      <w:r>
        <w:rPr>
          <w:rFonts w:hint="eastAsia"/>
        </w:rPr>
        <w:t>注：上述交易费用（如有）包含基金买卖或申赎产生的交易费用。</w:t>
      </w:r>
    </w:p>
    <w:p w14:paraId="3CF59484">
      <w:pPr>
        <w:pStyle w:val="35"/>
      </w:pPr>
      <w:bookmarkStart w:id="88" w:name="_Toc88"/>
      <w:r>
        <w:t>债券投资收益</w:t>
      </w:r>
      <w:bookmarkEnd w:id="88"/>
    </w:p>
    <w:p w14:paraId="56B70A18">
      <w:pPr>
        <w:pStyle w:val="36"/>
      </w:pPr>
      <w:bookmarkStart w:id="89" w:name="_Toc89"/>
      <w:r>
        <w:t>债券投资收益项目构成</w:t>
      </w:r>
      <w:bookmarkEnd w:id="89"/>
    </w:p>
    <w:p w14:paraId="6A9986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7C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38CAB1">
            <w:pPr>
              <w:jc w:val="center"/>
            </w:pPr>
            <w:r>
              <w:rPr>
                <w:rFonts w:hint="eastAsia"/>
                <w:b/>
              </w:rPr>
              <w:t>项目</w:t>
            </w:r>
          </w:p>
        </w:tc>
        <w:tc>
          <w:tcPr>
            <w:tcW w:w="4153" w:type="dxa"/>
            <w:shd w:val="clear" w:color="auto" w:fill="BFBFBF"/>
            <w:vAlign w:val="center"/>
          </w:tcPr>
          <w:p w14:paraId="72E30A3A">
            <w:pPr>
              <w:jc w:val="center"/>
            </w:pPr>
            <w:r>
              <w:rPr>
                <w:rFonts w:hint="eastAsia"/>
                <w:b/>
              </w:rPr>
              <w:t>本期2025年4月28日（基金合同生效日）至2025年12月31日</w:t>
            </w:r>
          </w:p>
        </w:tc>
      </w:tr>
      <w:tr w14:paraId="4A8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18F7D">
            <w:r>
              <w:rPr>
                <w:rFonts w:hint="eastAsia"/>
              </w:rPr>
              <w:t>债券投资收益——利息收入</w:t>
            </w:r>
          </w:p>
        </w:tc>
        <w:tc>
          <w:tcPr>
            <w:tcW w:w="4153" w:type="dxa"/>
            <w:vAlign w:val="center"/>
          </w:tcPr>
          <w:p w14:paraId="1136540E">
            <w:pPr>
              <w:jc w:val="right"/>
            </w:pPr>
            <w:r>
              <w:rPr>
                <w:rFonts w:hint="eastAsia"/>
              </w:rPr>
              <w:t>1,095,665.82</w:t>
            </w:r>
          </w:p>
        </w:tc>
      </w:tr>
      <w:tr w14:paraId="35AE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5992D7">
            <w:r>
              <w:rPr>
                <w:rFonts w:hint="eastAsia"/>
              </w:rPr>
              <w:t>债券投资收益——买卖债券（债转股及债券到期兑付）差价收入</w:t>
            </w:r>
          </w:p>
        </w:tc>
        <w:tc>
          <w:tcPr>
            <w:tcW w:w="4153" w:type="dxa"/>
            <w:vAlign w:val="center"/>
          </w:tcPr>
          <w:p w14:paraId="65C1FBCE">
            <w:pPr>
              <w:jc w:val="right"/>
            </w:pPr>
            <w:r>
              <w:rPr>
                <w:rFonts w:hint="eastAsia"/>
              </w:rPr>
              <w:t>132,748.48</w:t>
            </w:r>
          </w:p>
        </w:tc>
      </w:tr>
      <w:tr w14:paraId="2BAC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F452B">
            <w:r>
              <w:rPr>
                <w:rFonts w:hint="eastAsia"/>
              </w:rPr>
              <w:t>债券投资收益——赎回差价收入</w:t>
            </w:r>
          </w:p>
        </w:tc>
        <w:tc>
          <w:tcPr>
            <w:tcW w:w="4153" w:type="dxa"/>
            <w:vAlign w:val="center"/>
          </w:tcPr>
          <w:p w14:paraId="5E0D817F">
            <w:pPr>
              <w:jc w:val="right"/>
            </w:pPr>
            <w:r>
              <w:rPr>
                <w:rFonts w:hint="eastAsia"/>
              </w:rPr>
              <w:t>-</w:t>
            </w:r>
          </w:p>
        </w:tc>
      </w:tr>
      <w:tr w14:paraId="768D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7618C7">
            <w:r>
              <w:rPr>
                <w:rFonts w:hint="eastAsia"/>
              </w:rPr>
              <w:t>债券投资收益——申购差价收入</w:t>
            </w:r>
          </w:p>
        </w:tc>
        <w:tc>
          <w:tcPr>
            <w:tcW w:w="4153" w:type="dxa"/>
            <w:vAlign w:val="center"/>
          </w:tcPr>
          <w:p w14:paraId="4B99B9D3">
            <w:pPr>
              <w:jc w:val="right"/>
            </w:pPr>
            <w:r>
              <w:rPr>
                <w:rFonts w:hint="eastAsia"/>
              </w:rPr>
              <w:t>-</w:t>
            </w:r>
          </w:p>
        </w:tc>
      </w:tr>
      <w:tr w14:paraId="38D9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1A2A64">
            <w:r>
              <w:rPr>
                <w:rFonts w:hint="eastAsia"/>
              </w:rPr>
              <w:t>合计</w:t>
            </w:r>
          </w:p>
        </w:tc>
        <w:tc>
          <w:tcPr>
            <w:tcW w:w="4153" w:type="dxa"/>
            <w:vAlign w:val="center"/>
          </w:tcPr>
          <w:p w14:paraId="29FE2AD6">
            <w:pPr>
              <w:jc w:val="right"/>
            </w:pPr>
            <w:r>
              <w:rPr>
                <w:rFonts w:hint="eastAsia"/>
              </w:rPr>
              <w:t>1,228,414.30</w:t>
            </w:r>
          </w:p>
        </w:tc>
      </w:tr>
    </w:tbl>
    <w:p w14:paraId="7B3ADA0A">
      <w:pPr>
        <w:pStyle w:val="36"/>
      </w:pPr>
      <w:bookmarkStart w:id="90" w:name="_Toc90"/>
      <w:r>
        <w:t>债券投资收益——买卖债券差价收入</w:t>
      </w:r>
      <w:bookmarkEnd w:id="90"/>
    </w:p>
    <w:p w14:paraId="33C407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00E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2935BFA0">
            <w:pPr>
              <w:jc w:val="center"/>
            </w:pPr>
            <w:r>
              <w:rPr>
                <w:rFonts w:hint="eastAsia"/>
                <w:b/>
              </w:rPr>
              <w:t>项目</w:t>
            </w:r>
          </w:p>
        </w:tc>
        <w:tc>
          <w:tcPr>
            <w:tcW w:w="4983" w:type="dxa"/>
            <w:shd w:val="clear" w:color="auto" w:fill="BFBFBF"/>
            <w:vAlign w:val="center"/>
          </w:tcPr>
          <w:p w14:paraId="32CA04DC">
            <w:pPr>
              <w:jc w:val="center"/>
            </w:pPr>
            <w:r>
              <w:rPr>
                <w:rFonts w:hint="eastAsia"/>
                <w:b/>
              </w:rPr>
              <w:t>本期2025年4月28日（基金合同生效日）至2025年12月31日</w:t>
            </w:r>
          </w:p>
        </w:tc>
      </w:tr>
      <w:tr w14:paraId="1EBB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DDCAE5">
            <w:r>
              <w:rPr>
                <w:rFonts w:hint="eastAsia"/>
              </w:rPr>
              <w:t>卖出债券（债转股及债券到期兑付）成交总额</w:t>
            </w:r>
          </w:p>
        </w:tc>
        <w:tc>
          <w:tcPr>
            <w:tcW w:w="4983" w:type="dxa"/>
            <w:vAlign w:val="center"/>
          </w:tcPr>
          <w:p w14:paraId="55F4E75A">
            <w:pPr>
              <w:jc w:val="right"/>
            </w:pPr>
            <w:r>
              <w:rPr>
                <w:rFonts w:hint="eastAsia"/>
              </w:rPr>
              <w:t>103,344,800.30</w:t>
            </w:r>
          </w:p>
        </w:tc>
      </w:tr>
      <w:tr w14:paraId="3DDC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1CB787">
            <w:r>
              <w:rPr>
                <w:rFonts w:hint="eastAsia"/>
              </w:rPr>
              <w:t>减：卖出债券（债转股及债券到期兑付）成本总额</w:t>
            </w:r>
          </w:p>
        </w:tc>
        <w:tc>
          <w:tcPr>
            <w:tcW w:w="4983" w:type="dxa"/>
            <w:vAlign w:val="center"/>
          </w:tcPr>
          <w:p w14:paraId="43745585">
            <w:pPr>
              <w:jc w:val="right"/>
            </w:pPr>
            <w:r>
              <w:rPr>
                <w:rFonts w:hint="eastAsia"/>
              </w:rPr>
              <w:t>102,315,416.52</w:t>
            </w:r>
          </w:p>
        </w:tc>
      </w:tr>
      <w:tr w14:paraId="60F9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C2B6E7">
            <w:r>
              <w:rPr>
                <w:rFonts w:hint="eastAsia"/>
              </w:rPr>
              <w:t>减：应计利息总额</w:t>
            </w:r>
          </w:p>
        </w:tc>
        <w:tc>
          <w:tcPr>
            <w:tcW w:w="4983" w:type="dxa"/>
            <w:vAlign w:val="center"/>
          </w:tcPr>
          <w:p w14:paraId="07AE724D">
            <w:pPr>
              <w:jc w:val="right"/>
            </w:pPr>
            <w:r>
              <w:rPr>
                <w:rFonts w:hint="eastAsia"/>
              </w:rPr>
              <w:t>896,635.30</w:t>
            </w:r>
          </w:p>
        </w:tc>
      </w:tr>
      <w:tr w14:paraId="7DB4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C78991B">
            <w:r>
              <w:rPr>
                <w:rFonts w:hint="eastAsia"/>
              </w:rPr>
              <w:t>减：交易费用</w:t>
            </w:r>
          </w:p>
        </w:tc>
        <w:tc>
          <w:tcPr>
            <w:tcW w:w="4983" w:type="dxa"/>
            <w:vAlign w:val="center"/>
          </w:tcPr>
          <w:p w14:paraId="60C4E41C">
            <w:pPr>
              <w:jc w:val="right"/>
            </w:pPr>
            <w:r>
              <w:rPr>
                <w:rFonts w:hint="eastAsia"/>
              </w:rPr>
              <w:t>-</w:t>
            </w:r>
          </w:p>
        </w:tc>
      </w:tr>
      <w:tr w14:paraId="3A9B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507E94B">
            <w:r>
              <w:rPr>
                <w:rFonts w:hint="eastAsia"/>
              </w:rPr>
              <w:t>买卖债券差价收入</w:t>
            </w:r>
          </w:p>
        </w:tc>
        <w:tc>
          <w:tcPr>
            <w:tcW w:w="4983" w:type="dxa"/>
            <w:vAlign w:val="center"/>
          </w:tcPr>
          <w:p w14:paraId="6882F2C7">
            <w:pPr>
              <w:jc w:val="right"/>
            </w:pPr>
            <w:r>
              <w:rPr>
                <w:rFonts w:hint="eastAsia"/>
              </w:rPr>
              <w:t>132,748.48</w:t>
            </w:r>
          </w:p>
        </w:tc>
      </w:tr>
    </w:tbl>
    <w:p w14:paraId="6CB6A91A">
      <w:pPr>
        <w:pStyle w:val="47"/>
        <w:rPr>
          <w:rFonts w:hint="eastAsia"/>
        </w:rPr>
      </w:pPr>
      <w:r>
        <w:rPr>
          <w:rFonts w:hint="eastAsia"/>
        </w:rPr>
        <w:t>注：上述交易费用（如有）包含债券买卖产生的交易费用。</w:t>
      </w:r>
    </w:p>
    <w:p w14:paraId="0358DBD6">
      <w:pPr>
        <w:pStyle w:val="35"/>
      </w:pPr>
      <w:bookmarkStart w:id="91" w:name="_Toc91"/>
      <w:r>
        <w:t>资产支持证券投资收益</w:t>
      </w:r>
      <w:bookmarkEnd w:id="91"/>
    </w:p>
    <w:p w14:paraId="49AE09A2">
      <w:pPr>
        <w:pStyle w:val="36"/>
      </w:pPr>
      <w:bookmarkStart w:id="92" w:name="_Toc92"/>
      <w:r>
        <w:t>资产支持证券投资收益——买卖资产支持证券差价收入</w:t>
      </w:r>
      <w:bookmarkEnd w:id="92"/>
    </w:p>
    <w:p w14:paraId="76362715">
      <w:pPr>
        <w:pStyle w:val="18"/>
        <w:rPr>
          <w:rFonts w:hint="eastAsia"/>
        </w:rPr>
      </w:pPr>
      <w:r>
        <w:rPr>
          <w:rFonts w:hint="eastAsia"/>
        </w:rPr>
        <w:t>无。</w:t>
      </w:r>
    </w:p>
    <w:p w14:paraId="15F9B809">
      <w:pPr>
        <w:pStyle w:val="35"/>
      </w:pPr>
      <w:bookmarkStart w:id="93" w:name="_Toc93"/>
      <w:r>
        <w:t>衍生工具收益</w:t>
      </w:r>
      <w:bookmarkEnd w:id="93"/>
    </w:p>
    <w:p w14:paraId="6B8D1669">
      <w:pPr>
        <w:pStyle w:val="36"/>
      </w:pPr>
      <w:bookmarkStart w:id="94" w:name="_Toc94"/>
      <w:r>
        <w:t xml:space="preserve">衍生工具收益——买卖权证差价收入 </w:t>
      </w:r>
      <w:bookmarkEnd w:id="94"/>
    </w:p>
    <w:p w14:paraId="553DA8AE">
      <w:pPr>
        <w:pStyle w:val="18"/>
        <w:rPr>
          <w:rFonts w:hint="eastAsia"/>
        </w:rPr>
      </w:pPr>
      <w:r>
        <w:rPr>
          <w:rFonts w:hint="eastAsia"/>
        </w:rPr>
        <w:t>无。</w:t>
      </w:r>
    </w:p>
    <w:p w14:paraId="2B225409">
      <w:pPr>
        <w:pStyle w:val="36"/>
      </w:pPr>
      <w:bookmarkStart w:id="95" w:name="_Toc95"/>
      <w:r>
        <w:t>衍生工具收益——其他投资收益</w:t>
      </w:r>
      <w:bookmarkEnd w:id="95"/>
    </w:p>
    <w:p w14:paraId="4470EEBF">
      <w:pPr>
        <w:pStyle w:val="18"/>
        <w:rPr>
          <w:rFonts w:hint="eastAsia"/>
        </w:rPr>
      </w:pPr>
      <w:r>
        <w:rPr>
          <w:rFonts w:hint="eastAsia"/>
        </w:rPr>
        <w:t>无。</w:t>
      </w:r>
    </w:p>
    <w:p w14:paraId="1F5EEE4D">
      <w:pPr>
        <w:pStyle w:val="35"/>
      </w:pPr>
      <w:bookmarkStart w:id="96" w:name="_Toc96"/>
      <w:r>
        <w:t>股利收益</w:t>
      </w:r>
      <w:bookmarkEnd w:id="96"/>
    </w:p>
    <w:p w14:paraId="53CC5A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60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9B0573">
            <w:pPr>
              <w:jc w:val="center"/>
            </w:pPr>
            <w:r>
              <w:rPr>
                <w:rFonts w:hint="eastAsia"/>
                <w:b/>
              </w:rPr>
              <w:t>项目</w:t>
            </w:r>
          </w:p>
        </w:tc>
        <w:tc>
          <w:tcPr>
            <w:tcW w:w="4153" w:type="dxa"/>
            <w:shd w:val="clear" w:color="auto" w:fill="BFBFBF"/>
            <w:vAlign w:val="center"/>
          </w:tcPr>
          <w:p w14:paraId="0C1015C9">
            <w:pPr>
              <w:jc w:val="center"/>
            </w:pPr>
            <w:r>
              <w:rPr>
                <w:rFonts w:hint="eastAsia"/>
                <w:b/>
              </w:rPr>
              <w:t>本期2025年4月28日（基金合同生效日）至2025年12月31日</w:t>
            </w:r>
          </w:p>
        </w:tc>
      </w:tr>
      <w:tr w14:paraId="10CA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04AA51">
            <w:r>
              <w:rPr>
                <w:rFonts w:hint="eastAsia"/>
              </w:rPr>
              <w:t>股票投资产生的股利收益</w:t>
            </w:r>
          </w:p>
        </w:tc>
        <w:tc>
          <w:tcPr>
            <w:tcW w:w="4153" w:type="dxa"/>
            <w:vAlign w:val="center"/>
          </w:tcPr>
          <w:p w14:paraId="12D518EF">
            <w:pPr>
              <w:jc w:val="right"/>
            </w:pPr>
            <w:r>
              <w:rPr>
                <w:rFonts w:hint="eastAsia"/>
              </w:rPr>
              <w:t>-</w:t>
            </w:r>
          </w:p>
        </w:tc>
      </w:tr>
      <w:tr w14:paraId="2FEB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91C2E9">
            <w:r>
              <w:rPr>
                <w:rFonts w:hint="eastAsia"/>
              </w:rPr>
              <w:t>其中：证券出借权益补偿收入</w:t>
            </w:r>
          </w:p>
        </w:tc>
        <w:tc>
          <w:tcPr>
            <w:tcW w:w="4153" w:type="dxa"/>
            <w:vAlign w:val="center"/>
          </w:tcPr>
          <w:p w14:paraId="617B55E4">
            <w:pPr>
              <w:jc w:val="right"/>
            </w:pPr>
            <w:r>
              <w:rPr>
                <w:rFonts w:hint="eastAsia"/>
              </w:rPr>
              <w:t>-</w:t>
            </w:r>
          </w:p>
        </w:tc>
      </w:tr>
      <w:tr w14:paraId="70F3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660BB7">
            <w:r>
              <w:rPr>
                <w:rFonts w:hint="eastAsia"/>
              </w:rPr>
              <w:t>基金投资产生的股利收益</w:t>
            </w:r>
          </w:p>
        </w:tc>
        <w:tc>
          <w:tcPr>
            <w:tcW w:w="4153" w:type="dxa"/>
            <w:vAlign w:val="center"/>
          </w:tcPr>
          <w:p w14:paraId="75C424B6">
            <w:pPr>
              <w:jc w:val="right"/>
            </w:pPr>
            <w:r>
              <w:rPr>
                <w:rFonts w:hint="eastAsia"/>
              </w:rPr>
              <w:t>3,962,307.73</w:t>
            </w:r>
          </w:p>
        </w:tc>
      </w:tr>
      <w:tr w14:paraId="4AF9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A021F">
            <w:r>
              <w:rPr>
                <w:rFonts w:hint="eastAsia"/>
              </w:rPr>
              <w:t>合计</w:t>
            </w:r>
          </w:p>
        </w:tc>
        <w:tc>
          <w:tcPr>
            <w:tcW w:w="4153" w:type="dxa"/>
            <w:vAlign w:val="center"/>
          </w:tcPr>
          <w:p w14:paraId="34DAF312">
            <w:pPr>
              <w:jc w:val="right"/>
            </w:pPr>
            <w:r>
              <w:rPr>
                <w:rFonts w:hint="eastAsia"/>
              </w:rPr>
              <w:t>3,962,307.73</w:t>
            </w:r>
          </w:p>
        </w:tc>
      </w:tr>
    </w:tbl>
    <w:p w14:paraId="19BD5A1D">
      <w:pPr>
        <w:pStyle w:val="35"/>
      </w:pPr>
      <w:bookmarkStart w:id="97" w:name="_Toc97"/>
      <w:r>
        <w:t>公允价值变动收益</w:t>
      </w:r>
      <w:bookmarkEnd w:id="97"/>
    </w:p>
    <w:p w14:paraId="40DB22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C5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7883AF">
            <w:pPr>
              <w:jc w:val="center"/>
            </w:pPr>
            <w:r>
              <w:rPr>
                <w:rFonts w:hint="eastAsia"/>
                <w:b/>
              </w:rPr>
              <w:t>项目名称</w:t>
            </w:r>
          </w:p>
        </w:tc>
        <w:tc>
          <w:tcPr>
            <w:tcW w:w="4153" w:type="dxa"/>
            <w:shd w:val="clear" w:color="auto" w:fill="BFBFBF"/>
            <w:vAlign w:val="center"/>
          </w:tcPr>
          <w:p w14:paraId="672AFB52">
            <w:pPr>
              <w:jc w:val="center"/>
            </w:pPr>
            <w:r>
              <w:rPr>
                <w:rFonts w:hint="eastAsia"/>
                <w:b/>
              </w:rPr>
              <w:t>本期2025年4月28日（基金合同生效日）至2025年12月31日</w:t>
            </w:r>
          </w:p>
        </w:tc>
      </w:tr>
      <w:tr w14:paraId="6697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406B06">
            <w:r>
              <w:rPr>
                <w:rFonts w:hint="eastAsia"/>
              </w:rPr>
              <w:t>1.交易性金融资产</w:t>
            </w:r>
          </w:p>
        </w:tc>
        <w:tc>
          <w:tcPr>
            <w:tcW w:w="4153" w:type="dxa"/>
            <w:vAlign w:val="center"/>
          </w:tcPr>
          <w:p w14:paraId="36700549">
            <w:pPr>
              <w:jc w:val="right"/>
            </w:pPr>
            <w:r>
              <w:rPr>
                <w:rFonts w:hint="eastAsia"/>
              </w:rPr>
              <w:t>19,497,781.51</w:t>
            </w:r>
          </w:p>
        </w:tc>
      </w:tr>
      <w:tr w14:paraId="7D84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75160">
            <w:r>
              <w:rPr>
                <w:rFonts w:hint="eastAsia"/>
              </w:rPr>
              <w:t>——股票投资</w:t>
            </w:r>
          </w:p>
        </w:tc>
        <w:tc>
          <w:tcPr>
            <w:tcW w:w="4153" w:type="dxa"/>
            <w:vAlign w:val="center"/>
          </w:tcPr>
          <w:p w14:paraId="70F52F9F">
            <w:pPr>
              <w:jc w:val="right"/>
            </w:pPr>
            <w:r>
              <w:rPr>
                <w:rFonts w:hint="eastAsia"/>
              </w:rPr>
              <w:t>-</w:t>
            </w:r>
          </w:p>
        </w:tc>
      </w:tr>
      <w:tr w14:paraId="3189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42B379">
            <w:r>
              <w:rPr>
                <w:rFonts w:hint="eastAsia"/>
              </w:rPr>
              <w:t>——债券投资</w:t>
            </w:r>
          </w:p>
        </w:tc>
        <w:tc>
          <w:tcPr>
            <w:tcW w:w="4153" w:type="dxa"/>
            <w:vAlign w:val="center"/>
          </w:tcPr>
          <w:p w14:paraId="2EBC8362">
            <w:pPr>
              <w:jc w:val="right"/>
            </w:pPr>
            <w:r>
              <w:rPr>
                <w:rFonts w:hint="eastAsia"/>
              </w:rPr>
              <w:t>173,596.52</w:t>
            </w:r>
          </w:p>
        </w:tc>
      </w:tr>
      <w:tr w14:paraId="635B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083B0E">
            <w:r>
              <w:rPr>
                <w:rFonts w:hint="eastAsia"/>
              </w:rPr>
              <w:t>——资产支持证券投资</w:t>
            </w:r>
          </w:p>
        </w:tc>
        <w:tc>
          <w:tcPr>
            <w:tcW w:w="4153" w:type="dxa"/>
            <w:vAlign w:val="center"/>
          </w:tcPr>
          <w:p w14:paraId="3F319D06">
            <w:pPr>
              <w:jc w:val="right"/>
            </w:pPr>
            <w:r>
              <w:rPr>
                <w:rFonts w:hint="eastAsia"/>
              </w:rPr>
              <w:t>-</w:t>
            </w:r>
          </w:p>
        </w:tc>
      </w:tr>
      <w:tr w14:paraId="5773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FA3C4">
            <w:r>
              <w:rPr>
                <w:rFonts w:hint="eastAsia"/>
              </w:rPr>
              <w:t>——基金投资</w:t>
            </w:r>
          </w:p>
        </w:tc>
        <w:tc>
          <w:tcPr>
            <w:tcW w:w="4153" w:type="dxa"/>
            <w:vAlign w:val="center"/>
          </w:tcPr>
          <w:p w14:paraId="773B3A1D">
            <w:pPr>
              <w:jc w:val="right"/>
            </w:pPr>
            <w:r>
              <w:rPr>
                <w:rFonts w:hint="eastAsia"/>
              </w:rPr>
              <w:t>19,324,184.99</w:t>
            </w:r>
          </w:p>
        </w:tc>
      </w:tr>
      <w:tr w14:paraId="1EF8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DBBF8">
            <w:r>
              <w:rPr>
                <w:rFonts w:hint="eastAsia"/>
              </w:rPr>
              <w:t>——贵金属投资</w:t>
            </w:r>
          </w:p>
        </w:tc>
        <w:tc>
          <w:tcPr>
            <w:tcW w:w="4153" w:type="dxa"/>
            <w:vAlign w:val="center"/>
          </w:tcPr>
          <w:p w14:paraId="71D6D628">
            <w:pPr>
              <w:jc w:val="right"/>
            </w:pPr>
            <w:r>
              <w:rPr>
                <w:rFonts w:hint="eastAsia"/>
              </w:rPr>
              <w:t>-</w:t>
            </w:r>
          </w:p>
        </w:tc>
      </w:tr>
      <w:tr w14:paraId="7ECA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CD82B">
            <w:r>
              <w:rPr>
                <w:rFonts w:hint="eastAsia"/>
              </w:rPr>
              <w:t>——其他</w:t>
            </w:r>
          </w:p>
        </w:tc>
        <w:tc>
          <w:tcPr>
            <w:tcW w:w="4153" w:type="dxa"/>
            <w:vAlign w:val="center"/>
          </w:tcPr>
          <w:p w14:paraId="460571CE">
            <w:pPr>
              <w:jc w:val="right"/>
            </w:pPr>
            <w:r>
              <w:rPr>
                <w:rFonts w:hint="eastAsia"/>
              </w:rPr>
              <w:t>-</w:t>
            </w:r>
          </w:p>
        </w:tc>
      </w:tr>
      <w:tr w14:paraId="0F86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F00429">
            <w:r>
              <w:rPr>
                <w:rFonts w:hint="eastAsia"/>
              </w:rPr>
              <w:t>2.衍生工具</w:t>
            </w:r>
          </w:p>
        </w:tc>
        <w:tc>
          <w:tcPr>
            <w:tcW w:w="4153" w:type="dxa"/>
            <w:vAlign w:val="center"/>
          </w:tcPr>
          <w:p w14:paraId="7F7831A7">
            <w:pPr>
              <w:jc w:val="right"/>
            </w:pPr>
            <w:r>
              <w:rPr>
                <w:rFonts w:hint="eastAsia"/>
              </w:rPr>
              <w:t>-</w:t>
            </w:r>
          </w:p>
        </w:tc>
      </w:tr>
      <w:tr w14:paraId="782D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6C8457">
            <w:r>
              <w:rPr>
                <w:rFonts w:hint="eastAsia"/>
              </w:rPr>
              <w:t>——权证投资</w:t>
            </w:r>
          </w:p>
        </w:tc>
        <w:tc>
          <w:tcPr>
            <w:tcW w:w="4153" w:type="dxa"/>
            <w:vAlign w:val="center"/>
          </w:tcPr>
          <w:p w14:paraId="71184F50">
            <w:pPr>
              <w:jc w:val="right"/>
            </w:pPr>
            <w:r>
              <w:rPr>
                <w:rFonts w:hint="eastAsia"/>
              </w:rPr>
              <w:t>-</w:t>
            </w:r>
          </w:p>
        </w:tc>
      </w:tr>
      <w:tr w14:paraId="6704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A9F18">
            <w:r>
              <w:rPr>
                <w:rFonts w:hint="eastAsia"/>
              </w:rPr>
              <w:t>——期货投资</w:t>
            </w:r>
          </w:p>
        </w:tc>
        <w:tc>
          <w:tcPr>
            <w:tcW w:w="4153" w:type="dxa"/>
            <w:vAlign w:val="center"/>
          </w:tcPr>
          <w:p w14:paraId="30B66588">
            <w:pPr>
              <w:jc w:val="right"/>
            </w:pPr>
            <w:r>
              <w:rPr>
                <w:rFonts w:hint="eastAsia"/>
              </w:rPr>
              <w:t>-</w:t>
            </w:r>
          </w:p>
        </w:tc>
      </w:tr>
      <w:tr w14:paraId="387F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D9F8F7">
            <w:r>
              <w:rPr>
                <w:rFonts w:hint="eastAsia"/>
              </w:rPr>
              <w:t>3.其他</w:t>
            </w:r>
          </w:p>
        </w:tc>
        <w:tc>
          <w:tcPr>
            <w:tcW w:w="4153" w:type="dxa"/>
            <w:vAlign w:val="center"/>
          </w:tcPr>
          <w:p w14:paraId="4D3B89EE">
            <w:pPr>
              <w:jc w:val="right"/>
            </w:pPr>
            <w:r>
              <w:rPr>
                <w:rFonts w:hint="eastAsia"/>
              </w:rPr>
              <w:t>-</w:t>
            </w:r>
          </w:p>
        </w:tc>
      </w:tr>
      <w:tr w14:paraId="4D95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F3EBFC">
            <w:r>
              <w:rPr>
                <w:rFonts w:hint="eastAsia"/>
              </w:rPr>
              <w:t>减：应税金融商品公允价值变动产生的预估增值税</w:t>
            </w:r>
          </w:p>
        </w:tc>
        <w:tc>
          <w:tcPr>
            <w:tcW w:w="4153" w:type="dxa"/>
            <w:vAlign w:val="center"/>
          </w:tcPr>
          <w:p w14:paraId="1BE82C87">
            <w:pPr>
              <w:jc w:val="right"/>
            </w:pPr>
            <w:r>
              <w:rPr>
                <w:rFonts w:hint="eastAsia"/>
              </w:rPr>
              <w:t>-</w:t>
            </w:r>
          </w:p>
        </w:tc>
      </w:tr>
      <w:tr w14:paraId="5F30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42CB08">
            <w:r>
              <w:rPr>
                <w:rFonts w:hint="eastAsia"/>
              </w:rPr>
              <w:t>合计</w:t>
            </w:r>
          </w:p>
        </w:tc>
        <w:tc>
          <w:tcPr>
            <w:tcW w:w="4153" w:type="dxa"/>
            <w:vAlign w:val="center"/>
          </w:tcPr>
          <w:p w14:paraId="1E11153F">
            <w:pPr>
              <w:jc w:val="right"/>
            </w:pPr>
            <w:r>
              <w:rPr>
                <w:rFonts w:hint="eastAsia"/>
              </w:rPr>
              <w:t>19,497,781.51</w:t>
            </w:r>
          </w:p>
        </w:tc>
      </w:tr>
    </w:tbl>
    <w:p w14:paraId="3BFDA8CE">
      <w:pPr>
        <w:pStyle w:val="35"/>
      </w:pPr>
      <w:bookmarkStart w:id="98" w:name="_Toc98"/>
      <w:r>
        <w:t>其他收入</w:t>
      </w:r>
      <w:bookmarkEnd w:id="98"/>
    </w:p>
    <w:p w14:paraId="7F2E2D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80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F3D6F7">
            <w:pPr>
              <w:jc w:val="center"/>
            </w:pPr>
            <w:r>
              <w:rPr>
                <w:rFonts w:hint="eastAsia"/>
                <w:b/>
              </w:rPr>
              <w:t>项目</w:t>
            </w:r>
          </w:p>
        </w:tc>
        <w:tc>
          <w:tcPr>
            <w:tcW w:w="4153" w:type="dxa"/>
            <w:shd w:val="clear" w:color="auto" w:fill="BFBFBF"/>
            <w:vAlign w:val="center"/>
          </w:tcPr>
          <w:p w14:paraId="6FA69651">
            <w:pPr>
              <w:jc w:val="center"/>
            </w:pPr>
            <w:r>
              <w:rPr>
                <w:rFonts w:hint="eastAsia"/>
                <w:b/>
              </w:rPr>
              <w:t>本期2025年4月28日（基金合同生效日）至2025年12月31日</w:t>
            </w:r>
          </w:p>
        </w:tc>
      </w:tr>
      <w:tr w14:paraId="4859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052C24">
            <w:r>
              <w:rPr>
                <w:rFonts w:hint="eastAsia"/>
              </w:rPr>
              <w:t>基金赎回费收入</w:t>
            </w:r>
          </w:p>
        </w:tc>
        <w:tc>
          <w:tcPr>
            <w:tcW w:w="4153" w:type="dxa"/>
            <w:vAlign w:val="center"/>
          </w:tcPr>
          <w:p w14:paraId="139B8A13">
            <w:pPr>
              <w:jc w:val="right"/>
            </w:pPr>
            <w:r>
              <w:rPr>
                <w:rFonts w:hint="eastAsia"/>
              </w:rPr>
              <w:t>1,502,415.32</w:t>
            </w:r>
          </w:p>
        </w:tc>
      </w:tr>
      <w:tr w14:paraId="006E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C1296A">
            <w:r>
              <w:rPr>
                <w:rFonts w:hint="eastAsia"/>
              </w:rPr>
              <w:t>基金销售服务费返还收入</w:t>
            </w:r>
          </w:p>
        </w:tc>
        <w:tc>
          <w:tcPr>
            <w:tcW w:w="4153" w:type="dxa"/>
            <w:vAlign w:val="center"/>
          </w:tcPr>
          <w:p w14:paraId="7C43B466">
            <w:pPr>
              <w:jc w:val="right"/>
            </w:pPr>
            <w:r>
              <w:rPr>
                <w:rFonts w:hint="eastAsia"/>
              </w:rPr>
              <w:t>320,696.62</w:t>
            </w:r>
          </w:p>
        </w:tc>
      </w:tr>
      <w:tr w14:paraId="318B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4C21D4">
            <w:r>
              <w:rPr>
                <w:rFonts w:hint="eastAsia"/>
              </w:rPr>
              <w:t>其他</w:t>
            </w:r>
          </w:p>
        </w:tc>
        <w:tc>
          <w:tcPr>
            <w:tcW w:w="4153" w:type="dxa"/>
            <w:vAlign w:val="center"/>
          </w:tcPr>
          <w:p w14:paraId="103C8140">
            <w:pPr>
              <w:jc w:val="right"/>
            </w:pPr>
            <w:r>
              <w:rPr>
                <w:rFonts w:hint="eastAsia"/>
              </w:rPr>
              <w:t>405.91</w:t>
            </w:r>
          </w:p>
        </w:tc>
      </w:tr>
      <w:tr w14:paraId="4177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117FF">
            <w:r>
              <w:rPr>
                <w:rFonts w:hint="eastAsia"/>
              </w:rPr>
              <w:t>合计</w:t>
            </w:r>
          </w:p>
        </w:tc>
        <w:tc>
          <w:tcPr>
            <w:tcW w:w="4153" w:type="dxa"/>
            <w:vAlign w:val="center"/>
          </w:tcPr>
          <w:p w14:paraId="03B9A93C">
            <w:pPr>
              <w:jc w:val="right"/>
            </w:pPr>
            <w:r>
              <w:rPr>
                <w:rFonts w:hint="eastAsia"/>
              </w:rPr>
              <w:t>1,823,517.85</w:t>
            </w:r>
          </w:p>
        </w:tc>
      </w:tr>
    </w:tbl>
    <w:p w14:paraId="2A62BE06">
      <w:pPr>
        <w:pStyle w:val="35"/>
      </w:pPr>
      <w:bookmarkStart w:id="99" w:name="_Toc99"/>
      <w:r>
        <w:t>持有基金产生的费用</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50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76C72E">
            <w:pPr>
              <w:jc w:val="center"/>
            </w:pPr>
            <w:r>
              <w:rPr>
                <w:rFonts w:hint="eastAsia"/>
                <w:b/>
              </w:rPr>
              <w:t>项目</w:t>
            </w:r>
          </w:p>
        </w:tc>
        <w:tc>
          <w:tcPr>
            <w:tcW w:w="4153" w:type="dxa"/>
            <w:shd w:val="clear" w:color="auto" w:fill="BFBFBF"/>
            <w:vAlign w:val="center"/>
          </w:tcPr>
          <w:p w14:paraId="4D62280F">
            <w:pPr>
              <w:jc w:val="center"/>
            </w:pPr>
            <w:r>
              <w:rPr>
                <w:rFonts w:hint="eastAsia"/>
                <w:b/>
              </w:rPr>
              <w:t>本期2025年4月28日（基金合同生效日）至2025年12月31日</w:t>
            </w:r>
          </w:p>
        </w:tc>
      </w:tr>
      <w:tr w14:paraId="7B31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5CA13D">
            <w:r>
              <w:rPr>
                <w:rFonts w:hint="eastAsia"/>
              </w:rPr>
              <w:t>当期持有基金产生的应支付销售服务费（元）</w:t>
            </w:r>
          </w:p>
        </w:tc>
        <w:tc>
          <w:tcPr>
            <w:tcW w:w="4153" w:type="dxa"/>
            <w:vAlign w:val="center"/>
          </w:tcPr>
          <w:p w14:paraId="3531602F">
            <w:pPr>
              <w:jc w:val="right"/>
            </w:pPr>
            <w:r>
              <w:rPr>
                <w:rFonts w:hint="eastAsia"/>
              </w:rPr>
              <w:t>337,943.45</w:t>
            </w:r>
          </w:p>
        </w:tc>
      </w:tr>
      <w:tr w14:paraId="06A4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CF35C">
            <w:r>
              <w:rPr>
                <w:rFonts w:hint="eastAsia"/>
              </w:rPr>
              <w:t>当期持有基金产生的应支付管理费（元）</w:t>
            </w:r>
          </w:p>
        </w:tc>
        <w:tc>
          <w:tcPr>
            <w:tcW w:w="4153" w:type="dxa"/>
            <w:vAlign w:val="center"/>
          </w:tcPr>
          <w:p w14:paraId="6240EBDC">
            <w:pPr>
              <w:jc w:val="right"/>
            </w:pPr>
            <w:r>
              <w:rPr>
                <w:rFonts w:hint="eastAsia"/>
              </w:rPr>
              <w:t>6,267,205.49</w:t>
            </w:r>
          </w:p>
        </w:tc>
      </w:tr>
      <w:tr w14:paraId="5659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1D8078">
            <w:r>
              <w:rPr>
                <w:rFonts w:hint="eastAsia"/>
              </w:rPr>
              <w:t>当期持有基金产生的应支付托管费（元）</w:t>
            </w:r>
          </w:p>
        </w:tc>
        <w:tc>
          <w:tcPr>
            <w:tcW w:w="4153" w:type="dxa"/>
            <w:vAlign w:val="center"/>
          </w:tcPr>
          <w:p w14:paraId="45A7834C">
            <w:pPr>
              <w:jc w:val="right"/>
            </w:pPr>
            <w:r>
              <w:rPr>
                <w:rFonts w:hint="eastAsia"/>
              </w:rPr>
              <w:t>1,603,993.65</w:t>
            </w:r>
          </w:p>
        </w:tc>
      </w:tr>
    </w:tbl>
    <w:p w14:paraId="7D9D7CB9">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0A46D6DE">
      <w:pPr>
        <w:pStyle w:val="35"/>
      </w:pPr>
      <w:bookmarkStart w:id="100" w:name="_Toc100"/>
      <w:r>
        <w:t>其他费用</w:t>
      </w:r>
      <w:bookmarkEnd w:id="100"/>
    </w:p>
    <w:p w14:paraId="7931C9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0A8F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71A861">
            <w:pPr>
              <w:jc w:val="center"/>
            </w:pPr>
            <w:r>
              <w:rPr>
                <w:rFonts w:hint="eastAsia"/>
                <w:b/>
              </w:rPr>
              <w:t>项目</w:t>
            </w:r>
          </w:p>
        </w:tc>
        <w:tc>
          <w:tcPr>
            <w:tcW w:w="5537" w:type="dxa"/>
            <w:shd w:val="clear" w:color="auto" w:fill="BFBFBF"/>
            <w:vAlign w:val="center"/>
          </w:tcPr>
          <w:p w14:paraId="4C649C76">
            <w:pPr>
              <w:jc w:val="center"/>
            </w:pPr>
            <w:r>
              <w:rPr>
                <w:rFonts w:hint="eastAsia"/>
                <w:b/>
              </w:rPr>
              <w:t>本期2025年4月28日（基金合同生效日）至2025年12月31日</w:t>
            </w:r>
          </w:p>
        </w:tc>
      </w:tr>
      <w:tr w14:paraId="5B67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19832">
            <w:r>
              <w:rPr>
                <w:rFonts w:hint="eastAsia"/>
              </w:rPr>
              <w:t>审计费用</w:t>
            </w:r>
          </w:p>
        </w:tc>
        <w:tc>
          <w:tcPr>
            <w:tcW w:w="5537" w:type="dxa"/>
            <w:vAlign w:val="center"/>
          </w:tcPr>
          <w:p w14:paraId="5D7FCFCB">
            <w:pPr>
              <w:jc w:val="right"/>
            </w:pPr>
            <w:r>
              <w:rPr>
                <w:rFonts w:hint="eastAsia"/>
              </w:rPr>
              <w:t>60,000.00</w:t>
            </w:r>
          </w:p>
        </w:tc>
      </w:tr>
      <w:tr w14:paraId="2B6F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2C2B8">
            <w:r>
              <w:rPr>
                <w:rFonts w:hint="eastAsia"/>
              </w:rPr>
              <w:t>信息披露费</w:t>
            </w:r>
          </w:p>
        </w:tc>
        <w:tc>
          <w:tcPr>
            <w:tcW w:w="5537" w:type="dxa"/>
            <w:vAlign w:val="center"/>
          </w:tcPr>
          <w:p w14:paraId="01951D16">
            <w:pPr>
              <w:jc w:val="right"/>
            </w:pPr>
            <w:r>
              <w:rPr>
                <w:rFonts w:hint="eastAsia"/>
              </w:rPr>
              <w:t>-</w:t>
            </w:r>
          </w:p>
        </w:tc>
      </w:tr>
      <w:tr w14:paraId="10DA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6607D">
            <w:r>
              <w:rPr>
                <w:rFonts w:hint="eastAsia"/>
              </w:rPr>
              <w:t>证券出借违约金</w:t>
            </w:r>
          </w:p>
        </w:tc>
        <w:tc>
          <w:tcPr>
            <w:tcW w:w="5537" w:type="dxa"/>
            <w:vAlign w:val="center"/>
          </w:tcPr>
          <w:p w14:paraId="7491E5E9">
            <w:pPr>
              <w:jc w:val="right"/>
            </w:pPr>
            <w:r>
              <w:rPr>
                <w:rFonts w:hint="eastAsia"/>
              </w:rPr>
              <w:t>-</w:t>
            </w:r>
          </w:p>
        </w:tc>
      </w:tr>
      <w:tr w14:paraId="752F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5D341">
            <w:r>
              <w:rPr>
                <w:rFonts w:hint="eastAsia"/>
              </w:rPr>
              <w:t>银行费用</w:t>
            </w:r>
          </w:p>
        </w:tc>
        <w:tc>
          <w:tcPr>
            <w:tcW w:w="5537" w:type="dxa"/>
            <w:vAlign w:val="center"/>
          </w:tcPr>
          <w:p w14:paraId="09A69D2B">
            <w:pPr>
              <w:jc w:val="right"/>
            </w:pPr>
            <w:r>
              <w:rPr>
                <w:rFonts w:hint="eastAsia"/>
              </w:rPr>
              <w:t>37,517.62</w:t>
            </w:r>
          </w:p>
        </w:tc>
      </w:tr>
      <w:tr w14:paraId="3D88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52CD0">
            <w:r>
              <w:rPr>
                <w:rFonts w:hint="eastAsia"/>
              </w:rPr>
              <w:t>其他</w:t>
            </w:r>
          </w:p>
        </w:tc>
        <w:tc>
          <w:tcPr>
            <w:tcW w:w="5537" w:type="dxa"/>
            <w:vAlign w:val="center"/>
          </w:tcPr>
          <w:p w14:paraId="45658A67">
            <w:pPr>
              <w:jc w:val="right"/>
            </w:pPr>
            <w:r>
              <w:rPr>
                <w:rFonts w:hint="eastAsia"/>
              </w:rPr>
              <w:t>400.00</w:t>
            </w:r>
          </w:p>
        </w:tc>
      </w:tr>
      <w:tr w14:paraId="4A16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6DAD4">
            <w:r>
              <w:rPr>
                <w:rFonts w:hint="eastAsia"/>
              </w:rPr>
              <w:t>合计</w:t>
            </w:r>
          </w:p>
        </w:tc>
        <w:tc>
          <w:tcPr>
            <w:tcW w:w="5537" w:type="dxa"/>
            <w:vAlign w:val="center"/>
          </w:tcPr>
          <w:p w14:paraId="3D95F248">
            <w:pPr>
              <w:jc w:val="right"/>
            </w:pPr>
            <w:r>
              <w:rPr>
                <w:rFonts w:hint="eastAsia"/>
              </w:rPr>
              <w:t>97,917.62</w:t>
            </w:r>
          </w:p>
        </w:tc>
      </w:tr>
    </w:tbl>
    <w:p w14:paraId="4CFEDBFB">
      <w:pPr>
        <w:pStyle w:val="28"/>
      </w:pPr>
      <w:bookmarkStart w:id="101" w:name="_Toc101"/>
      <w:r>
        <w:t>或有事项、资产负债表日后事项的说明</w:t>
      </w:r>
      <w:bookmarkEnd w:id="101"/>
    </w:p>
    <w:p w14:paraId="7F02C64C">
      <w:pPr>
        <w:pStyle w:val="35"/>
      </w:pPr>
      <w:bookmarkStart w:id="102" w:name="_Toc102"/>
      <w:r>
        <w:t>或有事项</w:t>
      </w:r>
      <w:bookmarkEnd w:id="102"/>
    </w:p>
    <w:p w14:paraId="28CA34AA">
      <w:pPr>
        <w:pStyle w:val="18"/>
        <w:rPr>
          <w:rFonts w:hint="eastAsia"/>
        </w:rPr>
      </w:pPr>
      <w:r>
        <w:rPr>
          <w:rFonts w:hint="eastAsia"/>
        </w:rPr>
        <w:t>无。</w:t>
      </w:r>
    </w:p>
    <w:p w14:paraId="57F1C4FC">
      <w:pPr>
        <w:pStyle w:val="35"/>
      </w:pPr>
      <w:bookmarkStart w:id="103" w:name="_Toc103"/>
      <w:r>
        <w:t>资产负债表日后事项</w:t>
      </w:r>
      <w:bookmarkEnd w:id="103"/>
    </w:p>
    <w:p w14:paraId="79B6EA7D">
      <w:pPr>
        <w:pStyle w:val="18"/>
        <w:rPr>
          <w:rFonts w:hint="eastAsia"/>
        </w:rPr>
      </w:pPr>
      <w:r>
        <w:rPr>
          <w:rFonts w:hint="eastAsia"/>
        </w:rPr>
        <w:t>截至财务报告批准报出日，本基金无需要披露的资产负债表日后事项。</w:t>
      </w:r>
    </w:p>
    <w:p w14:paraId="5A204F7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CB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16F2EE7">
            <w:pPr>
              <w:jc w:val="center"/>
            </w:pPr>
            <w:r>
              <w:rPr>
                <w:rFonts w:hint="eastAsia"/>
                <w:b/>
              </w:rPr>
              <w:t>关联方名称</w:t>
            </w:r>
          </w:p>
        </w:tc>
        <w:tc>
          <w:tcPr>
            <w:tcW w:w="3322" w:type="dxa"/>
            <w:shd w:val="clear" w:color="auto" w:fill="BFBFBF"/>
            <w:vAlign w:val="center"/>
          </w:tcPr>
          <w:p w14:paraId="11C75943">
            <w:pPr>
              <w:jc w:val="center"/>
            </w:pPr>
            <w:r>
              <w:rPr>
                <w:rFonts w:hint="eastAsia"/>
                <w:b/>
              </w:rPr>
              <w:t>与本基金的关系</w:t>
            </w:r>
          </w:p>
        </w:tc>
      </w:tr>
      <w:tr w14:paraId="4A83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22503">
            <w:r>
              <w:rPr>
                <w:rFonts w:hint="eastAsia"/>
              </w:rPr>
              <w:t>南方基金管理股份有限公司(“南方基金”)</w:t>
            </w:r>
          </w:p>
        </w:tc>
        <w:tc>
          <w:tcPr>
            <w:tcW w:w="3322" w:type="dxa"/>
            <w:vAlign w:val="center"/>
          </w:tcPr>
          <w:p w14:paraId="1560548B">
            <w:r>
              <w:rPr>
                <w:rFonts w:hint="eastAsia"/>
              </w:rPr>
              <w:t>基金管理人、注册登记机构、基金销售机构</w:t>
            </w:r>
          </w:p>
        </w:tc>
      </w:tr>
      <w:tr w14:paraId="5221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84B333">
            <w:r>
              <w:rPr>
                <w:rFonts w:hint="eastAsia"/>
              </w:rPr>
              <w:t>招商银行股份有限公司(“招商银行”)</w:t>
            </w:r>
          </w:p>
        </w:tc>
        <w:tc>
          <w:tcPr>
            <w:tcW w:w="3322" w:type="dxa"/>
            <w:vAlign w:val="center"/>
          </w:tcPr>
          <w:p w14:paraId="5798CCA4">
            <w:r>
              <w:rPr>
                <w:rFonts w:hint="eastAsia"/>
              </w:rPr>
              <w:t>基金托管人、基金销售机构</w:t>
            </w:r>
          </w:p>
        </w:tc>
      </w:tr>
      <w:tr w14:paraId="5A84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B23B1D">
            <w:r>
              <w:rPr>
                <w:rFonts w:hint="eastAsia"/>
              </w:rPr>
              <w:t>华泰证券股份有限公司(“华泰证券”)</w:t>
            </w:r>
          </w:p>
        </w:tc>
        <w:tc>
          <w:tcPr>
            <w:tcW w:w="3322" w:type="dxa"/>
            <w:vAlign w:val="center"/>
          </w:tcPr>
          <w:p w14:paraId="7F4C3D0E">
            <w:r>
              <w:rPr>
                <w:rFonts w:hint="eastAsia"/>
              </w:rPr>
              <w:t>基金管理人的股东、基金销售机构</w:t>
            </w:r>
          </w:p>
        </w:tc>
      </w:tr>
      <w:tr w14:paraId="1656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82828F">
            <w:r>
              <w:rPr>
                <w:rFonts w:hint="eastAsia"/>
              </w:rPr>
              <w:t>兴业证券股份有限公司(“兴业证券”)</w:t>
            </w:r>
          </w:p>
        </w:tc>
        <w:tc>
          <w:tcPr>
            <w:tcW w:w="3322" w:type="dxa"/>
            <w:vAlign w:val="center"/>
          </w:tcPr>
          <w:p w14:paraId="13662A06">
            <w:r>
              <w:rPr>
                <w:rFonts w:hint="eastAsia"/>
              </w:rPr>
              <w:t>基金管理人的股东</w:t>
            </w:r>
          </w:p>
        </w:tc>
      </w:tr>
      <w:tr w14:paraId="1994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187A62">
            <w:r>
              <w:rPr>
                <w:rFonts w:hint="eastAsia"/>
              </w:rPr>
              <w:t>厦门国际信托有限公司(“厦门国际信托”)</w:t>
            </w:r>
          </w:p>
        </w:tc>
        <w:tc>
          <w:tcPr>
            <w:tcW w:w="3322" w:type="dxa"/>
            <w:vAlign w:val="center"/>
          </w:tcPr>
          <w:p w14:paraId="30E212F2">
            <w:r>
              <w:rPr>
                <w:rFonts w:hint="eastAsia"/>
              </w:rPr>
              <w:t>基金管理人的股东</w:t>
            </w:r>
          </w:p>
        </w:tc>
      </w:tr>
      <w:tr w14:paraId="02AA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73FFC1">
            <w:r>
              <w:rPr>
                <w:rFonts w:hint="eastAsia"/>
              </w:rPr>
              <w:t>深圳市投资控股有限公司(“深圳投资控股”)</w:t>
            </w:r>
          </w:p>
        </w:tc>
        <w:tc>
          <w:tcPr>
            <w:tcW w:w="3322" w:type="dxa"/>
            <w:vAlign w:val="center"/>
          </w:tcPr>
          <w:p w14:paraId="6AD0ACAD">
            <w:r>
              <w:rPr>
                <w:rFonts w:hint="eastAsia"/>
              </w:rPr>
              <w:t>基金管理人的股东</w:t>
            </w:r>
          </w:p>
        </w:tc>
      </w:tr>
      <w:tr w14:paraId="3AE5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347879">
            <w:r>
              <w:rPr>
                <w:rFonts w:hint="eastAsia"/>
              </w:rPr>
              <w:t>厦门合泽吉企业管理合伙企业(有限合伙)</w:t>
            </w:r>
          </w:p>
        </w:tc>
        <w:tc>
          <w:tcPr>
            <w:tcW w:w="3322" w:type="dxa"/>
            <w:vAlign w:val="center"/>
          </w:tcPr>
          <w:p w14:paraId="1044FA88">
            <w:r>
              <w:rPr>
                <w:rFonts w:hint="eastAsia"/>
              </w:rPr>
              <w:t>基金管理人的股东</w:t>
            </w:r>
          </w:p>
        </w:tc>
      </w:tr>
      <w:tr w14:paraId="7ECE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9F9A0">
            <w:r>
              <w:rPr>
                <w:rFonts w:hint="eastAsia"/>
              </w:rPr>
              <w:t>厦门合泽祥企业管理合伙企业(有限合伙)</w:t>
            </w:r>
          </w:p>
        </w:tc>
        <w:tc>
          <w:tcPr>
            <w:tcW w:w="3322" w:type="dxa"/>
            <w:vAlign w:val="center"/>
          </w:tcPr>
          <w:p w14:paraId="78C78588">
            <w:r>
              <w:rPr>
                <w:rFonts w:hint="eastAsia"/>
              </w:rPr>
              <w:t>基金管理人的股东</w:t>
            </w:r>
          </w:p>
        </w:tc>
      </w:tr>
      <w:tr w14:paraId="7E24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1B7107">
            <w:r>
              <w:rPr>
                <w:rFonts w:hint="eastAsia"/>
              </w:rPr>
              <w:t>厦门合泽益企业管理合伙企业(有限合伙)</w:t>
            </w:r>
          </w:p>
        </w:tc>
        <w:tc>
          <w:tcPr>
            <w:tcW w:w="3322" w:type="dxa"/>
            <w:vAlign w:val="center"/>
          </w:tcPr>
          <w:p w14:paraId="6267EFF2">
            <w:r>
              <w:rPr>
                <w:rFonts w:hint="eastAsia"/>
              </w:rPr>
              <w:t>基金管理人的股东</w:t>
            </w:r>
          </w:p>
        </w:tc>
      </w:tr>
      <w:tr w14:paraId="6536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4F7A8B">
            <w:r>
              <w:rPr>
                <w:rFonts w:hint="eastAsia"/>
              </w:rPr>
              <w:t>厦门合泽盈企业管理合伙企业(有限合伙)</w:t>
            </w:r>
          </w:p>
        </w:tc>
        <w:tc>
          <w:tcPr>
            <w:tcW w:w="3322" w:type="dxa"/>
            <w:vAlign w:val="center"/>
          </w:tcPr>
          <w:p w14:paraId="087204DC">
            <w:r>
              <w:rPr>
                <w:rFonts w:hint="eastAsia"/>
              </w:rPr>
              <w:t>基金管理人的股东</w:t>
            </w:r>
          </w:p>
        </w:tc>
      </w:tr>
      <w:tr w14:paraId="34E0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CDB6E9">
            <w:r>
              <w:rPr>
                <w:rFonts w:hint="eastAsia"/>
              </w:rPr>
              <w:t>南方资本管理有限公司(“南方资本”)</w:t>
            </w:r>
          </w:p>
        </w:tc>
        <w:tc>
          <w:tcPr>
            <w:tcW w:w="3322" w:type="dxa"/>
            <w:vAlign w:val="center"/>
          </w:tcPr>
          <w:p w14:paraId="5A8CDA74">
            <w:r>
              <w:rPr>
                <w:rFonts w:hint="eastAsia"/>
              </w:rPr>
              <w:t>基金管理人的子公司</w:t>
            </w:r>
          </w:p>
        </w:tc>
      </w:tr>
      <w:tr w14:paraId="0722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5D3C59">
            <w:r>
              <w:rPr>
                <w:rFonts w:hint="eastAsia"/>
              </w:rPr>
              <w:t>南方东英资产管理有限公司(“南方东英”)</w:t>
            </w:r>
          </w:p>
        </w:tc>
        <w:tc>
          <w:tcPr>
            <w:tcW w:w="3322" w:type="dxa"/>
            <w:vAlign w:val="center"/>
          </w:tcPr>
          <w:p w14:paraId="4F233E51">
            <w:r>
              <w:rPr>
                <w:rFonts w:hint="eastAsia"/>
              </w:rPr>
              <w:t>基金管理人的子公司</w:t>
            </w:r>
          </w:p>
        </w:tc>
      </w:tr>
    </w:tbl>
    <w:p w14:paraId="4A8DB488">
      <w:pPr>
        <w:pStyle w:val="47"/>
        <w:rPr>
          <w:rFonts w:hint="eastAsia"/>
        </w:rPr>
      </w:pPr>
      <w:r>
        <w:rPr>
          <w:rFonts w:hint="eastAsia"/>
        </w:rPr>
        <w:t>注：下述关联交易均在正常业务范围内按一般商业条款订立。</w:t>
      </w:r>
    </w:p>
    <w:p w14:paraId="5A43DC9D">
      <w:pPr>
        <w:pStyle w:val="28"/>
      </w:pPr>
      <w:bookmarkStart w:id="105" w:name="_Toc105"/>
      <w:r>
        <w:t>本报告期及上年度可比期间的关联方交易</w:t>
      </w:r>
      <w:bookmarkEnd w:id="105"/>
    </w:p>
    <w:p w14:paraId="31AE297A">
      <w:pPr>
        <w:pStyle w:val="35"/>
      </w:pPr>
      <w:bookmarkStart w:id="106" w:name="_Toc106"/>
      <w:r>
        <w:t>通过关联方交易单元进行的交易</w:t>
      </w:r>
      <w:bookmarkEnd w:id="106"/>
    </w:p>
    <w:p w14:paraId="77C4EE12">
      <w:pPr>
        <w:pStyle w:val="36"/>
      </w:pPr>
      <w:bookmarkStart w:id="107" w:name="_Toc107"/>
      <w:r>
        <w:t>股票交易</w:t>
      </w:r>
      <w:bookmarkEnd w:id="107"/>
    </w:p>
    <w:p w14:paraId="48DA0A68">
      <w:pPr>
        <w:pStyle w:val="18"/>
        <w:rPr>
          <w:rFonts w:hint="eastAsia"/>
        </w:rPr>
      </w:pPr>
      <w:r>
        <w:rPr>
          <w:rFonts w:hint="eastAsia"/>
        </w:rPr>
        <w:t>无。</w:t>
      </w:r>
    </w:p>
    <w:p w14:paraId="682BCFAF">
      <w:pPr>
        <w:pStyle w:val="36"/>
      </w:pPr>
      <w:bookmarkStart w:id="108" w:name="_Toc108"/>
      <w:r>
        <w:t>债券交易</w:t>
      </w:r>
      <w:bookmarkEnd w:id="108"/>
    </w:p>
    <w:p w14:paraId="4FAB9F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2082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297D82C">
            <w:pPr>
              <w:jc w:val="center"/>
            </w:pPr>
            <w:r>
              <w:rPr>
                <w:rFonts w:hint="eastAsia"/>
                <w:b/>
              </w:rPr>
              <w:t>关联方名称</w:t>
            </w:r>
          </w:p>
        </w:tc>
        <w:tc>
          <w:tcPr>
            <w:tcW w:w="3322" w:type="dxa"/>
            <w:gridSpan w:val="2"/>
            <w:shd w:val="clear" w:color="auto" w:fill="BFBFBF"/>
            <w:vAlign w:val="center"/>
          </w:tcPr>
          <w:p w14:paraId="48A41A98">
            <w:pPr>
              <w:jc w:val="center"/>
            </w:pPr>
            <w:r>
              <w:rPr>
                <w:rFonts w:hint="eastAsia"/>
                <w:b/>
              </w:rPr>
              <w:t>本期2025年4月28日（基金合同生效日）至2025年12月31日</w:t>
            </w:r>
          </w:p>
        </w:tc>
      </w:tr>
      <w:tr w14:paraId="2AAA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8E2393"/>
        </w:tc>
        <w:tc>
          <w:tcPr>
            <w:tcW w:w="3322" w:type="dxa"/>
            <w:shd w:val="clear" w:color="auto" w:fill="BFBFBF"/>
            <w:vAlign w:val="center"/>
          </w:tcPr>
          <w:p w14:paraId="3C0CDA81">
            <w:pPr>
              <w:jc w:val="center"/>
            </w:pPr>
            <w:r>
              <w:rPr>
                <w:rFonts w:hint="eastAsia"/>
                <w:b/>
              </w:rPr>
              <w:t>成交金额</w:t>
            </w:r>
          </w:p>
        </w:tc>
        <w:tc>
          <w:tcPr>
            <w:tcW w:w="3322" w:type="dxa"/>
            <w:shd w:val="clear" w:color="auto" w:fill="BFBFBF"/>
            <w:vAlign w:val="center"/>
          </w:tcPr>
          <w:p w14:paraId="69A5734B">
            <w:pPr>
              <w:jc w:val="center"/>
            </w:pPr>
            <w:r>
              <w:rPr>
                <w:rFonts w:hint="eastAsia"/>
                <w:b/>
              </w:rPr>
              <w:t>占当期债券成交总额的比例</w:t>
            </w:r>
          </w:p>
        </w:tc>
      </w:tr>
      <w:tr w14:paraId="213E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7B4A0B">
            <w:r>
              <w:rPr>
                <w:rFonts w:hint="eastAsia"/>
              </w:rPr>
              <w:t>华泰证券</w:t>
            </w:r>
          </w:p>
        </w:tc>
        <w:tc>
          <w:tcPr>
            <w:tcW w:w="3322" w:type="dxa"/>
            <w:vAlign w:val="center"/>
          </w:tcPr>
          <w:p w14:paraId="54346847">
            <w:pPr>
              <w:jc w:val="right"/>
            </w:pPr>
            <w:r>
              <w:rPr>
                <w:rFonts w:hint="eastAsia"/>
              </w:rPr>
              <w:t>274,489,985.00</w:t>
            </w:r>
          </w:p>
        </w:tc>
        <w:tc>
          <w:tcPr>
            <w:tcW w:w="3322" w:type="dxa"/>
            <w:vAlign w:val="center"/>
          </w:tcPr>
          <w:p w14:paraId="05EA89AE">
            <w:pPr>
              <w:jc w:val="right"/>
            </w:pPr>
            <w:r>
              <w:rPr>
                <w:rFonts w:hint="eastAsia"/>
              </w:rPr>
              <w:t>100.00%</w:t>
            </w:r>
          </w:p>
        </w:tc>
      </w:tr>
    </w:tbl>
    <w:p w14:paraId="06FD8AD6">
      <w:pPr>
        <w:pStyle w:val="36"/>
      </w:pPr>
      <w:bookmarkStart w:id="109" w:name="_Toc109"/>
      <w:r>
        <w:t>债券回购交易</w:t>
      </w:r>
      <w:bookmarkEnd w:id="109"/>
    </w:p>
    <w:p w14:paraId="6D02C6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84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4690833">
            <w:pPr>
              <w:jc w:val="center"/>
            </w:pPr>
            <w:r>
              <w:rPr>
                <w:rFonts w:hint="eastAsia"/>
                <w:b/>
              </w:rPr>
              <w:t>关联方名称</w:t>
            </w:r>
          </w:p>
        </w:tc>
        <w:tc>
          <w:tcPr>
            <w:tcW w:w="2768" w:type="dxa"/>
            <w:gridSpan w:val="2"/>
            <w:shd w:val="clear" w:color="auto" w:fill="BFBFBF"/>
            <w:vAlign w:val="center"/>
          </w:tcPr>
          <w:p w14:paraId="52DD7FC8">
            <w:pPr>
              <w:jc w:val="center"/>
            </w:pPr>
            <w:r>
              <w:rPr>
                <w:rFonts w:hint="eastAsia"/>
                <w:b/>
              </w:rPr>
              <w:t>本期2025年4月28日（基金合同生效日）至2025年12月31日</w:t>
            </w:r>
          </w:p>
        </w:tc>
      </w:tr>
      <w:tr w14:paraId="47B1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1770C1"/>
        </w:tc>
        <w:tc>
          <w:tcPr>
            <w:tcW w:w="2768" w:type="dxa"/>
            <w:shd w:val="clear" w:color="auto" w:fill="BFBFBF"/>
            <w:vAlign w:val="center"/>
          </w:tcPr>
          <w:p w14:paraId="32FB5B53">
            <w:pPr>
              <w:jc w:val="center"/>
            </w:pPr>
            <w:r>
              <w:rPr>
                <w:rFonts w:hint="eastAsia"/>
                <w:b/>
              </w:rPr>
              <w:t>成交金额</w:t>
            </w:r>
          </w:p>
        </w:tc>
        <w:tc>
          <w:tcPr>
            <w:tcW w:w="2768" w:type="dxa"/>
            <w:shd w:val="clear" w:color="auto" w:fill="BFBFBF"/>
            <w:vAlign w:val="center"/>
          </w:tcPr>
          <w:p w14:paraId="58731075">
            <w:pPr>
              <w:jc w:val="center"/>
            </w:pPr>
            <w:r>
              <w:rPr>
                <w:rFonts w:hint="eastAsia"/>
                <w:b/>
              </w:rPr>
              <w:t>占当期债券回购成交总额的比例</w:t>
            </w:r>
          </w:p>
        </w:tc>
      </w:tr>
      <w:tr w14:paraId="31C2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EE2C1">
            <w:r>
              <w:rPr>
                <w:rFonts w:hint="eastAsia"/>
              </w:rPr>
              <w:t>华泰证券</w:t>
            </w:r>
          </w:p>
        </w:tc>
        <w:tc>
          <w:tcPr>
            <w:tcW w:w="2768" w:type="dxa"/>
            <w:vAlign w:val="center"/>
          </w:tcPr>
          <w:p w14:paraId="648478DA">
            <w:pPr>
              <w:jc w:val="right"/>
            </w:pPr>
            <w:r>
              <w:rPr>
                <w:rFonts w:hint="eastAsia"/>
              </w:rPr>
              <w:t>16,680,000,000.00</w:t>
            </w:r>
          </w:p>
        </w:tc>
        <w:tc>
          <w:tcPr>
            <w:tcW w:w="2768" w:type="dxa"/>
            <w:vAlign w:val="center"/>
          </w:tcPr>
          <w:p w14:paraId="763DE470">
            <w:pPr>
              <w:jc w:val="right"/>
            </w:pPr>
            <w:r>
              <w:rPr>
                <w:rFonts w:hint="eastAsia"/>
              </w:rPr>
              <w:t>100.00%</w:t>
            </w:r>
          </w:p>
        </w:tc>
      </w:tr>
    </w:tbl>
    <w:p w14:paraId="27FF68BF">
      <w:pPr>
        <w:pStyle w:val="36"/>
      </w:pPr>
      <w:bookmarkStart w:id="110" w:name="_Toc110"/>
      <w:r>
        <w:t>基金交易</w:t>
      </w:r>
      <w:bookmarkEnd w:id="110"/>
    </w:p>
    <w:p w14:paraId="737CEF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3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FE62D93">
            <w:pPr>
              <w:jc w:val="center"/>
            </w:pPr>
            <w:r>
              <w:rPr>
                <w:rFonts w:hint="eastAsia"/>
                <w:b/>
              </w:rPr>
              <w:t>关联方名称</w:t>
            </w:r>
          </w:p>
        </w:tc>
        <w:tc>
          <w:tcPr>
            <w:tcW w:w="2768" w:type="dxa"/>
            <w:gridSpan w:val="2"/>
            <w:shd w:val="clear" w:color="auto" w:fill="BFBFBF"/>
            <w:vAlign w:val="center"/>
          </w:tcPr>
          <w:p w14:paraId="67B38E25">
            <w:pPr>
              <w:jc w:val="center"/>
            </w:pPr>
            <w:r>
              <w:rPr>
                <w:rFonts w:hint="eastAsia"/>
                <w:b/>
              </w:rPr>
              <w:t>本期2025年4月28日（基金合同生效日）至2025年12月31日</w:t>
            </w:r>
          </w:p>
        </w:tc>
      </w:tr>
      <w:tr w14:paraId="4542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DAFB6F"/>
        </w:tc>
        <w:tc>
          <w:tcPr>
            <w:tcW w:w="2768" w:type="dxa"/>
            <w:shd w:val="clear" w:color="auto" w:fill="BFBFBF"/>
            <w:vAlign w:val="center"/>
          </w:tcPr>
          <w:p w14:paraId="580F305B">
            <w:pPr>
              <w:jc w:val="center"/>
            </w:pPr>
            <w:r>
              <w:rPr>
                <w:rFonts w:hint="eastAsia"/>
                <w:b/>
              </w:rPr>
              <w:t>成交金额</w:t>
            </w:r>
          </w:p>
        </w:tc>
        <w:tc>
          <w:tcPr>
            <w:tcW w:w="2768" w:type="dxa"/>
            <w:shd w:val="clear" w:color="auto" w:fill="BFBFBF"/>
            <w:vAlign w:val="center"/>
          </w:tcPr>
          <w:p w14:paraId="5B0DCC19">
            <w:pPr>
              <w:jc w:val="center"/>
              <w:rPr>
                <w:rFonts w:hint="eastAsia"/>
                <w:b/>
              </w:rPr>
            </w:pPr>
            <w:r>
              <w:rPr>
                <w:rFonts w:hint="eastAsia"/>
                <w:b/>
              </w:rPr>
              <w:t>占当期基金
</w:t>
            </w:r>
            <w:r>
              <w:rPr>
                <w:rFonts w:hint="eastAsia"/>
                <w:b/>
              </w:rPr>
              <w:br w:type="textWrapping"/>
            </w:r>
            <w:r>
              <w:rPr>
                <w:rFonts w:hint="eastAsia"/>
                <w:b/>
              </w:rPr>
              <w:t>成交总额的比例</w:t>
            </w:r>
          </w:p>
        </w:tc>
      </w:tr>
      <w:tr w14:paraId="5993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89CFC">
            <w:r>
              <w:rPr>
                <w:rFonts w:hint="eastAsia"/>
              </w:rPr>
              <w:t>华泰证券</w:t>
            </w:r>
          </w:p>
        </w:tc>
        <w:tc>
          <w:tcPr>
            <w:tcW w:w="2768" w:type="dxa"/>
            <w:vAlign w:val="center"/>
          </w:tcPr>
          <w:p w14:paraId="0F8ADBDD">
            <w:pPr>
              <w:jc w:val="right"/>
            </w:pPr>
            <w:r>
              <w:rPr>
                <w:rFonts w:hint="eastAsia"/>
              </w:rPr>
              <w:t>3,875,377,049.38</w:t>
            </w:r>
          </w:p>
        </w:tc>
        <w:tc>
          <w:tcPr>
            <w:tcW w:w="2768" w:type="dxa"/>
            <w:vAlign w:val="center"/>
          </w:tcPr>
          <w:p w14:paraId="11736EFB">
            <w:pPr>
              <w:jc w:val="right"/>
            </w:pPr>
            <w:r>
              <w:rPr>
                <w:rFonts w:hint="eastAsia"/>
              </w:rPr>
              <w:t>100.00%</w:t>
            </w:r>
          </w:p>
        </w:tc>
      </w:tr>
    </w:tbl>
    <w:p w14:paraId="4F23B436">
      <w:pPr>
        <w:pStyle w:val="36"/>
      </w:pPr>
      <w:bookmarkStart w:id="111" w:name="_Toc111"/>
      <w:r>
        <w:t>权证交易</w:t>
      </w:r>
      <w:bookmarkEnd w:id="111"/>
    </w:p>
    <w:p w14:paraId="10408062">
      <w:pPr>
        <w:pStyle w:val="18"/>
        <w:rPr>
          <w:rFonts w:hint="eastAsia"/>
        </w:rPr>
      </w:pPr>
      <w:r>
        <w:rPr>
          <w:rFonts w:hint="eastAsia"/>
        </w:rPr>
        <w:t>无。</w:t>
      </w:r>
    </w:p>
    <w:p w14:paraId="7B4C6CF3">
      <w:pPr>
        <w:pStyle w:val="36"/>
      </w:pPr>
      <w:bookmarkStart w:id="112" w:name="_Toc112"/>
      <w:r>
        <w:t>应支付关联方的佣金</w:t>
      </w:r>
      <w:bookmarkEnd w:id="112"/>
    </w:p>
    <w:p w14:paraId="2C091F8C">
      <w:pPr>
        <w:pStyle w:val="18"/>
        <w:rPr>
          <w:rFonts w:hint="eastAsia"/>
        </w:rPr>
      </w:pPr>
      <w:r>
        <w:rPr>
          <w:rFonts w:hint="eastAsia"/>
        </w:rPr>
        <w:t>无。</w:t>
      </w:r>
    </w:p>
    <w:p w14:paraId="21ACE913">
      <w:pPr>
        <w:pStyle w:val="35"/>
      </w:pPr>
      <w:bookmarkStart w:id="113" w:name="_Toc113"/>
      <w:r>
        <w:t>关联方报酬</w:t>
      </w:r>
      <w:bookmarkEnd w:id="113"/>
    </w:p>
    <w:p w14:paraId="6D0A99DD">
      <w:pPr>
        <w:pStyle w:val="36"/>
      </w:pPr>
      <w:bookmarkStart w:id="114" w:name="_Toc114"/>
      <w:r>
        <w:t>基金管理费</w:t>
      </w:r>
      <w:bookmarkEnd w:id="114"/>
    </w:p>
    <w:p w14:paraId="6DE8F4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78A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5FE0E409">
            <w:pPr>
              <w:jc w:val="center"/>
            </w:pPr>
            <w:r>
              <w:rPr>
                <w:rFonts w:hint="eastAsia"/>
                <w:b/>
              </w:rPr>
              <w:t>项目</w:t>
            </w:r>
          </w:p>
        </w:tc>
        <w:tc>
          <w:tcPr>
            <w:tcW w:w="3599" w:type="dxa"/>
            <w:shd w:val="clear" w:color="auto" w:fill="BFBFBF"/>
            <w:vAlign w:val="center"/>
          </w:tcPr>
          <w:p w14:paraId="732EE125">
            <w:pPr>
              <w:jc w:val="center"/>
            </w:pPr>
            <w:r>
              <w:rPr>
                <w:rFonts w:hint="eastAsia"/>
                <w:b/>
              </w:rPr>
              <w:t>本期2025年4月28日（基金合同生效日）至2025年12月31日</w:t>
            </w:r>
          </w:p>
        </w:tc>
      </w:tr>
      <w:tr w14:paraId="09D0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C117C82">
            <w:r>
              <w:rPr>
                <w:rFonts w:hint="eastAsia"/>
              </w:rPr>
              <w:t>当期发生的基金应支付的管理费</w:t>
            </w:r>
          </w:p>
        </w:tc>
        <w:tc>
          <w:tcPr>
            <w:tcW w:w="3599" w:type="dxa"/>
            <w:vAlign w:val="center"/>
          </w:tcPr>
          <w:p w14:paraId="735C78DE">
            <w:pPr>
              <w:jc w:val="right"/>
            </w:pPr>
            <w:r>
              <w:rPr>
                <w:rFonts w:hint="eastAsia"/>
              </w:rPr>
              <w:t>5,284,899.22</w:t>
            </w:r>
          </w:p>
        </w:tc>
      </w:tr>
      <w:tr w14:paraId="754D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B3A8524">
            <w:r>
              <w:rPr>
                <w:rFonts w:hint="eastAsia"/>
              </w:rPr>
              <w:t>其中：应支付销售机构的客户维护费</w:t>
            </w:r>
          </w:p>
        </w:tc>
        <w:tc>
          <w:tcPr>
            <w:tcW w:w="3599" w:type="dxa"/>
            <w:vAlign w:val="center"/>
          </w:tcPr>
          <w:p w14:paraId="77AEE892">
            <w:pPr>
              <w:jc w:val="right"/>
            </w:pPr>
            <w:r>
              <w:rPr>
                <w:rFonts w:hint="eastAsia"/>
              </w:rPr>
              <w:t>3,527,532.33</w:t>
            </w:r>
          </w:p>
        </w:tc>
      </w:tr>
      <w:tr w14:paraId="5970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74D7C1C">
            <w:r>
              <w:rPr>
                <w:rFonts w:hint="eastAsia"/>
              </w:rPr>
              <w:t xml:space="preserve">      应支付基金管理人的净管理费</w:t>
            </w:r>
          </w:p>
        </w:tc>
        <w:tc>
          <w:tcPr>
            <w:tcW w:w="3599" w:type="dxa"/>
            <w:vAlign w:val="center"/>
          </w:tcPr>
          <w:p w14:paraId="53E150A0">
            <w:pPr>
              <w:jc w:val="right"/>
            </w:pPr>
            <w:r>
              <w:rPr>
                <w:rFonts w:hint="eastAsia"/>
              </w:rPr>
              <w:t>1,757,366.89</w:t>
            </w:r>
          </w:p>
        </w:tc>
      </w:tr>
    </w:tbl>
    <w:p w14:paraId="249D80AE">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支付基金管理人南方基金的管理人报酬按前一日基金资产净值扣除本基金持有的基金管理人管理的其他基金部分后的余额的0.40%的年费率计提，逐日累计至每月月底，按月支付。其计算公式为：日管理人报酬＝前一日基金资产净值扣除本基金持有的基金管理人管理的其他基金部分后的余额×0.40%÷当年天数。</w:t>
      </w:r>
    </w:p>
    <w:p w14:paraId="2E781365">
      <w:pPr>
        <w:pStyle w:val="36"/>
      </w:pPr>
      <w:bookmarkStart w:id="115" w:name="_Toc115"/>
      <w:r>
        <w:t>基金托管费</w:t>
      </w:r>
      <w:bookmarkEnd w:id="115"/>
    </w:p>
    <w:p w14:paraId="276AFB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247D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D4D336C">
            <w:pPr>
              <w:jc w:val="center"/>
            </w:pPr>
            <w:r>
              <w:rPr>
                <w:rFonts w:hint="eastAsia"/>
                <w:b/>
              </w:rPr>
              <w:t>项目</w:t>
            </w:r>
          </w:p>
        </w:tc>
        <w:tc>
          <w:tcPr>
            <w:tcW w:w="3599" w:type="dxa"/>
            <w:shd w:val="clear" w:color="auto" w:fill="BFBFBF"/>
            <w:vAlign w:val="center"/>
          </w:tcPr>
          <w:p w14:paraId="49135BA6">
            <w:pPr>
              <w:jc w:val="center"/>
            </w:pPr>
            <w:r>
              <w:rPr>
                <w:rFonts w:hint="eastAsia"/>
                <w:b/>
              </w:rPr>
              <w:t>本期2025年4月28日（基金合同生效日）至2025年12月31日</w:t>
            </w:r>
          </w:p>
        </w:tc>
      </w:tr>
      <w:tr w14:paraId="022F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4D3E598">
            <w:r>
              <w:rPr>
                <w:rFonts w:hint="eastAsia"/>
              </w:rPr>
              <w:t>当期发生的基金应支付的托管费</w:t>
            </w:r>
          </w:p>
        </w:tc>
        <w:tc>
          <w:tcPr>
            <w:tcW w:w="3599" w:type="dxa"/>
            <w:vAlign w:val="center"/>
          </w:tcPr>
          <w:p w14:paraId="4DA7A6CC">
            <w:pPr>
              <w:jc w:val="right"/>
            </w:pPr>
            <w:r>
              <w:rPr>
                <w:rFonts w:hint="eastAsia"/>
              </w:rPr>
              <w:t>1,829,736.89</w:t>
            </w:r>
          </w:p>
        </w:tc>
      </w:tr>
    </w:tbl>
    <w:p w14:paraId="1C319907">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0.10%的年费率计提，逐日累计至每月月底，按月支付。其计算公式为：日托管费＝前一日基金资产净值扣除本基金持有的基金托管人托管的其他基金部分后的余额×0.10%÷当年天数。</w:t>
      </w:r>
    </w:p>
    <w:p w14:paraId="08EFC5AC">
      <w:pPr>
        <w:pStyle w:val="36"/>
      </w:pPr>
      <w:bookmarkStart w:id="116" w:name="_Toc116"/>
      <w:r>
        <w:t>销售服务费</w:t>
      </w:r>
      <w:bookmarkEnd w:id="116"/>
    </w:p>
    <w:p w14:paraId="1DF66D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398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64ADA12">
            <w:r>
              <w:rPr>
                <w:rFonts w:hint="eastAsia"/>
              </w:rPr>
              <w:t>获得销售服务费的各关联方名称</w:t>
            </w:r>
          </w:p>
        </w:tc>
        <w:tc>
          <w:tcPr>
            <w:tcW w:w="2214" w:type="dxa"/>
            <w:gridSpan w:val="3"/>
            <w:vAlign w:val="center"/>
          </w:tcPr>
          <w:p w14:paraId="47E6E61E">
            <w:r>
              <w:rPr>
                <w:rFonts w:hint="eastAsia"/>
              </w:rPr>
              <w:t>本期2025年4月28日(基金合同生效日)至2025年12月31日</w:t>
            </w:r>
          </w:p>
        </w:tc>
      </w:tr>
      <w:tr w14:paraId="7030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4120012"/>
        </w:tc>
        <w:tc>
          <w:tcPr>
            <w:tcW w:w="2214" w:type="dxa"/>
            <w:gridSpan w:val="3"/>
            <w:vAlign w:val="center"/>
          </w:tcPr>
          <w:p w14:paraId="1E8ADC40">
            <w:r>
              <w:rPr>
                <w:rFonts w:hint="eastAsia"/>
              </w:rPr>
              <w:t>当期发生的基金应支付的销售服务费</w:t>
            </w:r>
          </w:p>
        </w:tc>
      </w:tr>
      <w:tr w14:paraId="64B8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297E28"/>
        </w:tc>
        <w:tc>
          <w:tcPr>
            <w:tcW w:w="2214" w:type="dxa"/>
            <w:vAlign w:val="center"/>
          </w:tcPr>
          <w:p w14:paraId="723CA45D">
            <w:r>
              <w:rPr>
                <w:rFonts w:hint="eastAsia"/>
              </w:rPr>
              <w:t>南方稳见3个月持有混合（FOF）A</w:t>
            </w:r>
          </w:p>
        </w:tc>
        <w:tc>
          <w:tcPr>
            <w:tcW w:w="2214" w:type="dxa"/>
            <w:vAlign w:val="center"/>
          </w:tcPr>
          <w:p w14:paraId="17C608B3">
            <w:r>
              <w:rPr>
                <w:rFonts w:hint="eastAsia"/>
              </w:rPr>
              <w:t>南方稳见3个月持有混合（FOF）C</w:t>
            </w:r>
          </w:p>
        </w:tc>
        <w:tc>
          <w:tcPr>
            <w:tcW w:w="1938" w:type="dxa"/>
            <w:vAlign w:val="center"/>
          </w:tcPr>
          <w:p w14:paraId="2A81D7AF">
            <w:r>
              <w:rPr>
                <w:rFonts w:hint="eastAsia"/>
              </w:rPr>
              <w:t>合计</w:t>
            </w:r>
          </w:p>
        </w:tc>
      </w:tr>
      <w:tr w14:paraId="04B7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888EBC">
            <w:r>
              <w:rPr>
                <w:rFonts w:hint="eastAsia"/>
              </w:rPr>
              <w:t>南方基金</w:t>
            </w:r>
          </w:p>
        </w:tc>
        <w:tc>
          <w:tcPr>
            <w:tcW w:w="2214" w:type="dxa"/>
            <w:vAlign w:val="center"/>
          </w:tcPr>
          <w:p w14:paraId="6D27CAC7">
            <w:pPr>
              <w:jc w:val="right"/>
            </w:pPr>
            <w:r>
              <w:rPr>
                <w:rFonts w:hint="eastAsia"/>
              </w:rPr>
              <w:t>-</w:t>
            </w:r>
          </w:p>
        </w:tc>
        <w:tc>
          <w:tcPr>
            <w:tcW w:w="2214" w:type="dxa"/>
            <w:vAlign w:val="center"/>
          </w:tcPr>
          <w:p w14:paraId="634E03C2">
            <w:pPr>
              <w:jc w:val="right"/>
            </w:pPr>
            <w:r>
              <w:rPr>
                <w:rFonts w:hint="eastAsia"/>
              </w:rPr>
              <w:t>231.50</w:t>
            </w:r>
          </w:p>
        </w:tc>
        <w:tc>
          <w:tcPr>
            <w:tcW w:w="1938" w:type="dxa"/>
            <w:vAlign w:val="center"/>
          </w:tcPr>
          <w:p w14:paraId="48E5E68A">
            <w:pPr>
              <w:jc w:val="right"/>
            </w:pPr>
            <w:r>
              <w:rPr>
                <w:rFonts w:hint="eastAsia"/>
              </w:rPr>
              <w:t>231.50</w:t>
            </w:r>
          </w:p>
        </w:tc>
      </w:tr>
      <w:tr w14:paraId="6E2E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207376">
            <w:r>
              <w:rPr>
                <w:rFonts w:hint="eastAsia"/>
              </w:rPr>
              <w:t>招商银行</w:t>
            </w:r>
          </w:p>
        </w:tc>
        <w:tc>
          <w:tcPr>
            <w:tcW w:w="2214" w:type="dxa"/>
            <w:vAlign w:val="center"/>
          </w:tcPr>
          <w:p w14:paraId="4A7ED745">
            <w:pPr>
              <w:jc w:val="right"/>
            </w:pPr>
            <w:r>
              <w:rPr>
                <w:rFonts w:hint="eastAsia"/>
              </w:rPr>
              <w:t>-</w:t>
            </w:r>
          </w:p>
        </w:tc>
        <w:tc>
          <w:tcPr>
            <w:tcW w:w="2214" w:type="dxa"/>
            <w:vAlign w:val="center"/>
          </w:tcPr>
          <w:p w14:paraId="43D53E28">
            <w:pPr>
              <w:jc w:val="right"/>
            </w:pPr>
            <w:r>
              <w:rPr>
                <w:rFonts w:hint="eastAsia"/>
              </w:rPr>
              <w:t>3,430,118.33</w:t>
            </w:r>
          </w:p>
        </w:tc>
        <w:tc>
          <w:tcPr>
            <w:tcW w:w="1938" w:type="dxa"/>
            <w:vAlign w:val="center"/>
          </w:tcPr>
          <w:p w14:paraId="602B0BA3">
            <w:pPr>
              <w:jc w:val="right"/>
            </w:pPr>
            <w:r>
              <w:rPr>
                <w:rFonts w:hint="eastAsia"/>
              </w:rPr>
              <w:t>3,430,118.33</w:t>
            </w:r>
          </w:p>
        </w:tc>
      </w:tr>
      <w:tr w14:paraId="2C00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D4B32E">
            <w:r>
              <w:rPr>
                <w:rFonts w:hint="eastAsia"/>
              </w:rPr>
              <w:t>合计</w:t>
            </w:r>
          </w:p>
        </w:tc>
        <w:tc>
          <w:tcPr>
            <w:tcW w:w="2214" w:type="dxa"/>
            <w:vAlign w:val="center"/>
          </w:tcPr>
          <w:p w14:paraId="4EAC8479">
            <w:pPr>
              <w:jc w:val="right"/>
            </w:pPr>
            <w:r>
              <w:rPr>
                <w:rFonts w:hint="eastAsia"/>
              </w:rPr>
              <w:t>-</w:t>
            </w:r>
          </w:p>
        </w:tc>
        <w:tc>
          <w:tcPr>
            <w:tcW w:w="2214" w:type="dxa"/>
            <w:vAlign w:val="center"/>
          </w:tcPr>
          <w:p w14:paraId="52139DFC">
            <w:pPr>
              <w:jc w:val="right"/>
            </w:pPr>
            <w:r>
              <w:rPr>
                <w:rFonts w:hint="eastAsia"/>
              </w:rPr>
              <w:t>3,430,349.83</w:t>
            </w:r>
          </w:p>
        </w:tc>
        <w:tc>
          <w:tcPr>
            <w:tcW w:w="1938" w:type="dxa"/>
            <w:vAlign w:val="center"/>
          </w:tcPr>
          <w:p w14:paraId="4189355C">
            <w:pPr>
              <w:jc w:val="right"/>
            </w:pPr>
            <w:r>
              <w:rPr>
                <w:rFonts w:hint="eastAsia"/>
              </w:rPr>
              <w:t>3,430,349.83</w:t>
            </w:r>
          </w:p>
        </w:tc>
      </w:tr>
    </w:tbl>
    <w:p w14:paraId="0F61364A">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0191F076">
      <w:pPr>
        <w:pStyle w:val="47"/>
        <w:rPr>
          <w:rFonts w:hint="eastAsia"/>
        </w:rPr>
      </w:pPr>
      <w:r>
        <w:tab/>
      </w:r>
      <w:r>
        <w:rPr>
          <w:rFonts w:hint="eastAsia"/>
        </w:rPr>
        <w:t>日销售服务费＝前一日C类基金份额的基金资产净值×0.30%÷当年天数。</w:t>
      </w:r>
    </w:p>
    <w:p w14:paraId="2C82C55B">
      <w:pPr>
        <w:pStyle w:val="35"/>
      </w:pPr>
      <w:bookmarkStart w:id="117" w:name="_Toc117"/>
      <w:r>
        <w:t>与关联方进行银行间同业市场的债券（含回购）交易</w:t>
      </w:r>
      <w:bookmarkEnd w:id="117"/>
    </w:p>
    <w:p w14:paraId="2FDE97DF">
      <w:pPr>
        <w:pStyle w:val="18"/>
        <w:rPr>
          <w:rFonts w:hint="eastAsia"/>
        </w:rPr>
      </w:pPr>
      <w:r>
        <w:rPr>
          <w:rFonts w:hint="eastAsia"/>
        </w:rPr>
        <w:t>无。</w:t>
      </w:r>
    </w:p>
    <w:p w14:paraId="79CE5A7E">
      <w:pPr>
        <w:pStyle w:val="35"/>
      </w:pPr>
      <w:bookmarkStart w:id="118" w:name="_Toc118"/>
      <w:r>
        <w:t>报告期内转融通证券出借业务发生重大关联交易事项的说明</w:t>
      </w:r>
      <w:bookmarkEnd w:id="118"/>
    </w:p>
    <w:p w14:paraId="7E4183E0">
      <w:pPr>
        <w:pStyle w:val="36"/>
      </w:pPr>
      <w:bookmarkStart w:id="119" w:name="_Toc119"/>
      <w:r>
        <w:t>与关联方通过约定申报方式进行的适用固定期限费率的证券出借业务的情况</w:t>
      </w:r>
      <w:bookmarkEnd w:id="119"/>
    </w:p>
    <w:p w14:paraId="5D619D09">
      <w:pPr>
        <w:pStyle w:val="18"/>
        <w:rPr>
          <w:rFonts w:hint="eastAsia"/>
        </w:rPr>
      </w:pPr>
      <w:r>
        <w:rPr>
          <w:rFonts w:hint="eastAsia"/>
        </w:rPr>
        <w:t>无。</w:t>
      </w:r>
    </w:p>
    <w:p w14:paraId="06CE0728">
      <w:pPr>
        <w:pStyle w:val="36"/>
      </w:pPr>
      <w:bookmarkStart w:id="120" w:name="_Toc120"/>
      <w:r>
        <w:t>与关联方通过约定申报方式进行的适用市场化期限费率的证券出借业务的情况</w:t>
      </w:r>
      <w:bookmarkEnd w:id="120"/>
    </w:p>
    <w:p w14:paraId="7A99ADED">
      <w:pPr>
        <w:pStyle w:val="18"/>
        <w:rPr>
          <w:rFonts w:hint="eastAsia"/>
        </w:rPr>
      </w:pPr>
      <w:r>
        <w:rPr>
          <w:rFonts w:hint="eastAsia"/>
        </w:rPr>
        <w:t>无。</w:t>
      </w:r>
    </w:p>
    <w:p w14:paraId="4FEB72B9">
      <w:pPr>
        <w:pStyle w:val="35"/>
      </w:pPr>
      <w:bookmarkStart w:id="121" w:name="_Toc121"/>
      <w:r>
        <w:t>各关联方投资本基金的情况</w:t>
      </w:r>
      <w:bookmarkEnd w:id="121"/>
    </w:p>
    <w:p w14:paraId="29CA19A7">
      <w:pPr>
        <w:pStyle w:val="36"/>
      </w:pPr>
      <w:bookmarkStart w:id="122" w:name="_Toc122"/>
      <w:r>
        <w:t>报告期内基金管理人运用固有资金投资本基金的情况</w:t>
      </w:r>
      <w:bookmarkEnd w:id="122"/>
    </w:p>
    <w:p w14:paraId="3CD5FCD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09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731E8D2">
            <w:pPr>
              <w:jc w:val="center"/>
            </w:pPr>
            <w:r>
              <w:rPr>
                <w:rFonts w:hint="eastAsia"/>
                <w:b/>
              </w:rPr>
              <w:t>项目</w:t>
            </w:r>
          </w:p>
        </w:tc>
        <w:tc>
          <w:tcPr>
            <w:tcW w:w="2768" w:type="dxa"/>
            <w:gridSpan w:val="2"/>
            <w:shd w:val="clear" w:color="auto" w:fill="BFBFBF"/>
            <w:vAlign w:val="center"/>
          </w:tcPr>
          <w:p w14:paraId="4F56B338">
            <w:pPr>
              <w:jc w:val="center"/>
            </w:pPr>
            <w:r>
              <w:rPr>
                <w:rFonts w:hint="eastAsia"/>
                <w:b/>
              </w:rPr>
              <w:t>本期2025年4月28日（基金合同生效日）至2025年12月31日</w:t>
            </w:r>
          </w:p>
        </w:tc>
      </w:tr>
      <w:tr w14:paraId="292E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F64520"/>
        </w:tc>
        <w:tc>
          <w:tcPr>
            <w:tcW w:w="2768" w:type="dxa"/>
            <w:shd w:val="clear" w:color="auto" w:fill="BFBFBF"/>
            <w:vAlign w:val="center"/>
          </w:tcPr>
          <w:p w14:paraId="7DE23DAC">
            <w:pPr>
              <w:jc w:val="center"/>
            </w:pPr>
            <w:r>
              <w:rPr>
                <w:rFonts w:hint="eastAsia"/>
                <w:b/>
              </w:rPr>
              <w:t>南方稳见3个月持有混合（FOF）A</w:t>
            </w:r>
          </w:p>
        </w:tc>
        <w:tc>
          <w:tcPr>
            <w:tcW w:w="2768" w:type="dxa"/>
            <w:shd w:val="clear" w:color="auto" w:fill="BFBFBF"/>
            <w:vAlign w:val="center"/>
          </w:tcPr>
          <w:p w14:paraId="207ADA6A">
            <w:pPr>
              <w:jc w:val="center"/>
            </w:pPr>
            <w:r>
              <w:rPr>
                <w:rFonts w:hint="eastAsia"/>
                <w:b/>
              </w:rPr>
              <w:t>南方稳见3个月持有混合（FOF）C</w:t>
            </w:r>
          </w:p>
        </w:tc>
      </w:tr>
      <w:tr w14:paraId="2135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C496A">
            <w:r>
              <w:rPr>
                <w:rFonts w:hint="eastAsia"/>
              </w:rPr>
              <w:t>基金合同生效日（2025年4月28日）持有的基金份额</w:t>
            </w:r>
          </w:p>
        </w:tc>
        <w:tc>
          <w:tcPr>
            <w:tcW w:w="2768" w:type="dxa"/>
            <w:vAlign w:val="center"/>
          </w:tcPr>
          <w:p w14:paraId="7D54ACB1">
            <w:pPr>
              <w:jc w:val="right"/>
            </w:pPr>
            <w:r>
              <w:rPr>
                <w:rFonts w:hint="eastAsia"/>
              </w:rPr>
              <w:t>-</w:t>
            </w:r>
          </w:p>
        </w:tc>
        <w:tc>
          <w:tcPr>
            <w:tcW w:w="2768" w:type="dxa"/>
            <w:vAlign w:val="center"/>
          </w:tcPr>
          <w:p w14:paraId="3E6E093C">
            <w:pPr>
              <w:jc w:val="right"/>
            </w:pPr>
            <w:r>
              <w:rPr>
                <w:rFonts w:hint="eastAsia"/>
              </w:rPr>
              <w:t>-</w:t>
            </w:r>
          </w:p>
        </w:tc>
      </w:tr>
      <w:tr w14:paraId="3B34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8E1B3">
            <w:r>
              <w:rPr>
                <w:rFonts w:hint="eastAsia"/>
              </w:rPr>
              <w:t>报告期间申购/买入总份额</w:t>
            </w:r>
          </w:p>
        </w:tc>
        <w:tc>
          <w:tcPr>
            <w:tcW w:w="2768" w:type="dxa"/>
            <w:vAlign w:val="center"/>
          </w:tcPr>
          <w:p w14:paraId="6F45CB58">
            <w:pPr>
              <w:jc w:val="right"/>
            </w:pPr>
            <w:r>
              <w:rPr>
                <w:rFonts w:hint="eastAsia"/>
              </w:rPr>
              <w:t>19,528,366.37</w:t>
            </w:r>
          </w:p>
        </w:tc>
        <w:tc>
          <w:tcPr>
            <w:tcW w:w="2768" w:type="dxa"/>
            <w:vAlign w:val="center"/>
          </w:tcPr>
          <w:p w14:paraId="77B0AE31">
            <w:pPr>
              <w:jc w:val="right"/>
            </w:pPr>
            <w:r>
              <w:rPr>
                <w:rFonts w:hint="eastAsia"/>
              </w:rPr>
              <w:t>-</w:t>
            </w:r>
          </w:p>
        </w:tc>
      </w:tr>
      <w:tr w14:paraId="137B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25019">
            <w:r>
              <w:rPr>
                <w:rFonts w:hint="eastAsia"/>
              </w:rPr>
              <w:t>报告期间因拆分变动份额</w:t>
            </w:r>
          </w:p>
        </w:tc>
        <w:tc>
          <w:tcPr>
            <w:tcW w:w="2768" w:type="dxa"/>
            <w:vAlign w:val="center"/>
          </w:tcPr>
          <w:p w14:paraId="3AC8341C">
            <w:pPr>
              <w:jc w:val="right"/>
            </w:pPr>
            <w:r>
              <w:rPr>
                <w:rFonts w:hint="eastAsia"/>
              </w:rPr>
              <w:t>-</w:t>
            </w:r>
          </w:p>
        </w:tc>
        <w:tc>
          <w:tcPr>
            <w:tcW w:w="2768" w:type="dxa"/>
            <w:vAlign w:val="center"/>
          </w:tcPr>
          <w:p w14:paraId="1792B959">
            <w:pPr>
              <w:jc w:val="right"/>
            </w:pPr>
            <w:r>
              <w:rPr>
                <w:rFonts w:hint="eastAsia"/>
              </w:rPr>
              <w:t>-</w:t>
            </w:r>
          </w:p>
        </w:tc>
      </w:tr>
      <w:tr w14:paraId="003B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2574D">
            <w:r>
              <w:rPr>
                <w:rFonts w:hint="eastAsia"/>
              </w:rPr>
              <w:t>减：报告期间赎回/卖出总份额</w:t>
            </w:r>
          </w:p>
        </w:tc>
        <w:tc>
          <w:tcPr>
            <w:tcW w:w="2768" w:type="dxa"/>
            <w:vAlign w:val="center"/>
          </w:tcPr>
          <w:p w14:paraId="1BE837AE">
            <w:pPr>
              <w:jc w:val="right"/>
            </w:pPr>
            <w:r>
              <w:rPr>
                <w:rFonts w:hint="eastAsia"/>
              </w:rPr>
              <w:t>-</w:t>
            </w:r>
          </w:p>
        </w:tc>
        <w:tc>
          <w:tcPr>
            <w:tcW w:w="2768" w:type="dxa"/>
            <w:vAlign w:val="center"/>
          </w:tcPr>
          <w:p w14:paraId="24A31B5F">
            <w:pPr>
              <w:jc w:val="right"/>
            </w:pPr>
            <w:r>
              <w:rPr>
                <w:rFonts w:hint="eastAsia"/>
              </w:rPr>
              <w:t>-</w:t>
            </w:r>
          </w:p>
        </w:tc>
      </w:tr>
      <w:tr w14:paraId="2D99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7BDB2">
            <w:r>
              <w:rPr>
                <w:rFonts w:hint="eastAsia"/>
              </w:rPr>
              <w:t>报告期末持有的基金份额</w:t>
            </w:r>
          </w:p>
        </w:tc>
        <w:tc>
          <w:tcPr>
            <w:tcW w:w="2768" w:type="dxa"/>
            <w:vAlign w:val="center"/>
          </w:tcPr>
          <w:p w14:paraId="67F03C8B">
            <w:pPr>
              <w:jc w:val="right"/>
            </w:pPr>
            <w:r>
              <w:rPr>
                <w:rFonts w:hint="eastAsia"/>
              </w:rPr>
              <w:t>19,528,366.37</w:t>
            </w:r>
          </w:p>
        </w:tc>
        <w:tc>
          <w:tcPr>
            <w:tcW w:w="2768" w:type="dxa"/>
            <w:vAlign w:val="center"/>
          </w:tcPr>
          <w:p w14:paraId="23B4A7B9">
            <w:pPr>
              <w:jc w:val="right"/>
            </w:pPr>
            <w:r>
              <w:rPr>
                <w:rFonts w:hint="eastAsia"/>
              </w:rPr>
              <w:t>-</w:t>
            </w:r>
          </w:p>
        </w:tc>
      </w:tr>
      <w:tr w14:paraId="143F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1C67E">
            <w:r>
              <w:rPr>
                <w:rFonts w:hint="eastAsia"/>
              </w:rPr>
              <w:t>报告期末持有的基金份额占基金总份额比例</w:t>
            </w:r>
          </w:p>
        </w:tc>
        <w:tc>
          <w:tcPr>
            <w:tcW w:w="2768" w:type="dxa"/>
            <w:vAlign w:val="center"/>
          </w:tcPr>
          <w:p w14:paraId="40666573">
            <w:pPr>
              <w:jc w:val="right"/>
            </w:pPr>
            <w:r>
              <w:rPr>
                <w:rFonts w:hint="eastAsia"/>
              </w:rPr>
              <w:t>1.26%</w:t>
            </w:r>
          </w:p>
        </w:tc>
        <w:tc>
          <w:tcPr>
            <w:tcW w:w="2768" w:type="dxa"/>
            <w:vAlign w:val="center"/>
          </w:tcPr>
          <w:p w14:paraId="1A20D627">
            <w:pPr>
              <w:jc w:val="right"/>
            </w:pPr>
            <w:r>
              <w:rPr>
                <w:rFonts w:hint="eastAsia"/>
              </w:rPr>
              <w:t>-</w:t>
            </w:r>
          </w:p>
        </w:tc>
      </w:tr>
    </w:tbl>
    <w:p w14:paraId="76D40AD5">
      <w:pPr>
        <w:pStyle w:val="47"/>
        <w:rPr>
          <w:rFonts w:hint="eastAsia"/>
        </w:rPr>
      </w:pPr>
      <w:r>
        <w:rPr>
          <w:rFonts w:hint="eastAsia"/>
        </w:rPr>
        <w:t>注：基金管理人南方基金投资本基金适用的认(申)购/赎回费率按照本基金招募说明书的规定执行。</w:t>
      </w:r>
    </w:p>
    <w:p w14:paraId="45388A90">
      <w:pPr>
        <w:pStyle w:val="36"/>
      </w:pPr>
      <w:bookmarkStart w:id="123" w:name="_Toc123"/>
      <w:r>
        <w:t>报告期末除基金管理人之外的其他关联方投资本基金的情况</w:t>
      </w:r>
      <w:bookmarkEnd w:id="123"/>
    </w:p>
    <w:p w14:paraId="33F60692">
      <w:pPr>
        <w:pStyle w:val="18"/>
        <w:rPr>
          <w:rFonts w:hint="eastAsia"/>
        </w:rPr>
      </w:pPr>
      <w:r>
        <w:rPr>
          <w:rFonts w:hint="eastAsia"/>
        </w:rPr>
        <w:t>无。</w:t>
      </w:r>
    </w:p>
    <w:p w14:paraId="61F03A10">
      <w:pPr>
        <w:pStyle w:val="35"/>
      </w:pPr>
      <w:bookmarkStart w:id="124" w:name="_Toc124"/>
      <w:r>
        <w:t>由关联方保管的银行存款余额及当期产生的利息收入</w:t>
      </w:r>
      <w:bookmarkEnd w:id="124"/>
    </w:p>
    <w:p w14:paraId="7F78EE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7357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34542116">
            <w:pPr>
              <w:jc w:val="center"/>
            </w:pPr>
            <w:r>
              <w:rPr>
                <w:rFonts w:hint="eastAsia"/>
                <w:b/>
              </w:rPr>
              <w:t>关联方名称</w:t>
            </w:r>
          </w:p>
        </w:tc>
        <w:tc>
          <w:tcPr>
            <w:tcW w:w="3294" w:type="dxa"/>
            <w:gridSpan w:val="2"/>
            <w:shd w:val="clear" w:color="auto" w:fill="BFBFBF"/>
            <w:vAlign w:val="center"/>
          </w:tcPr>
          <w:p w14:paraId="16CDE63C">
            <w:pPr>
              <w:jc w:val="center"/>
            </w:pPr>
            <w:r>
              <w:rPr>
                <w:rFonts w:hint="eastAsia"/>
                <w:b/>
              </w:rPr>
              <w:t>本期2025年4月28日（基金合同生效日）至2025年12月31日</w:t>
            </w:r>
          </w:p>
        </w:tc>
      </w:tr>
      <w:tr w14:paraId="06EA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DCC16E5"/>
        </w:tc>
        <w:tc>
          <w:tcPr>
            <w:tcW w:w="3294" w:type="dxa"/>
            <w:shd w:val="clear" w:color="auto" w:fill="BFBFBF"/>
            <w:vAlign w:val="center"/>
          </w:tcPr>
          <w:p w14:paraId="144AC6A1">
            <w:pPr>
              <w:jc w:val="center"/>
            </w:pPr>
            <w:r>
              <w:rPr>
                <w:rFonts w:hint="eastAsia"/>
                <w:b/>
              </w:rPr>
              <w:t>期末余额</w:t>
            </w:r>
          </w:p>
        </w:tc>
        <w:tc>
          <w:tcPr>
            <w:tcW w:w="3294" w:type="dxa"/>
            <w:shd w:val="clear" w:color="auto" w:fill="BFBFBF"/>
            <w:vAlign w:val="center"/>
          </w:tcPr>
          <w:p w14:paraId="6A0C08F6">
            <w:pPr>
              <w:jc w:val="center"/>
            </w:pPr>
            <w:r>
              <w:rPr>
                <w:rFonts w:hint="eastAsia"/>
                <w:b/>
              </w:rPr>
              <w:t>当期利息收入</w:t>
            </w:r>
          </w:p>
        </w:tc>
      </w:tr>
      <w:tr w14:paraId="45B5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353D9FB2">
            <w:r>
              <w:rPr>
                <w:rFonts w:hint="eastAsia"/>
              </w:rPr>
              <w:t>招商银行</w:t>
            </w:r>
          </w:p>
        </w:tc>
        <w:tc>
          <w:tcPr>
            <w:tcW w:w="3294" w:type="dxa"/>
            <w:vAlign w:val="center"/>
          </w:tcPr>
          <w:p w14:paraId="743AA9E2">
            <w:pPr>
              <w:jc w:val="right"/>
            </w:pPr>
            <w:r>
              <w:rPr>
                <w:rFonts w:hint="eastAsia"/>
              </w:rPr>
              <w:t>1,960,349.49</w:t>
            </w:r>
          </w:p>
        </w:tc>
        <w:tc>
          <w:tcPr>
            <w:tcW w:w="3294" w:type="dxa"/>
            <w:vAlign w:val="center"/>
          </w:tcPr>
          <w:p w14:paraId="0E3CC802">
            <w:pPr>
              <w:jc w:val="right"/>
            </w:pPr>
            <w:r>
              <w:rPr>
                <w:rFonts w:hint="eastAsia"/>
              </w:rPr>
              <w:t>228,948.34</w:t>
            </w:r>
          </w:p>
        </w:tc>
      </w:tr>
    </w:tbl>
    <w:p w14:paraId="12E2EE8B">
      <w:pPr>
        <w:pStyle w:val="47"/>
        <w:rPr>
          <w:rFonts w:hint="eastAsia"/>
        </w:rPr>
      </w:pPr>
      <w:r>
        <w:rPr>
          <w:rFonts w:hint="eastAsia"/>
        </w:rPr>
        <w:t>注：本基金的银行存款由基金托管人保管，按银行约定利率计息。</w:t>
      </w:r>
    </w:p>
    <w:p w14:paraId="2A924F74">
      <w:pPr>
        <w:pStyle w:val="35"/>
      </w:pPr>
      <w:bookmarkStart w:id="125" w:name="_Toc125"/>
      <w:r>
        <w:t>本基金在承销期内参与关联方承销证券的情况</w:t>
      </w:r>
      <w:bookmarkEnd w:id="125"/>
    </w:p>
    <w:p w14:paraId="65B9E133">
      <w:pPr>
        <w:pStyle w:val="18"/>
        <w:rPr>
          <w:rFonts w:hint="eastAsia"/>
        </w:rPr>
      </w:pPr>
      <w:r>
        <w:rPr>
          <w:rFonts w:hint="eastAsia"/>
        </w:rPr>
        <w:t>无。</w:t>
      </w:r>
    </w:p>
    <w:p w14:paraId="2E49CF56">
      <w:pPr>
        <w:pStyle w:val="35"/>
      </w:pPr>
      <w:bookmarkStart w:id="126" w:name="_Toc126"/>
      <w:r>
        <w:t>其他关联交易事项的说明</w:t>
      </w:r>
      <w:bookmarkEnd w:id="126"/>
    </w:p>
    <w:p w14:paraId="387173D0">
      <w:pPr>
        <w:pStyle w:val="36"/>
      </w:pPr>
      <w:bookmarkStart w:id="127" w:name="_Toc127"/>
      <w:r>
        <w:t>其他关联交易事项的说明</w:t>
      </w:r>
      <w:bookmarkEnd w:id="127"/>
    </w:p>
    <w:p w14:paraId="62D002DB">
      <w:pPr>
        <w:pStyle w:val="18"/>
        <w:rPr>
          <w:rFonts w:hint="eastAsia"/>
        </w:rPr>
      </w:pPr>
      <w:r>
        <w:rPr>
          <w:rFonts w:hint="eastAsia"/>
        </w:rPr>
        <w:t>于本期末，本基金持有基金管理人南方基金管理股份有限公司所管理的公开募集证券投资基金，成本总额为人民币548,351,110.81元，估值总额为人民币557,123,461.21元，占本基金基金净资产的比例为35.31%。</w:t>
      </w:r>
    </w:p>
    <w:p w14:paraId="313046C4">
      <w:pPr>
        <w:pStyle w:val="36"/>
      </w:pPr>
      <w:bookmarkStart w:id="128" w:name="_Toc128"/>
      <w:r>
        <w:t>当期交易及持有基金管理人以及管理人关联方所管理基金产生的费用</w:t>
      </w:r>
      <w:bookmarkEnd w:id="12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C47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463EB1">
            <w:pPr>
              <w:jc w:val="center"/>
            </w:pPr>
            <w:r>
              <w:rPr>
                <w:rFonts w:hint="eastAsia"/>
                <w:b/>
              </w:rPr>
              <w:t>项目</w:t>
            </w:r>
          </w:p>
        </w:tc>
        <w:tc>
          <w:tcPr>
            <w:tcW w:w="4153" w:type="dxa"/>
            <w:shd w:val="clear" w:color="auto" w:fill="BFBFBF"/>
            <w:vAlign w:val="center"/>
          </w:tcPr>
          <w:p w14:paraId="485E443B">
            <w:pPr>
              <w:jc w:val="center"/>
            </w:pPr>
            <w:r>
              <w:rPr>
                <w:rFonts w:hint="eastAsia"/>
                <w:b/>
              </w:rPr>
              <w:t>本期2025年4月28日（基金合同生效日）至2025年12月31日</w:t>
            </w:r>
          </w:p>
        </w:tc>
      </w:tr>
      <w:tr w14:paraId="4157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6148B">
            <w:r>
              <w:rPr>
                <w:rFonts w:hint="eastAsia"/>
              </w:rPr>
              <w:t>当期交易基金产生的申购费（元）</w:t>
            </w:r>
          </w:p>
        </w:tc>
        <w:tc>
          <w:tcPr>
            <w:tcW w:w="4153" w:type="dxa"/>
            <w:vAlign w:val="center"/>
          </w:tcPr>
          <w:p w14:paraId="50070A35">
            <w:pPr>
              <w:jc w:val="right"/>
            </w:pPr>
            <w:r>
              <w:rPr>
                <w:rFonts w:hint="eastAsia"/>
              </w:rPr>
              <w:t>-</w:t>
            </w:r>
          </w:p>
        </w:tc>
      </w:tr>
      <w:tr w14:paraId="3096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B561C">
            <w:r>
              <w:rPr>
                <w:rFonts w:hint="eastAsia"/>
              </w:rPr>
              <w:t>当期交易基金产生的赎回费（元）</w:t>
            </w:r>
          </w:p>
        </w:tc>
        <w:tc>
          <w:tcPr>
            <w:tcW w:w="4153" w:type="dxa"/>
            <w:vAlign w:val="center"/>
          </w:tcPr>
          <w:p w14:paraId="6E9F1119">
            <w:pPr>
              <w:jc w:val="right"/>
            </w:pPr>
            <w:r>
              <w:rPr>
                <w:rFonts w:hint="eastAsia"/>
              </w:rPr>
              <w:t>3,000.00</w:t>
            </w:r>
          </w:p>
        </w:tc>
      </w:tr>
      <w:tr w14:paraId="15E0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BF721C">
            <w:r>
              <w:rPr>
                <w:rFonts w:hint="eastAsia"/>
              </w:rPr>
              <w:t>当期持有基金产生的应支付销售服务费（元）</w:t>
            </w:r>
          </w:p>
        </w:tc>
        <w:tc>
          <w:tcPr>
            <w:tcW w:w="4153" w:type="dxa"/>
            <w:vAlign w:val="center"/>
          </w:tcPr>
          <w:p w14:paraId="43ED0B48">
            <w:pPr>
              <w:jc w:val="right"/>
            </w:pPr>
            <w:r>
              <w:rPr>
                <w:rFonts w:hint="eastAsia"/>
              </w:rPr>
              <w:t>320,696.62</w:t>
            </w:r>
          </w:p>
        </w:tc>
      </w:tr>
      <w:tr w14:paraId="0665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FF0102">
            <w:r>
              <w:rPr>
                <w:rFonts w:hint="eastAsia"/>
              </w:rPr>
              <w:t>当期持有基金产生的应支付管理费（元）</w:t>
            </w:r>
          </w:p>
        </w:tc>
        <w:tc>
          <w:tcPr>
            <w:tcW w:w="4153" w:type="dxa"/>
            <w:vAlign w:val="center"/>
          </w:tcPr>
          <w:p w14:paraId="70A4DA02">
            <w:pPr>
              <w:jc w:val="right"/>
            </w:pPr>
            <w:r>
              <w:rPr>
                <w:rFonts w:hint="eastAsia"/>
              </w:rPr>
              <w:t>1,922,234.36</w:t>
            </w:r>
          </w:p>
        </w:tc>
      </w:tr>
      <w:tr w14:paraId="0DD7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1AFB99">
            <w:r>
              <w:rPr>
                <w:rFonts w:hint="eastAsia"/>
              </w:rPr>
              <w:t>当期持有基金产生的应支付托管费（元）</w:t>
            </w:r>
          </w:p>
        </w:tc>
        <w:tc>
          <w:tcPr>
            <w:tcW w:w="4153" w:type="dxa"/>
            <w:vAlign w:val="center"/>
          </w:tcPr>
          <w:p w14:paraId="2B8EFD93">
            <w:pPr>
              <w:jc w:val="right"/>
            </w:pPr>
            <w:r>
              <w:rPr>
                <w:rFonts w:hint="eastAsia"/>
              </w:rPr>
              <w:t>448,375.76</w:t>
            </w:r>
          </w:p>
        </w:tc>
      </w:tr>
      <w:tr w14:paraId="4E47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4D099">
            <w:r>
              <w:rPr>
                <w:rFonts w:hint="eastAsia"/>
              </w:rPr>
              <w:t>当期交易所交易基金产生的交易费（元）</w:t>
            </w:r>
          </w:p>
        </w:tc>
        <w:tc>
          <w:tcPr>
            <w:tcW w:w="4153" w:type="dxa"/>
            <w:vAlign w:val="center"/>
          </w:tcPr>
          <w:p w14:paraId="269F702D">
            <w:pPr>
              <w:jc w:val="right"/>
            </w:pPr>
            <w:r>
              <w:rPr>
                <w:rFonts w:hint="eastAsia"/>
              </w:rPr>
              <w:t>12,302.60</w:t>
            </w:r>
          </w:p>
        </w:tc>
      </w:tr>
    </w:tbl>
    <w:p w14:paraId="7E23F388">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7A92A9C9">
      <w:pPr>
        <w:pStyle w:val="28"/>
      </w:pPr>
      <w:bookmarkStart w:id="129" w:name="_Toc129"/>
      <w:r>
        <w:t>利润分配情况——固定净值型货币市场基金之外的基金</w:t>
      </w:r>
      <w:bookmarkEnd w:id="129"/>
    </w:p>
    <w:p w14:paraId="3D4A247B">
      <w:pPr>
        <w:pStyle w:val="47"/>
        <w:rPr>
          <w:rFonts w:hint="eastAsia"/>
        </w:rPr>
      </w:pPr>
      <w:r>
        <w:rPr>
          <w:rFonts w:hint="eastAsia"/>
        </w:rPr>
        <w:t>注：本期无。本基金报告期后分红情况（如有）详见本报告“资产负债表日后事项”部分内容。</w:t>
      </w:r>
    </w:p>
    <w:p w14:paraId="740A39E2">
      <w:pPr>
        <w:pStyle w:val="28"/>
      </w:pPr>
      <w:bookmarkStart w:id="130" w:name="_Toc130"/>
      <w:r>
        <w:t>期末（2025年12月31日）本基金持有的流通受限证券</w:t>
      </w:r>
      <w:bookmarkEnd w:id="130"/>
    </w:p>
    <w:p w14:paraId="08C06A08">
      <w:pPr>
        <w:pStyle w:val="35"/>
      </w:pPr>
      <w:bookmarkStart w:id="131" w:name="_Toc131"/>
      <w:r>
        <w:t>因认购新发/增发证券而于期末持有的流通受限证券</w:t>
      </w:r>
      <w:bookmarkEnd w:id="131"/>
    </w:p>
    <w:p w14:paraId="747E201F">
      <w:pPr>
        <w:pStyle w:val="18"/>
        <w:rPr>
          <w:rFonts w:hint="eastAsia"/>
        </w:rPr>
      </w:pPr>
      <w:r>
        <w:rPr>
          <w:rFonts w:hint="eastAsia"/>
        </w:rPr>
        <w:t>无。</w:t>
      </w:r>
    </w:p>
    <w:p w14:paraId="6B17C703">
      <w:pPr>
        <w:pStyle w:val="35"/>
      </w:pPr>
      <w:bookmarkStart w:id="132" w:name="_Toc132"/>
      <w:r>
        <w:t>期末持有的暂时停牌等流通受限股票</w:t>
      </w:r>
      <w:bookmarkEnd w:id="132"/>
    </w:p>
    <w:p w14:paraId="2B0D3F34">
      <w:pPr>
        <w:pStyle w:val="18"/>
        <w:rPr>
          <w:rFonts w:hint="eastAsia"/>
        </w:rPr>
      </w:pPr>
      <w:r>
        <w:rPr>
          <w:rFonts w:hint="eastAsia"/>
        </w:rPr>
        <w:t>无。</w:t>
      </w:r>
    </w:p>
    <w:p w14:paraId="17BC1D6C">
      <w:pPr>
        <w:pStyle w:val="35"/>
      </w:pPr>
      <w:bookmarkStart w:id="133" w:name="_Toc133"/>
      <w:r>
        <w:t>期末债券正回购交易中作为抵押的债券</w:t>
      </w:r>
      <w:bookmarkEnd w:id="133"/>
    </w:p>
    <w:p w14:paraId="7D27E271">
      <w:pPr>
        <w:pStyle w:val="36"/>
      </w:pPr>
      <w:bookmarkStart w:id="134" w:name="_Toc134"/>
      <w:r>
        <w:t>银行间市场债券正回购</w:t>
      </w:r>
      <w:bookmarkEnd w:id="134"/>
    </w:p>
    <w:p w14:paraId="62614067">
      <w:pPr>
        <w:pStyle w:val="18"/>
        <w:rPr>
          <w:rFonts w:hint="eastAsia"/>
        </w:rPr>
      </w:pPr>
      <w:r>
        <w:rPr>
          <w:rFonts w:hint="eastAsia"/>
        </w:rPr>
        <w:t>无。</w:t>
      </w:r>
    </w:p>
    <w:p w14:paraId="6644035C">
      <w:pPr>
        <w:pStyle w:val="36"/>
      </w:pPr>
      <w:bookmarkStart w:id="135" w:name="_Toc135"/>
      <w:r>
        <w:t>交易所市场债券正回购</w:t>
      </w:r>
      <w:bookmarkEnd w:id="135"/>
    </w:p>
    <w:p w14:paraId="742457A0">
      <w:pPr>
        <w:pStyle w:val="18"/>
        <w:rPr>
          <w:rFonts w:hint="eastAsia"/>
        </w:rPr>
      </w:pPr>
      <w:r>
        <w:rPr>
          <w:rFonts w:hint="eastAsia"/>
        </w:rPr>
        <w:t>无。</w:t>
      </w:r>
    </w:p>
    <w:p w14:paraId="3A440C75">
      <w:pPr>
        <w:pStyle w:val="35"/>
      </w:pPr>
      <w:bookmarkStart w:id="136" w:name="_Toc136"/>
      <w:r>
        <w:t>期末参与转融通证券出借业务的证券</w:t>
      </w:r>
      <w:bookmarkEnd w:id="136"/>
    </w:p>
    <w:p w14:paraId="7C3254FF">
      <w:pPr>
        <w:pStyle w:val="18"/>
        <w:rPr>
          <w:rFonts w:hint="eastAsia"/>
        </w:rPr>
      </w:pPr>
      <w:r>
        <w:rPr>
          <w:rFonts w:hint="eastAsia"/>
        </w:rPr>
        <w:t>无。</w:t>
      </w:r>
    </w:p>
    <w:p w14:paraId="1AD24B69">
      <w:pPr>
        <w:pStyle w:val="28"/>
      </w:pPr>
      <w:bookmarkStart w:id="137" w:name="_Toc137"/>
      <w:r>
        <w:t>金融工具风险及管理</w:t>
      </w:r>
      <w:bookmarkEnd w:id="137"/>
    </w:p>
    <w:p w14:paraId="000352EC">
      <w:pPr>
        <w:pStyle w:val="35"/>
      </w:pPr>
      <w:bookmarkStart w:id="138" w:name="_Toc138"/>
      <w:r>
        <w:t>风险管理政策和组织架构</w:t>
      </w:r>
      <w:bookmarkEnd w:id="138"/>
    </w:p>
    <w:p w14:paraId="216CE3AD">
      <w:pPr>
        <w:pStyle w:val="18"/>
        <w:rPr>
          <w:rFonts w:hint="eastAsia"/>
        </w:rPr>
      </w:pPr>
      <w:r>
        <w:rPr>
          <w:rFonts w:hint="eastAsia"/>
        </w:rPr>
        <w:t>本基金是混合型基金中基金，本基金投资的金融工具主要包括股票投资、基金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C3DDD7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796A7C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D77C116">
      <w:pPr>
        <w:pStyle w:val="35"/>
      </w:pPr>
      <w:bookmarkStart w:id="139" w:name="_Toc139"/>
      <w:r>
        <w:t>信用风险</w:t>
      </w:r>
      <w:bookmarkEnd w:id="139"/>
    </w:p>
    <w:p w14:paraId="0A7971C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CB1E2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办理，违约可能性很小；在银行间同业市场进行交易前均对交易对手进行信用评估并对证券交割方式进行限制以控制相应的信用风险。</w:t>
      </w:r>
    </w:p>
    <w:p w14:paraId="21CF148E">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w:t>
      </w:r>
    </w:p>
    <w:p w14:paraId="6F52E403">
      <w:pPr>
        <w:pStyle w:val="35"/>
      </w:pPr>
      <w:bookmarkStart w:id="140" w:name="_Toc140"/>
      <w:r>
        <w:t>流动性风险</w:t>
      </w:r>
      <w:bookmarkEnd w:id="140"/>
    </w:p>
    <w:p w14:paraId="16F8F38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579527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887FCA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FD4A0B1">
      <w:pPr>
        <w:pStyle w:val="36"/>
      </w:pPr>
      <w:bookmarkStart w:id="141" w:name="_Toc141"/>
      <w:r>
        <w:t>报告期内本基金组合资产的流动性风险分析</w:t>
      </w:r>
      <w:bookmarkEnd w:id="141"/>
    </w:p>
    <w:p w14:paraId="767FC85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5EFC589">
      <w:pPr>
        <w:pStyle w:val="18"/>
        <w:rPr>
          <w:rFonts w:hint="eastAsia"/>
        </w:rPr>
      </w:pPr>
      <w:r>
        <w:rPr>
          <w:rFonts w:hint="eastAsia"/>
        </w:rPr>
        <w:t>本基金所持部分证券在证券交易所上市，其余亦可在银行间同业市场交易/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的资产净值的10%；本基金主动投资于流动性受限资产的市值合计不超过基金资产净值的15%。于本报告期末，本基金持有的流动性受限资产的估值占基金资产净值的比例符合该要求。</w:t>
      </w:r>
    </w:p>
    <w:p w14:paraId="240AC82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814EB0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5EB353E">
      <w:pPr>
        <w:pStyle w:val="35"/>
      </w:pPr>
      <w:bookmarkStart w:id="142" w:name="_Toc142"/>
      <w:r>
        <w:t>市场风险</w:t>
      </w:r>
      <w:bookmarkEnd w:id="142"/>
    </w:p>
    <w:p w14:paraId="669845C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7D14F50">
      <w:pPr>
        <w:pStyle w:val="36"/>
      </w:pPr>
      <w:bookmarkStart w:id="143" w:name="_Toc143"/>
      <w:r>
        <w:t>利率风险</w:t>
      </w:r>
      <w:bookmarkEnd w:id="143"/>
    </w:p>
    <w:p w14:paraId="68B8DE7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A587B5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7E7B2DA">
      <w:pPr>
        <w:pStyle w:val="37"/>
      </w:pPr>
      <w:bookmarkStart w:id="144" w:name="_Toc144"/>
      <w:r>
        <w:t>利率风险敞口</w:t>
      </w:r>
      <w:bookmarkEnd w:id="144"/>
    </w:p>
    <w:p w14:paraId="4781A6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38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EBAEA">
            <w:r>
              <w:rPr>
                <w:rFonts w:hint="eastAsia"/>
              </w:rPr>
              <w:t>本期末2025年12月31日</w:t>
            </w:r>
          </w:p>
        </w:tc>
        <w:tc>
          <w:tcPr>
            <w:tcW w:w="1384" w:type="dxa"/>
            <w:vAlign w:val="center"/>
          </w:tcPr>
          <w:p w14:paraId="1A61C637">
            <w:r>
              <w:rPr>
                <w:rFonts w:hint="eastAsia"/>
              </w:rPr>
              <w:t>1年以内</w:t>
            </w:r>
          </w:p>
        </w:tc>
        <w:tc>
          <w:tcPr>
            <w:tcW w:w="1384" w:type="dxa"/>
            <w:vAlign w:val="center"/>
          </w:tcPr>
          <w:p w14:paraId="6DDAEDA2">
            <w:r>
              <w:rPr>
                <w:rFonts w:hint="eastAsia"/>
              </w:rPr>
              <w:t>1-5年</w:t>
            </w:r>
          </w:p>
        </w:tc>
        <w:tc>
          <w:tcPr>
            <w:tcW w:w="1384" w:type="dxa"/>
            <w:vAlign w:val="center"/>
          </w:tcPr>
          <w:p w14:paraId="312396EF">
            <w:r>
              <w:rPr>
                <w:rFonts w:hint="eastAsia"/>
              </w:rPr>
              <w:t>5年以上</w:t>
            </w:r>
          </w:p>
        </w:tc>
        <w:tc>
          <w:tcPr>
            <w:tcW w:w="1384" w:type="dxa"/>
            <w:vAlign w:val="center"/>
          </w:tcPr>
          <w:p w14:paraId="38D26C4E">
            <w:r>
              <w:rPr>
                <w:rFonts w:hint="eastAsia"/>
              </w:rPr>
              <w:t>不计息</w:t>
            </w:r>
          </w:p>
        </w:tc>
        <w:tc>
          <w:tcPr>
            <w:tcW w:w="1384" w:type="dxa"/>
            <w:vAlign w:val="center"/>
          </w:tcPr>
          <w:p w14:paraId="489EB420">
            <w:r>
              <w:rPr>
                <w:rFonts w:hint="eastAsia"/>
              </w:rPr>
              <w:t>合计</w:t>
            </w:r>
          </w:p>
        </w:tc>
      </w:tr>
      <w:tr w14:paraId="766B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A75EA">
            <w:r>
              <w:rPr>
                <w:rFonts w:hint="eastAsia"/>
              </w:rPr>
              <w:t>资产</w:t>
            </w:r>
          </w:p>
        </w:tc>
        <w:tc>
          <w:tcPr>
            <w:tcW w:w="1384" w:type="dxa"/>
            <w:vAlign w:val="center"/>
          </w:tcPr>
          <w:p w14:paraId="3CD9C6DA"/>
        </w:tc>
        <w:tc>
          <w:tcPr>
            <w:tcW w:w="1384" w:type="dxa"/>
            <w:vAlign w:val="center"/>
          </w:tcPr>
          <w:p w14:paraId="319497C3"/>
        </w:tc>
        <w:tc>
          <w:tcPr>
            <w:tcW w:w="1384" w:type="dxa"/>
            <w:vAlign w:val="center"/>
          </w:tcPr>
          <w:p w14:paraId="75C9A702"/>
        </w:tc>
        <w:tc>
          <w:tcPr>
            <w:tcW w:w="1384" w:type="dxa"/>
            <w:vAlign w:val="center"/>
          </w:tcPr>
          <w:p w14:paraId="4F9499CD"/>
        </w:tc>
        <w:tc>
          <w:tcPr>
            <w:tcW w:w="1384" w:type="dxa"/>
            <w:vAlign w:val="center"/>
          </w:tcPr>
          <w:p w14:paraId="0C142CCD"/>
        </w:tc>
      </w:tr>
      <w:tr w14:paraId="6E68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EAEC2">
            <w:r>
              <w:rPr>
                <w:rFonts w:hint="eastAsia"/>
              </w:rPr>
              <w:t>货币资金</w:t>
            </w:r>
          </w:p>
        </w:tc>
        <w:tc>
          <w:tcPr>
            <w:tcW w:w="1384" w:type="dxa"/>
            <w:vAlign w:val="center"/>
          </w:tcPr>
          <w:p w14:paraId="7442573A">
            <w:pPr>
              <w:jc w:val="right"/>
            </w:pPr>
            <w:r>
              <w:rPr>
                <w:rFonts w:hint="eastAsia"/>
              </w:rPr>
              <w:t>1,960,349.49</w:t>
            </w:r>
          </w:p>
        </w:tc>
        <w:tc>
          <w:tcPr>
            <w:tcW w:w="1384" w:type="dxa"/>
            <w:vAlign w:val="center"/>
          </w:tcPr>
          <w:p w14:paraId="4A6088AE">
            <w:pPr>
              <w:jc w:val="right"/>
            </w:pPr>
            <w:r>
              <w:rPr>
                <w:rFonts w:hint="eastAsia"/>
              </w:rPr>
              <w:t>-</w:t>
            </w:r>
          </w:p>
        </w:tc>
        <w:tc>
          <w:tcPr>
            <w:tcW w:w="1384" w:type="dxa"/>
            <w:vAlign w:val="center"/>
          </w:tcPr>
          <w:p w14:paraId="780CF478">
            <w:pPr>
              <w:jc w:val="right"/>
            </w:pPr>
            <w:r>
              <w:rPr>
                <w:rFonts w:hint="eastAsia"/>
              </w:rPr>
              <w:t>-</w:t>
            </w:r>
          </w:p>
        </w:tc>
        <w:tc>
          <w:tcPr>
            <w:tcW w:w="1384" w:type="dxa"/>
            <w:vAlign w:val="center"/>
          </w:tcPr>
          <w:p w14:paraId="7255AF65">
            <w:pPr>
              <w:jc w:val="right"/>
            </w:pPr>
            <w:r>
              <w:rPr>
                <w:rFonts w:hint="eastAsia"/>
              </w:rPr>
              <w:t>-</w:t>
            </w:r>
          </w:p>
        </w:tc>
        <w:tc>
          <w:tcPr>
            <w:tcW w:w="1384" w:type="dxa"/>
            <w:vAlign w:val="center"/>
          </w:tcPr>
          <w:p w14:paraId="7FC9B1F0">
            <w:pPr>
              <w:jc w:val="right"/>
            </w:pPr>
            <w:r>
              <w:rPr>
                <w:rFonts w:hint="eastAsia"/>
              </w:rPr>
              <w:t>1,960,349.49</w:t>
            </w:r>
          </w:p>
        </w:tc>
      </w:tr>
      <w:tr w14:paraId="1433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CA5F3">
            <w:r>
              <w:rPr>
                <w:rFonts w:hint="eastAsia"/>
              </w:rPr>
              <w:t>结算备付金</w:t>
            </w:r>
          </w:p>
        </w:tc>
        <w:tc>
          <w:tcPr>
            <w:tcW w:w="1384" w:type="dxa"/>
            <w:vAlign w:val="center"/>
          </w:tcPr>
          <w:p w14:paraId="489D8E44">
            <w:pPr>
              <w:jc w:val="right"/>
            </w:pPr>
            <w:r>
              <w:rPr>
                <w:rFonts w:hint="eastAsia"/>
              </w:rPr>
              <w:t>3,999,475.69</w:t>
            </w:r>
          </w:p>
        </w:tc>
        <w:tc>
          <w:tcPr>
            <w:tcW w:w="1384" w:type="dxa"/>
            <w:vAlign w:val="center"/>
          </w:tcPr>
          <w:p w14:paraId="7969B669">
            <w:pPr>
              <w:jc w:val="right"/>
            </w:pPr>
            <w:r>
              <w:rPr>
                <w:rFonts w:hint="eastAsia"/>
              </w:rPr>
              <w:t>-</w:t>
            </w:r>
          </w:p>
        </w:tc>
        <w:tc>
          <w:tcPr>
            <w:tcW w:w="1384" w:type="dxa"/>
            <w:vAlign w:val="center"/>
          </w:tcPr>
          <w:p w14:paraId="05FC1AD3">
            <w:pPr>
              <w:jc w:val="right"/>
            </w:pPr>
            <w:r>
              <w:rPr>
                <w:rFonts w:hint="eastAsia"/>
              </w:rPr>
              <w:t>-</w:t>
            </w:r>
          </w:p>
        </w:tc>
        <w:tc>
          <w:tcPr>
            <w:tcW w:w="1384" w:type="dxa"/>
            <w:vAlign w:val="center"/>
          </w:tcPr>
          <w:p w14:paraId="20BC7378">
            <w:pPr>
              <w:jc w:val="right"/>
            </w:pPr>
            <w:r>
              <w:rPr>
                <w:rFonts w:hint="eastAsia"/>
              </w:rPr>
              <w:t>-</w:t>
            </w:r>
          </w:p>
        </w:tc>
        <w:tc>
          <w:tcPr>
            <w:tcW w:w="1384" w:type="dxa"/>
            <w:vAlign w:val="center"/>
          </w:tcPr>
          <w:p w14:paraId="3EC4221D">
            <w:pPr>
              <w:jc w:val="right"/>
            </w:pPr>
            <w:r>
              <w:rPr>
                <w:rFonts w:hint="eastAsia"/>
              </w:rPr>
              <w:t>3,999,475.69</w:t>
            </w:r>
          </w:p>
        </w:tc>
      </w:tr>
      <w:tr w14:paraId="3878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420D9">
            <w:r>
              <w:rPr>
                <w:rFonts w:hint="eastAsia"/>
              </w:rPr>
              <w:t>存出保证金</w:t>
            </w:r>
          </w:p>
        </w:tc>
        <w:tc>
          <w:tcPr>
            <w:tcW w:w="1384" w:type="dxa"/>
            <w:vAlign w:val="center"/>
          </w:tcPr>
          <w:p w14:paraId="5A501006">
            <w:pPr>
              <w:jc w:val="right"/>
            </w:pPr>
            <w:r>
              <w:rPr>
                <w:rFonts w:hint="eastAsia"/>
              </w:rPr>
              <w:t>345,339.01</w:t>
            </w:r>
          </w:p>
        </w:tc>
        <w:tc>
          <w:tcPr>
            <w:tcW w:w="1384" w:type="dxa"/>
            <w:vAlign w:val="center"/>
          </w:tcPr>
          <w:p w14:paraId="32ECC7A9">
            <w:pPr>
              <w:jc w:val="right"/>
            </w:pPr>
            <w:r>
              <w:rPr>
                <w:rFonts w:hint="eastAsia"/>
              </w:rPr>
              <w:t>-</w:t>
            </w:r>
          </w:p>
        </w:tc>
        <w:tc>
          <w:tcPr>
            <w:tcW w:w="1384" w:type="dxa"/>
            <w:vAlign w:val="center"/>
          </w:tcPr>
          <w:p w14:paraId="0B9FC81F">
            <w:pPr>
              <w:jc w:val="right"/>
            </w:pPr>
            <w:r>
              <w:rPr>
                <w:rFonts w:hint="eastAsia"/>
              </w:rPr>
              <w:t>-</w:t>
            </w:r>
          </w:p>
        </w:tc>
        <w:tc>
          <w:tcPr>
            <w:tcW w:w="1384" w:type="dxa"/>
            <w:vAlign w:val="center"/>
          </w:tcPr>
          <w:p w14:paraId="53FAA542">
            <w:pPr>
              <w:jc w:val="right"/>
            </w:pPr>
            <w:r>
              <w:rPr>
                <w:rFonts w:hint="eastAsia"/>
              </w:rPr>
              <w:t>-</w:t>
            </w:r>
          </w:p>
        </w:tc>
        <w:tc>
          <w:tcPr>
            <w:tcW w:w="1384" w:type="dxa"/>
            <w:vAlign w:val="center"/>
          </w:tcPr>
          <w:p w14:paraId="47136EC8">
            <w:pPr>
              <w:jc w:val="right"/>
            </w:pPr>
            <w:r>
              <w:rPr>
                <w:rFonts w:hint="eastAsia"/>
              </w:rPr>
              <w:t>345,339.01</w:t>
            </w:r>
          </w:p>
        </w:tc>
      </w:tr>
      <w:tr w14:paraId="644C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8B298">
            <w:r>
              <w:rPr>
                <w:rFonts w:hint="eastAsia"/>
              </w:rPr>
              <w:t>交易性金融资产</w:t>
            </w:r>
          </w:p>
        </w:tc>
        <w:tc>
          <w:tcPr>
            <w:tcW w:w="1384" w:type="dxa"/>
            <w:vAlign w:val="center"/>
          </w:tcPr>
          <w:p w14:paraId="482E758A">
            <w:pPr>
              <w:jc w:val="right"/>
            </w:pPr>
            <w:r>
              <w:rPr>
                <w:rFonts w:hint="eastAsia"/>
              </w:rPr>
              <w:t>83,521,408.66</w:t>
            </w:r>
          </w:p>
        </w:tc>
        <w:tc>
          <w:tcPr>
            <w:tcW w:w="1384" w:type="dxa"/>
            <w:vAlign w:val="center"/>
          </w:tcPr>
          <w:p w14:paraId="5782A6E2">
            <w:pPr>
              <w:jc w:val="right"/>
            </w:pPr>
            <w:r>
              <w:rPr>
                <w:rFonts w:hint="eastAsia"/>
              </w:rPr>
              <w:t>-</w:t>
            </w:r>
          </w:p>
        </w:tc>
        <w:tc>
          <w:tcPr>
            <w:tcW w:w="1384" w:type="dxa"/>
            <w:vAlign w:val="center"/>
          </w:tcPr>
          <w:p w14:paraId="33D0E023">
            <w:pPr>
              <w:jc w:val="right"/>
            </w:pPr>
            <w:r>
              <w:rPr>
                <w:rFonts w:hint="eastAsia"/>
              </w:rPr>
              <w:t>-</w:t>
            </w:r>
          </w:p>
        </w:tc>
        <w:tc>
          <w:tcPr>
            <w:tcW w:w="1384" w:type="dxa"/>
            <w:vAlign w:val="center"/>
          </w:tcPr>
          <w:p w14:paraId="4E5F53F1">
            <w:pPr>
              <w:jc w:val="right"/>
            </w:pPr>
            <w:r>
              <w:rPr>
                <w:rFonts w:hint="eastAsia"/>
              </w:rPr>
              <w:t>1,426,662,481.07</w:t>
            </w:r>
          </w:p>
        </w:tc>
        <w:tc>
          <w:tcPr>
            <w:tcW w:w="1384" w:type="dxa"/>
            <w:vAlign w:val="center"/>
          </w:tcPr>
          <w:p w14:paraId="0B0BC56B">
            <w:pPr>
              <w:jc w:val="right"/>
            </w:pPr>
            <w:r>
              <w:rPr>
                <w:rFonts w:hint="eastAsia"/>
              </w:rPr>
              <w:t>1,510,183,889.73</w:t>
            </w:r>
          </w:p>
        </w:tc>
      </w:tr>
      <w:tr w14:paraId="2F20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095CB">
            <w:r>
              <w:rPr>
                <w:rFonts w:hint="eastAsia"/>
              </w:rPr>
              <w:t>衍生金融资产</w:t>
            </w:r>
          </w:p>
        </w:tc>
        <w:tc>
          <w:tcPr>
            <w:tcW w:w="1384" w:type="dxa"/>
            <w:vAlign w:val="center"/>
          </w:tcPr>
          <w:p w14:paraId="68F4EF7D">
            <w:pPr>
              <w:jc w:val="right"/>
            </w:pPr>
            <w:r>
              <w:rPr>
                <w:rFonts w:hint="eastAsia"/>
              </w:rPr>
              <w:t>-</w:t>
            </w:r>
          </w:p>
        </w:tc>
        <w:tc>
          <w:tcPr>
            <w:tcW w:w="1384" w:type="dxa"/>
            <w:vAlign w:val="center"/>
          </w:tcPr>
          <w:p w14:paraId="18F3D49F">
            <w:pPr>
              <w:jc w:val="right"/>
            </w:pPr>
            <w:r>
              <w:rPr>
                <w:rFonts w:hint="eastAsia"/>
              </w:rPr>
              <w:t>-</w:t>
            </w:r>
          </w:p>
        </w:tc>
        <w:tc>
          <w:tcPr>
            <w:tcW w:w="1384" w:type="dxa"/>
            <w:vAlign w:val="center"/>
          </w:tcPr>
          <w:p w14:paraId="50E6A609">
            <w:pPr>
              <w:jc w:val="right"/>
            </w:pPr>
            <w:r>
              <w:rPr>
                <w:rFonts w:hint="eastAsia"/>
              </w:rPr>
              <w:t>-</w:t>
            </w:r>
          </w:p>
        </w:tc>
        <w:tc>
          <w:tcPr>
            <w:tcW w:w="1384" w:type="dxa"/>
            <w:vAlign w:val="center"/>
          </w:tcPr>
          <w:p w14:paraId="038B316B">
            <w:pPr>
              <w:jc w:val="right"/>
            </w:pPr>
            <w:r>
              <w:rPr>
                <w:rFonts w:hint="eastAsia"/>
              </w:rPr>
              <w:t>-</w:t>
            </w:r>
          </w:p>
        </w:tc>
        <w:tc>
          <w:tcPr>
            <w:tcW w:w="1384" w:type="dxa"/>
            <w:vAlign w:val="center"/>
          </w:tcPr>
          <w:p w14:paraId="1C22D950">
            <w:pPr>
              <w:jc w:val="right"/>
            </w:pPr>
            <w:r>
              <w:rPr>
                <w:rFonts w:hint="eastAsia"/>
              </w:rPr>
              <w:t>-</w:t>
            </w:r>
          </w:p>
        </w:tc>
      </w:tr>
      <w:tr w14:paraId="5310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8111B">
            <w:r>
              <w:rPr>
                <w:rFonts w:hint="eastAsia"/>
              </w:rPr>
              <w:t>买入返售金融资产</w:t>
            </w:r>
          </w:p>
        </w:tc>
        <w:tc>
          <w:tcPr>
            <w:tcW w:w="1384" w:type="dxa"/>
            <w:vAlign w:val="center"/>
          </w:tcPr>
          <w:p w14:paraId="4680AEEC">
            <w:pPr>
              <w:jc w:val="right"/>
            </w:pPr>
            <w:r>
              <w:rPr>
                <w:rFonts w:hint="eastAsia"/>
              </w:rPr>
              <w:t>-31,381.98</w:t>
            </w:r>
          </w:p>
        </w:tc>
        <w:tc>
          <w:tcPr>
            <w:tcW w:w="1384" w:type="dxa"/>
            <w:vAlign w:val="center"/>
          </w:tcPr>
          <w:p w14:paraId="2C00A322">
            <w:pPr>
              <w:jc w:val="right"/>
            </w:pPr>
            <w:r>
              <w:rPr>
                <w:rFonts w:hint="eastAsia"/>
              </w:rPr>
              <w:t>-</w:t>
            </w:r>
          </w:p>
        </w:tc>
        <w:tc>
          <w:tcPr>
            <w:tcW w:w="1384" w:type="dxa"/>
            <w:vAlign w:val="center"/>
          </w:tcPr>
          <w:p w14:paraId="3CE21240">
            <w:pPr>
              <w:jc w:val="right"/>
            </w:pPr>
            <w:r>
              <w:rPr>
                <w:rFonts w:hint="eastAsia"/>
              </w:rPr>
              <w:t>-</w:t>
            </w:r>
          </w:p>
        </w:tc>
        <w:tc>
          <w:tcPr>
            <w:tcW w:w="1384" w:type="dxa"/>
            <w:vAlign w:val="center"/>
          </w:tcPr>
          <w:p w14:paraId="12A4B96E">
            <w:pPr>
              <w:jc w:val="right"/>
            </w:pPr>
            <w:r>
              <w:rPr>
                <w:rFonts w:hint="eastAsia"/>
              </w:rPr>
              <w:t>-</w:t>
            </w:r>
          </w:p>
        </w:tc>
        <w:tc>
          <w:tcPr>
            <w:tcW w:w="1384" w:type="dxa"/>
            <w:vAlign w:val="center"/>
          </w:tcPr>
          <w:p w14:paraId="0422D0EF">
            <w:pPr>
              <w:jc w:val="right"/>
            </w:pPr>
            <w:r>
              <w:rPr>
                <w:rFonts w:hint="eastAsia"/>
              </w:rPr>
              <w:t>-31,381.98</w:t>
            </w:r>
          </w:p>
        </w:tc>
      </w:tr>
      <w:tr w14:paraId="7B58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38FAB">
            <w:r>
              <w:rPr>
                <w:rFonts w:hint="eastAsia"/>
              </w:rPr>
              <w:t>债权投资</w:t>
            </w:r>
          </w:p>
        </w:tc>
        <w:tc>
          <w:tcPr>
            <w:tcW w:w="1384" w:type="dxa"/>
            <w:vAlign w:val="center"/>
          </w:tcPr>
          <w:p w14:paraId="0387D7CD">
            <w:pPr>
              <w:jc w:val="right"/>
            </w:pPr>
            <w:r>
              <w:rPr>
                <w:rFonts w:hint="eastAsia"/>
              </w:rPr>
              <w:t>-</w:t>
            </w:r>
          </w:p>
        </w:tc>
        <w:tc>
          <w:tcPr>
            <w:tcW w:w="1384" w:type="dxa"/>
            <w:vAlign w:val="center"/>
          </w:tcPr>
          <w:p w14:paraId="28E6C961">
            <w:pPr>
              <w:jc w:val="right"/>
            </w:pPr>
            <w:r>
              <w:rPr>
                <w:rFonts w:hint="eastAsia"/>
              </w:rPr>
              <w:t>-</w:t>
            </w:r>
          </w:p>
        </w:tc>
        <w:tc>
          <w:tcPr>
            <w:tcW w:w="1384" w:type="dxa"/>
            <w:vAlign w:val="center"/>
          </w:tcPr>
          <w:p w14:paraId="6B9F68B8">
            <w:pPr>
              <w:jc w:val="right"/>
            </w:pPr>
            <w:r>
              <w:rPr>
                <w:rFonts w:hint="eastAsia"/>
              </w:rPr>
              <w:t>-</w:t>
            </w:r>
          </w:p>
        </w:tc>
        <w:tc>
          <w:tcPr>
            <w:tcW w:w="1384" w:type="dxa"/>
            <w:vAlign w:val="center"/>
          </w:tcPr>
          <w:p w14:paraId="0E8C6044">
            <w:pPr>
              <w:jc w:val="right"/>
            </w:pPr>
            <w:r>
              <w:rPr>
                <w:rFonts w:hint="eastAsia"/>
              </w:rPr>
              <w:t>-</w:t>
            </w:r>
          </w:p>
        </w:tc>
        <w:tc>
          <w:tcPr>
            <w:tcW w:w="1384" w:type="dxa"/>
            <w:vAlign w:val="center"/>
          </w:tcPr>
          <w:p w14:paraId="0A6B8F04">
            <w:pPr>
              <w:jc w:val="right"/>
            </w:pPr>
            <w:r>
              <w:rPr>
                <w:rFonts w:hint="eastAsia"/>
              </w:rPr>
              <w:t>-</w:t>
            </w:r>
          </w:p>
        </w:tc>
      </w:tr>
      <w:tr w14:paraId="2E90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83E5E">
            <w:r>
              <w:rPr>
                <w:rFonts w:hint="eastAsia"/>
              </w:rPr>
              <w:t>其他债权投资</w:t>
            </w:r>
          </w:p>
        </w:tc>
        <w:tc>
          <w:tcPr>
            <w:tcW w:w="1384" w:type="dxa"/>
            <w:vAlign w:val="center"/>
          </w:tcPr>
          <w:p w14:paraId="118E1DA3">
            <w:pPr>
              <w:jc w:val="right"/>
            </w:pPr>
            <w:r>
              <w:rPr>
                <w:rFonts w:hint="eastAsia"/>
              </w:rPr>
              <w:t>-</w:t>
            </w:r>
          </w:p>
        </w:tc>
        <w:tc>
          <w:tcPr>
            <w:tcW w:w="1384" w:type="dxa"/>
            <w:vAlign w:val="center"/>
          </w:tcPr>
          <w:p w14:paraId="730935B5">
            <w:pPr>
              <w:jc w:val="right"/>
            </w:pPr>
            <w:r>
              <w:rPr>
                <w:rFonts w:hint="eastAsia"/>
              </w:rPr>
              <w:t>-</w:t>
            </w:r>
          </w:p>
        </w:tc>
        <w:tc>
          <w:tcPr>
            <w:tcW w:w="1384" w:type="dxa"/>
            <w:vAlign w:val="center"/>
          </w:tcPr>
          <w:p w14:paraId="3E7653E5">
            <w:pPr>
              <w:jc w:val="right"/>
            </w:pPr>
            <w:r>
              <w:rPr>
                <w:rFonts w:hint="eastAsia"/>
              </w:rPr>
              <w:t>-</w:t>
            </w:r>
          </w:p>
        </w:tc>
        <w:tc>
          <w:tcPr>
            <w:tcW w:w="1384" w:type="dxa"/>
            <w:vAlign w:val="center"/>
          </w:tcPr>
          <w:p w14:paraId="47C950ED">
            <w:pPr>
              <w:jc w:val="right"/>
            </w:pPr>
            <w:r>
              <w:rPr>
                <w:rFonts w:hint="eastAsia"/>
              </w:rPr>
              <w:t>-</w:t>
            </w:r>
          </w:p>
        </w:tc>
        <w:tc>
          <w:tcPr>
            <w:tcW w:w="1384" w:type="dxa"/>
            <w:vAlign w:val="center"/>
          </w:tcPr>
          <w:p w14:paraId="63389521">
            <w:pPr>
              <w:jc w:val="right"/>
            </w:pPr>
            <w:r>
              <w:rPr>
                <w:rFonts w:hint="eastAsia"/>
              </w:rPr>
              <w:t>-</w:t>
            </w:r>
          </w:p>
        </w:tc>
      </w:tr>
      <w:tr w14:paraId="403D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8EA39">
            <w:r>
              <w:rPr>
                <w:rFonts w:hint="eastAsia"/>
              </w:rPr>
              <w:t>其他权益工具投资</w:t>
            </w:r>
          </w:p>
        </w:tc>
        <w:tc>
          <w:tcPr>
            <w:tcW w:w="1384" w:type="dxa"/>
            <w:vAlign w:val="center"/>
          </w:tcPr>
          <w:p w14:paraId="2B0E7C41">
            <w:pPr>
              <w:jc w:val="right"/>
            </w:pPr>
            <w:r>
              <w:rPr>
                <w:rFonts w:hint="eastAsia"/>
              </w:rPr>
              <w:t>-</w:t>
            </w:r>
          </w:p>
        </w:tc>
        <w:tc>
          <w:tcPr>
            <w:tcW w:w="1384" w:type="dxa"/>
            <w:vAlign w:val="center"/>
          </w:tcPr>
          <w:p w14:paraId="0E882080">
            <w:pPr>
              <w:jc w:val="right"/>
            </w:pPr>
            <w:r>
              <w:rPr>
                <w:rFonts w:hint="eastAsia"/>
              </w:rPr>
              <w:t>-</w:t>
            </w:r>
          </w:p>
        </w:tc>
        <w:tc>
          <w:tcPr>
            <w:tcW w:w="1384" w:type="dxa"/>
            <w:vAlign w:val="center"/>
          </w:tcPr>
          <w:p w14:paraId="635E9D08">
            <w:pPr>
              <w:jc w:val="right"/>
            </w:pPr>
            <w:r>
              <w:rPr>
                <w:rFonts w:hint="eastAsia"/>
              </w:rPr>
              <w:t>-</w:t>
            </w:r>
          </w:p>
        </w:tc>
        <w:tc>
          <w:tcPr>
            <w:tcW w:w="1384" w:type="dxa"/>
            <w:vAlign w:val="center"/>
          </w:tcPr>
          <w:p w14:paraId="3EC5F753">
            <w:pPr>
              <w:jc w:val="right"/>
            </w:pPr>
            <w:r>
              <w:rPr>
                <w:rFonts w:hint="eastAsia"/>
              </w:rPr>
              <w:t>-</w:t>
            </w:r>
          </w:p>
        </w:tc>
        <w:tc>
          <w:tcPr>
            <w:tcW w:w="1384" w:type="dxa"/>
            <w:vAlign w:val="center"/>
          </w:tcPr>
          <w:p w14:paraId="7755CEEF">
            <w:pPr>
              <w:jc w:val="right"/>
            </w:pPr>
            <w:r>
              <w:rPr>
                <w:rFonts w:hint="eastAsia"/>
              </w:rPr>
              <w:t>-</w:t>
            </w:r>
          </w:p>
        </w:tc>
      </w:tr>
      <w:tr w14:paraId="09E0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164C7">
            <w:r>
              <w:rPr>
                <w:rFonts w:hint="eastAsia"/>
              </w:rPr>
              <w:t>应收清算款</w:t>
            </w:r>
          </w:p>
        </w:tc>
        <w:tc>
          <w:tcPr>
            <w:tcW w:w="1384" w:type="dxa"/>
            <w:vAlign w:val="center"/>
          </w:tcPr>
          <w:p w14:paraId="7949E734">
            <w:pPr>
              <w:jc w:val="right"/>
            </w:pPr>
            <w:r>
              <w:rPr>
                <w:rFonts w:hint="eastAsia"/>
              </w:rPr>
              <w:t>-</w:t>
            </w:r>
          </w:p>
        </w:tc>
        <w:tc>
          <w:tcPr>
            <w:tcW w:w="1384" w:type="dxa"/>
            <w:vAlign w:val="center"/>
          </w:tcPr>
          <w:p w14:paraId="16B2C8E6">
            <w:pPr>
              <w:jc w:val="right"/>
            </w:pPr>
            <w:r>
              <w:rPr>
                <w:rFonts w:hint="eastAsia"/>
              </w:rPr>
              <w:t>-</w:t>
            </w:r>
          </w:p>
        </w:tc>
        <w:tc>
          <w:tcPr>
            <w:tcW w:w="1384" w:type="dxa"/>
            <w:vAlign w:val="center"/>
          </w:tcPr>
          <w:p w14:paraId="1437DFA7">
            <w:pPr>
              <w:jc w:val="right"/>
            </w:pPr>
            <w:r>
              <w:rPr>
                <w:rFonts w:hint="eastAsia"/>
              </w:rPr>
              <w:t>-</w:t>
            </w:r>
          </w:p>
        </w:tc>
        <w:tc>
          <w:tcPr>
            <w:tcW w:w="1384" w:type="dxa"/>
            <w:vAlign w:val="center"/>
          </w:tcPr>
          <w:p w14:paraId="5BD97918">
            <w:pPr>
              <w:jc w:val="right"/>
            </w:pPr>
            <w:r>
              <w:rPr>
                <w:rFonts w:hint="eastAsia"/>
              </w:rPr>
              <w:t>131,039,227.48</w:t>
            </w:r>
          </w:p>
        </w:tc>
        <w:tc>
          <w:tcPr>
            <w:tcW w:w="1384" w:type="dxa"/>
            <w:vAlign w:val="center"/>
          </w:tcPr>
          <w:p w14:paraId="53B633F4">
            <w:pPr>
              <w:jc w:val="right"/>
            </w:pPr>
            <w:r>
              <w:rPr>
                <w:rFonts w:hint="eastAsia"/>
              </w:rPr>
              <w:t>131,039,227.48</w:t>
            </w:r>
          </w:p>
        </w:tc>
      </w:tr>
      <w:tr w14:paraId="1289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6B5E0">
            <w:r>
              <w:rPr>
                <w:rFonts w:hint="eastAsia"/>
              </w:rPr>
              <w:t>应收股利</w:t>
            </w:r>
          </w:p>
        </w:tc>
        <w:tc>
          <w:tcPr>
            <w:tcW w:w="1384" w:type="dxa"/>
            <w:vAlign w:val="center"/>
          </w:tcPr>
          <w:p w14:paraId="14A2F369">
            <w:pPr>
              <w:jc w:val="right"/>
            </w:pPr>
            <w:r>
              <w:rPr>
                <w:rFonts w:hint="eastAsia"/>
              </w:rPr>
              <w:t>-</w:t>
            </w:r>
          </w:p>
        </w:tc>
        <w:tc>
          <w:tcPr>
            <w:tcW w:w="1384" w:type="dxa"/>
            <w:vAlign w:val="center"/>
          </w:tcPr>
          <w:p w14:paraId="49D28F85">
            <w:pPr>
              <w:jc w:val="right"/>
            </w:pPr>
            <w:r>
              <w:rPr>
                <w:rFonts w:hint="eastAsia"/>
              </w:rPr>
              <w:t>-</w:t>
            </w:r>
          </w:p>
        </w:tc>
        <w:tc>
          <w:tcPr>
            <w:tcW w:w="1384" w:type="dxa"/>
            <w:vAlign w:val="center"/>
          </w:tcPr>
          <w:p w14:paraId="4CBCEFEF">
            <w:pPr>
              <w:jc w:val="right"/>
            </w:pPr>
            <w:r>
              <w:rPr>
                <w:rFonts w:hint="eastAsia"/>
              </w:rPr>
              <w:t>-</w:t>
            </w:r>
          </w:p>
        </w:tc>
        <w:tc>
          <w:tcPr>
            <w:tcW w:w="1384" w:type="dxa"/>
            <w:vAlign w:val="center"/>
          </w:tcPr>
          <w:p w14:paraId="4C23CC8D">
            <w:pPr>
              <w:jc w:val="right"/>
            </w:pPr>
            <w:r>
              <w:rPr>
                <w:rFonts w:hint="eastAsia"/>
              </w:rPr>
              <w:t>166.34</w:t>
            </w:r>
          </w:p>
        </w:tc>
        <w:tc>
          <w:tcPr>
            <w:tcW w:w="1384" w:type="dxa"/>
            <w:vAlign w:val="center"/>
          </w:tcPr>
          <w:p w14:paraId="433C07AB">
            <w:pPr>
              <w:jc w:val="right"/>
            </w:pPr>
            <w:r>
              <w:rPr>
                <w:rFonts w:hint="eastAsia"/>
              </w:rPr>
              <w:t>166.34</w:t>
            </w:r>
          </w:p>
        </w:tc>
      </w:tr>
      <w:tr w14:paraId="51C8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7DA45">
            <w:r>
              <w:rPr>
                <w:rFonts w:hint="eastAsia"/>
              </w:rPr>
              <w:t>应收申购款</w:t>
            </w:r>
          </w:p>
        </w:tc>
        <w:tc>
          <w:tcPr>
            <w:tcW w:w="1384" w:type="dxa"/>
            <w:vAlign w:val="center"/>
          </w:tcPr>
          <w:p w14:paraId="6E9320F4">
            <w:pPr>
              <w:jc w:val="right"/>
            </w:pPr>
            <w:r>
              <w:rPr>
                <w:rFonts w:hint="eastAsia"/>
              </w:rPr>
              <w:t>20.00</w:t>
            </w:r>
          </w:p>
        </w:tc>
        <w:tc>
          <w:tcPr>
            <w:tcW w:w="1384" w:type="dxa"/>
            <w:vAlign w:val="center"/>
          </w:tcPr>
          <w:p w14:paraId="6E65E3DC">
            <w:pPr>
              <w:jc w:val="right"/>
            </w:pPr>
            <w:r>
              <w:rPr>
                <w:rFonts w:hint="eastAsia"/>
              </w:rPr>
              <w:t>-</w:t>
            </w:r>
          </w:p>
        </w:tc>
        <w:tc>
          <w:tcPr>
            <w:tcW w:w="1384" w:type="dxa"/>
            <w:vAlign w:val="center"/>
          </w:tcPr>
          <w:p w14:paraId="6EDD09CE">
            <w:pPr>
              <w:jc w:val="right"/>
            </w:pPr>
            <w:r>
              <w:rPr>
                <w:rFonts w:hint="eastAsia"/>
              </w:rPr>
              <w:t>-</w:t>
            </w:r>
          </w:p>
        </w:tc>
        <w:tc>
          <w:tcPr>
            <w:tcW w:w="1384" w:type="dxa"/>
            <w:vAlign w:val="center"/>
          </w:tcPr>
          <w:p w14:paraId="5DA25C52">
            <w:pPr>
              <w:jc w:val="right"/>
            </w:pPr>
            <w:r>
              <w:rPr>
                <w:rFonts w:hint="eastAsia"/>
              </w:rPr>
              <w:t>10,837,817.48</w:t>
            </w:r>
          </w:p>
        </w:tc>
        <w:tc>
          <w:tcPr>
            <w:tcW w:w="1384" w:type="dxa"/>
            <w:vAlign w:val="center"/>
          </w:tcPr>
          <w:p w14:paraId="2D4D22B7">
            <w:pPr>
              <w:jc w:val="right"/>
            </w:pPr>
            <w:r>
              <w:rPr>
                <w:rFonts w:hint="eastAsia"/>
              </w:rPr>
              <w:t>10,837,837.48</w:t>
            </w:r>
          </w:p>
        </w:tc>
      </w:tr>
      <w:tr w14:paraId="31EB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C0F77">
            <w:r>
              <w:rPr>
                <w:rFonts w:hint="eastAsia"/>
              </w:rPr>
              <w:t>递延所得税资产</w:t>
            </w:r>
          </w:p>
        </w:tc>
        <w:tc>
          <w:tcPr>
            <w:tcW w:w="1384" w:type="dxa"/>
            <w:vAlign w:val="center"/>
          </w:tcPr>
          <w:p w14:paraId="725F7F01">
            <w:pPr>
              <w:jc w:val="right"/>
            </w:pPr>
            <w:r>
              <w:rPr>
                <w:rFonts w:hint="eastAsia"/>
              </w:rPr>
              <w:t>-</w:t>
            </w:r>
          </w:p>
        </w:tc>
        <w:tc>
          <w:tcPr>
            <w:tcW w:w="1384" w:type="dxa"/>
            <w:vAlign w:val="center"/>
          </w:tcPr>
          <w:p w14:paraId="426E0D65">
            <w:pPr>
              <w:jc w:val="right"/>
            </w:pPr>
            <w:r>
              <w:rPr>
                <w:rFonts w:hint="eastAsia"/>
              </w:rPr>
              <w:t>-</w:t>
            </w:r>
          </w:p>
        </w:tc>
        <w:tc>
          <w:tcPr>
            <w:tcW w:w="1384" w:type="dxa"/>
            <w:vAlign w:val="center"/>
          </w:tcPr>
          <w:p w14:paraId="5F1FF67C">
            <w:pPr>
              <w:jc w:val="right"/>
            </w:pPr>
            <w:r>
              <w:rPr>
                <w:rFonts w:hint="eastAsia"/>
              </w:rPr>
              <w:t>-</w:t>
            </w:r>
          </w:p>
        </w:tc>
        <w:tc>
          <w:tcPr>
            <w:tcW w:w="1384" w:type="dxa"/>
            <w:vAlign w:val="center"/>
          </w:tcPr>
          <w:p w14:paraId="2EE2E716">
            <w:pPr>
              <w:jc w:val="right"/>
            </w:pPr>
            <w:r>
              <w:rPr>
                <w:rFonts w:hint="eastAsia"/>
              </w:rPr>
              <w:t>-</w:t>
            </w:r>
          </w:p>
        </w:tc>
        <w:tc>
          <w:tcPr>
            <w:tcW w:w="1384" w:type="dxa"/>
            <w:vAlign w:val="center"/>
          </w:tcPr>
          <w:p w14:paraId="19F24E5D">
            <w:pPr>
              <w:jc w:val="right"/>
            </w:pPr>
            <w:r>
              <w:rPr>
                <w:rFonts w:hint="eastAsia"/>
              </w:rPr>
              <w:t>-</w:t>
            </w:r>
          </w:p>
        </w:tc>
      </w:tr>
      <w:tr w14:paraId="3918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37D77">
            <w:r>
              <w:rPr>
                <w:rFonts w:hint="eastAsia"/>
              </w:rPr>
              <w:t>其他资产</w:t>
            </w:r>
          </w:p>
        </w:tc>
        <w:tc>
          <w:tcPr>
            <w:tcW w:w="1384" w:type="dxa"/>
            <w:vAlign w:val="center"/>
          </w:tcPr>
          <w:p w14:paraId="1039DA7C">
            <w:pPr>
              <w:jc w:val="right"/>
            </w:pPr>
            <w:r>
              <w:rPr>
                <w:rFonts w:hint="eastAsia"/>
              </w:rPr>
              <w:t>-</w:t>
            </w:r>
          </w:p>
        </w:tc>
        <w:tc>
          <w:tcPr>
            <w:tcW w:w="1384" w:type="dxa"/>
            <w:vAlign w:val="center"/>
          </w:tcPr>
          <w:p w14:paraId="22D4A13F">
            <w:pPr>
              <w:jc w:val="right"/>
            </w:pPr>
            <w:r>
              <w:rPr>
                <w:rFonts w:hint="eastAsia"/>
              </w:rPr>
              <w:t>-</w:t>
            </w:r>
          </w:p>
        </w:tc>
        <w:tc>
          <w:tcPr>
            <w:tcW w:w="1384" w:type="dxa"/>
            <w:vAlign w:val="center"/>
          </w:tcPr>
          <w:p w14:paraId="5B4303A3">
            <w:pPr>
              <w:jc w:val="right"/>
            </w:pPr>
            <w:r>
              <w:rPr>
                <w:rFonts w:hint="eastAsia"/>
              </w:rPr>
              <w:t>-</w:t>
            </w:r>
          </w:p>
        </w:tc>
        <w:tc>
          <w:tcPr>
            <w:tcW w:w="1384" w:type="dxa"/>
            <w:vAlign w:val="center"/>
          </w:tcPr>
          <w:p w14:paraId="023FD0E0">
            <w:pPr>
              <w:jc w:val="right"/>
            </w:pPr>
            <w:r>
              <w:rPr>
                <w:rFonts w:hint="eastAsia"/>
              </w:rPr>
              <w:t>56,496.71</w:t>
            </w:r>
          </w:p>
        </w:tc>
        <w:tc>
          <w:tcPr>
            <w:tcW w:w="1384" w:type="dxa"/>
            <w:vAlign w:val="center"/>
          </w:tcPr>
          <w:p w14:paraId="5FF1A491">
            <w:pPr>
              <w:jc w:val="right"/>
            </w:pPr>
            <w:r>
              <w:rPr>
                <w:rFonts w:hint="eastAsia"/>
              </w:rPr>
              <w:t>56,496.71</w:t>
            </w:r>
          </w:p>
        </w:tc>
      </w:tr>
      <w:tr w14:paraId="708A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519D9">
            <w:r>
              <w:rPr>
                <w:rFonts w:hint="eastAsia"/>
              </w:rPr>
              <w:t>资产总计</w:t>
            </w:r>
          </w:p>
        </w:tc>
        <w:tc>
          <w:tcPr>
            <w:tcW w:w="1384" w:type="dxa"/>
            <w:vAlign w:val="center"/>
          </w:tcPr>
          <w:p w14:paraId="4E39C798">
            <w:pPr>
              <w:jc w:val="right"/>
            </w:pPr>
            <w:r>
              <w:rPr>
                <w:rFonts w:hint="eastAsia"/>
              </w:rPr>
              <w:t>89,795,210.87</w:t>
            </w:r>
          </w:p>
        </w:tc>
        <w:tc>
          <w:tcPr>
            <w:tcW w:w="1384" w:type="dxa"/>
            <w:vAlign w:val="center"/>
          </w:tcPr>
          <w:p w14:paraId="598B5247">
            <w:pPr>
              <w:jc w:val="right"/>
            </w:pPr>
            <w:r>
              <w:rPr>
                <w:rFonts w:hint="eastAsia"/>
              </w:rPr>
              <w:t>-</w:t>
            </w:r>
          </w:p>
        </w:tc>
        <w:tc>
          <w:tcPr>
            <w:tcW w:w="1384" w:type="dxa"/>
            <w:vAlign w:val="center"/>
          </w:tcPr>
          <w:p w14:paraId="459D37F5">
            <w:pPr>
              <w:jc w:val="right"/>
            </w:pPr>
            <w:r>
              <w:rPr>
                <w:rFonts w:hint="eastAsia"/>
              </w:rPr>
              <w:t>-</w:t>
            </w:r>
          </w:p>
        </w:tc>
        <w:tc>
          <w:tcPr>
            <w:tcW w:w="1384" w:type="dxa"/>
            <w:vAlign w:val="center"/>
          </w:tcPr>
          <w:p w14:paraId="60CF8227">
            <w:pPr>
              <w:jc w:val="right"/>
            </w:pPr>
            <w:r>
              <w:rPr>
                <w:rFonts w:hint="eastAsia"/>
              </w:rPr>
              <w:t>1,568,596,189.08</w:t>
            </w:r>
          </w:p>
        </w:tc>
        <w:tc>
          <w:tcPr>
            <w:tcW w:w="1384" w:type="dxa"/>
            <w:vAlign w:val="center"/>
          </w:tcPr>
          <w:p w14:paraId="1C40BE35">
            <w:pPr>
              <w:jc w:val="right"/>
            </w:pPr>
            <w:r>
              <w:rPr>
                <w:rFonts w:hint="eastAsia"/>
              </w:rPr>
              <w:t>1,658,391,399.95</w:t>
            </w:r>
          </w:p>
        </w:tc>
      </w:tr>
      <w:tr w14:paraId="55F5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BFB8C">
            <w:r>
              <w:rPr>
                <w:rFonts w:hint="eastAsia"/>
              </w:rPr>
              <w:t>负债</w:t>
            </w:r>
          </w:p>
        </w:tc>
        <w:tc>
          <w:tcPr>
            <w:tcW w:w="1384" w:type="dxa"/>
            <w:vAlign w:val="center"/>
          </w:tcPr>
          <w:p w14:paraId="08E85185"/>
        </w:tc>
        <w:tc>
          <w:tcPr>
            <w:tcW w:w="1384" w:type="dxa"/>
            <w:vAlign w:val="center"/>
          </w:tcPr>
          <w:p w14:paraId="7D17FDBF"/>
        </w:tc>
        <w:tc>
          <w:tcPr>
            <w:tcW w:w="1384" w:type="dxa"/>
            <w:vAlign w:val="center"/>
          </w:tcPr>
          <w:p w14:paraId="10158CC3"/>
        </w:tc>
        <w:tc>
          <w:tcPr>
            <w:tcW w:w="1384" w:type="dxa"/>
            <w:vAlign w:val="center"/>
          </w:tcPr>
          <w:p w14:paraId="6EEB8F23"/>
        </w:tc>
        <w:tc>
          <w:tcPr>
            <w:tcW w:w="1384" w:type="dxa"/>
            <w:vAlign w:val="center"/>
          </w:tcPr>
          <w:p w14:paraId="55849B55"/>
        </w:tc>
      </w:tr>
      <w:tr w14:paraId="0854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DD062">
            <w:r>
              <w:rPr>
                <w:rFonts w:hint="eastAsia"/>
              </w:rPr>
              <w:t>短期借款</w:t>
            </w:r>
          </w:p>
        </w:tc>
        <w:tc>
          <w:tcPr>
            <w:tcW w:w="1384" w:type="dxa"/>
            <w:vAlign w:val="center"/>
          </w:tcPr>
          <w:p w14:paraId="66EFD92B">
            <w:pPr>
              <w:jc w:val="right"/>
            </w:pPr>
            <w:r>
              <w:rPr>
                <w:rFonts w:hint="eastAsia"/>
              </w:rPr>
              <w:t>-</w:t>
            </w:r>
          </w:p>
        </w:tc>
        <w:tc>
          <w:tcPr>
            <w:tcW w:w="1384" w:type="dxa"/>
            <w:vAlign w:val="center"/>
          </w:tcPr>
          <w:p w14:paraId="0F9FAFCF">
            <w:pPr>
              <w:jc w:val="right"/>
            </w:pPr>
            <w:r>
              <w:rPr>
                <w:rFonts w:hint="eastAsia"/>
              </w:rPr>
              <w:t>-</w:t>
            </w:r>
          </w:p>
        </w:tc>
        <w:tc>
          <w:tcPr>
            <w:tcW w:w="1384" w:type="dxa"/>
            <w:vAlign w:val="center"/>
          </w:tcPr>
          <w:p w14:paraId="4F1028E6">
            <w:pPr>
              <w:jc w:val="right"/>
            </w:pPr>
            <w:r>
              <w:rPr>
                <w:rFonts w:hint="eastAsia"/>
              </w:rPr>
              <w:t>-</w:t>
            </w:r>
          </w:p>
        </w:tc>
        <w:tc>
          <w:tcPr>
            <w:tcW w:w="1384" w:type="dxa"/>
            <w:vAlign w:val="center"/>
          </w:tcPr>
          <w:p w14:paraId="68E014EF">
            <w:pPr>
              <w:jc w:val="right"/>
            </w:pPr>
            <w:r>
              <w:rPr>
                <w:rFonts w:hint="eastAsia"/>
              </w:rPr>
              <w:t>-</w:t>
            </w:r>
          </w:p>
        </w:tc>
        <w:tc>
          <w:tcPr>
            <w:tcW w:w="1384" w:type="dxa"/>
            <w:vAlign w:val="center"/>
          </w:tcPr>
          <w:p w14:paraId="249F0567">
            <w:pPr>
              <w:jc w:val="right"/>
            </w:pPr>
            <w:r>
              <w:rPr>
                <w:rFonts w:hint="eastAsia"/>
              </w:rPr>
              <w:t>-</w:t>
            </w:r>
          </w:p>
        </w:tc>
      </w:tr>
      <w:tr w14:paraId="7FF4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5049F">
            <w:r>
              <w:rPr>
                <w:rFonts w:hint="eastAsia"/>
              </w:rPr>
              <w:t>交易性金融负债</w:t>
            </w:r>
          </w:p>
        </w:tc>
        <w:tc>
          <w:tcPr>
            <w:tcW w:w="1384" w:type="dxa"/>
            <w:vAlign w:val="center"/>
          </w:tcPr>
          <w:p w14:paraId="0CCFBA23">
            <w:pPr>
              <w:jc w:val="right"/>
            </w:pPr>
            <w:r>
              <w:rPr>
                <w:rFonts w:hint="eastAsia"/>
              </w:rPr>
              <w:t>-</w:t>
            </w:r>
          </w:p>
        </w:tc>
        <w:tc>
          <w:tcPr>
            <w:tcW w:w="1384" w:type="dxa"/>
            <w:vAlign w:val="center"/>
          </w:tcPr>
          <w:p w14:paraId="6D96361B">
            <w:pPr>
              <w:jc w:val="right"/>
            </w:pPr>
            <w:r>
              <w:rPr>
                <w:rFonts w:hint="eastAsia"/>
              </w:rPr>
              <w:t>-</w:t>
            </w:r>
          </w:p>
        </w:tc>
        <w:tc>
          <w:tcPr>
            <w:tcW w:w="1384" w:type="dxa"/>
            <w:vAlign w:val="center"/>
          </w:tcPr>
          <w:p w14:paraId="2E2E8D71">
            <w:pPr>
              <w:jc w:val="right"/>
            </w:pPr>
            <w:r>
              <w:rPr>
                <w:rFonts w:hint="eastAsia"/>
              </w:rPr>
              <w:t>-</w:t>
            </w:r>
          </w:p>
        </w:tc>
        <w:tc>
          <w:tcPr>
            <w:tcW w:w="1384" w:type="dxa"/>
            <w:vAlign w:val="center"/>
          </w:tcPr>
          <w:p w14:paraId="42FA2C1A">
            <w:pPr>
              <w:jc w:val="right"/>
            </w:pPr>
            <w:r>
              <w:rPr>
                <w:rFonts w:hint="eastAsia"/>
              </w:rPr>
              <w:t>-</w:t>
            </w:r>
          </w:p>
        </w:tc>
        <w:tc>
          <w:tcPr>
            <w:tcW w:w="1384" w:type="dxa"/>
            <w:vAlign w:val="center"/>
          </w:tcPr>
          <w:p w14:paraId="4E41CCA1">
            <w:pPr>
              <w:jc w:val="right"/>
            </w:pPr>
            <w:r>
              <w:rPr>
                <w:rFonts w:hint="eastAsia"/>
              </w:rPr>
              <w:t>-</w:t>
            </w:r>
          </w:p>
        </w:tc>
      </w:tr>
      <w:tr w14:paraId="43AB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D1979">
            <w:r>
              <w:rPr>
                <w:rFonts w:hint="eastAsia"/>
              </w:rPr>
              <w:t>衍生金融负债</w:t>
            </w:r>
          </w:p>
        </w:tc>
        <w:tc>
          <w:tcPr>
            <w:tcW w:w="1384" w:type="dxa"/>
            <w:vAlign w:val="center"/>
          </w:tcPr>
          <w:p w14:paraId="025D4E8A">
            <w:pPr>
              <w:jc w:val="right"/>
            </w:pPr>
            <w:r>
              <w:rPr>
                <w:rFonts w:hint="eastAsia"/>
              </w:rPr>
              <w:t>-</w:t>
            </w:r>
          </w:p>
        </w:tc>
        <w:tc>
          <w:tcPr>
            <w:tcW w:w="1384" w:type="dxa"/>
            <w:vAlign w:val="center"/>
          </w:tcPr>
          <w:p w14:paraId="5E071B40">
            <w:pPr>
              <w:jc w:val="right"/>
            </w:pPr>
            <w:r>
              <w:rPr>
                <w:rFonts w:hint="eastAsia"/>
              </w:rPr>
              <w:t>-</w:t>
            </w:r>
          </w:p>
        </w:tc>
        <w:tc>
          <w:tcPr>
            <w:tcW w:w="1384" w:type="dxa"/>
            <w:vAlign w:val="center"/>
          </w:tcPr>
          <w:p w14:paraId="04E5099A">
            <w:pPr>
              <w:jc w:val="right"/>
            </w:pPr>
            <w:r>
              <w:rPr>
                <w:rFonts w:hint="eastAsia"/>
              </w:rPr>
              <w:t>-</w:t>
            </w:r>
          </w:p>
        </w:tc>
        <w:tc>
          <w:tcPr>
            <w:tcW w:w="1384" w:type="dxa"/>
            <w:vAlign w:val="center"/>
          </w:tcPr>
          <w:p w14:paraId="166A1C7D">
            <w:pPr>
              <w:jc w:val="right"/>
            </w:pPr>
            <w:r>
              <w:rPr>
                <w:rFonts w:hint="eastAsia"/>
              </w:rPr>
              <w:t>-</w:t>
            </w:r>
          </w:p>
        </w:tc>
        <w:tc>
          <w:tcPr>
            <w:tcW w:w="1384" w:type="dxa"/>
            <w:vAlign w:val="center"/>
          </w:tcPr>
          <w:p w14:paraId="36F0A82B">
            <w:pPr>
              <w:jc w:val="right"/>
            </w:pPr>
            <w:r>
              <w:rPr>
                <w:rFonts w:hint="eastAsia"/>
              </w:rPr>
              <w:t>-</w:t>
            </w:r>
          </w:p>
        </w:tc>
      </w:tr>
      <w:tr w14:paraId="2BD4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890B3">
            <w:r>
              <w:rPr>
                <w:rFonts w:hint="eastAsia"/>
              </w:rPr>
              <w:t>卖出回购金融资产款</w:t>
            </w:r>
          </w:p>
        </w:tc>
        <w:tc>
          <w:tcPr>
            <w:tcW w:w="1384" w:type="dxa"/>
            <w:vAlign w:val="center"/>
          </w:tcPr>
          <w:p w14:paraId="7F242CA9">
            <w:pPr>
              <w:jc w:val="right"/>
            </w:pPr>
            <w:r>
              <w:rPr>
                <w:rFonts w:hint="eastAsia"/>
              </w:rPr>
              <w:t>-</w:t>
            </w:r>
          </w:p>
        </w:tc>
        <w:tc>
          <w:tcPr>
            <w:tcW w:w="1384" w:type="dxa"/>
            <w:vAlign w:val="center"/>
          </w:tcPr>
          <w:p w14:paraId="4E8FED37">
            <w:pPr>
              <w:jc w:val="right"/>
            </w:pPr>
            <w:r>
              <w:rPr>
                <w:rFonts w:hint="eastAsia"/>
              </w:rPr>
              <w:t>-</w:t>
            </w:r>
          </w:p>
        </w:tc>
        <w:tc>
          <w:tcPr>
            <w:tcW w:w="1384" w:type="dxa"/>
            <w:vAlign w:val="center"/>
          </w:tcPr>
          <w:p w14:paraId="1DB036CF">
            <w:pPr>
              <w:jc w:val="right"/>
            </w:pPr>
            <w:r>
              <w:rPr>
                <w:rFonts w:hint="eastAsia"/>
              </w:rPr>
              <w:t>-</w:t>
            </w:r>
          </w:p>
        </w:tc>
        <w:tc>
          <w:tcPr>
            <w:tcW w:w="1384" w:type="dxa"/>
            <w:vAlign w:val="center"/>
          </w:tcPr>
          <w:p w14:paraId="185510E7">
            <w:pPr>
              <w:jc w:val="right"/>
            </w:pPr>
            <w:r>
              <w:rPr>
                <w:rFonts w:hint="eastAsia"/>
              </w:rPr>
              <w:t>-</w:t>
            </w:r>
          </w:p>
        </w:tc>
        <w:tc>
          <w:tcPr>
            <w:tcW w:w="1384" w:type="dxa"/>
            <w:vAlign w:val="center"/>
          </w:tcPr>
          <w:p w14:paraId="79C64C83">
            <w:pPr>
              <w:jc w:val="right"/>
            </w:pPr>
            <w:r>
              <w:rPr>
                <w:rFonts w:hint="eastAsia"/>
              </w:rPr>
              <w:t>-</w:t>
            </w:r>
          </w:p>
        </w:tc>
      </w:tr>
      <w:tr w14:paraId="5BC0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E245A">
            <w:r>
              <w:rPr>
                <w:rFonts w:hint="eastAsia"/>
              </w:rPr>
              <w:t>应付清算款</w:t>
            </w:r>
          </w:p>
        </w:tc>
        <w:tc>
          <w:tcPr>
            <w:tcW w:w="1384" w:type="dxa"/>
            <w:vAlign w:val="center"/>
          </w:tcPr>
          <w:p w14:paraId="373C2BD2">
            <w:pPr>
              <w:jc w:val="right"/>
            </w:pPr>
            <w:r>
              <w:rPr>
                <w:rFonts w:hint="eastAsia"/>
              </w:rPr>
              <w:t>-</w:t>
            </w:r>
          </w:p>
        </w:tc>
        <w:tc>
          <w:tcPr>
            <w:tcW w:w="1384" w:type="dxa"/>
            <w:vAlign w:val="center"/>
          </w:tcPr>
          <w:p w14:paraId="5869BFE1">
            <w:pPr>
              <w:jc w:val="right"/>
            </w:pPr>
            <w:r>
              <w:rPr>
                <w:rFonts w:hint="eastAsia"/>
              </w:rPr>
              <w:t>-</w:t>
            </w:r>
          </w:p>
        </w:tc>
        <w:tc>
          <w:tcPr>
            <w:tcW w:w="1384" w:type="dxa"/>
            <w:vAlign w:val="center"/>
          </w:tcPr>
          <w:p w14:paraId="3F2F191F">
            <w:pPr>
              <w:jc w:val="right"/>
            </w:pPr>
            <w:r>
              <w:rPr>
                <w:rFonts w:hint="eastAsia"/>
              </w:rPr>
              <w:t>-</w:t>
            </w:r>
          </w:p>
        </w:tc>
        <w:tc>
          <w:tcPr>
            <w:tcW w:w="1384" w:type="dxa"/>
            <w:vAlign w:val="center"/>
          </w:tcPr>
          <w:p w14:paraId="2C0741A3">
            <w:pPr>
              <w:jc w:val="right"/>
            </w:pPr>
            <w:r>
              <w:rPr>
                <w:rFonts w:hint="eastAsia"/>
              </w:rPr>
              <w:t>-</w:t>
            </w:r>
          </w:p>
        </w:tc>
        <w:tc>
          <w:tcPr>
            <w:tcW w:w="1384" w:type="dxa"/>
            <w:vAlign w:val="center"/>
          </w:tcPr>
          <w:p w14:paraId="4208E70D">
            <w:pPr>
              <w:jc w:val="right"/>
            </w:pPr>
            <w:r>
              <w:rPr>
                <w:rFonts w:hint="eastAsia"/>
              </w:rPr>
              <w:t>-</w:t>
            </w:r>
          </w:p>
        </w:tc>
      </w:tr>
      <w:tr w14:paraId="2677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8A07A">
            <w:r>
              <w:rPr>
                <w:rFonts w:hint="eastAsia"/>
              </w:rPr>
              <w:t>应付赎回款</w:t>
            </w:r>
          </w:p>
        </w:tc>
        <w:tc>
          <w:tcPr>
            <w:tcW w:w="1384" w:type="dxa"/>
            <w:vAlign w:val="center"/>
          </w:tcPr>
          <w:p w14:paraId="4AA84528">
            <w:pPr>
              <w:jc w:val="right"/>
            </w:pPr>
            <w:r>
              <w:rPr>
                <w:rFonts w:hint="eastAsia"/>
              </w:rPr>
              <w:t>-</w:t>
            </w:r>
          </w:p>
        </w:tc>
        <w:tc>
          <w:tcPr>
            <w:tcW w:w="1384" w:type="dxa"/>
            <w:vAlign w:val="center"/>
          </w:tcPr>
          <w:p w14:paraId="6E9AB9F0">
            <w:pPr>
              <w:jc w:val="right"/>
            </w:pPr>
            <w:r>
              <w:rPr>
                <w:rFonts w:hint="eastAsia"/>
              </w:rPr>
              <w:t>-</w:t>
            </w:r>
          </w:p>
        </w:tc>
        <w:tc>
          <w:tcPr>
            <w:tcW w:w="1384" w:type="dxa"/>
            <w:vAlign w:val="center"/>
          </w:tcPr>
          <w:p w14:paraId="1FBC7ED2">
            <w:pPr>
              <w:jc w:val="right"/>
            </w:pPr>
            <w:r>
              <w:rPr>
                <w:rFonts w:hint="eastAsia"/>
              </w:rPr>
              <w:t>-</w:t>
            </w:r>
          </w:p>
        </w:tc>
        <w:tc>
          <w:tcPr>
            <w:tcW w:w="1384" w:type="dxa"/>
            <w:vAlign w:val="center"/>
          </w:tcPr>
          <w:p w14:paraId="33C0950A">
            <w:pPr>
              <w:jc w:val="right"/>
            </w:pPr>
            <w:r>
              <w:rPr>
                <w:rFonts w:hint="eastAsia"/>
              </w:rPr>
              <w:t>79,589,801.42</w:t>
            </w:r>
          </w:p>
        </w:tc>
        <w:tc>
          <w:tcPr>
            <w:tcW w:w="1384" w:type="dxa"/>
            <w:vAlign w:val="center"/>
          </w:tcPr>
          <w:p w14:paraId="1348093A">
            <w:pPr>
              <w:jc w:val="right"/>
            </w:pPr>
            <w:r>
              <w:rPr>
                <w:rFonts w:hint="eastAsia"/>
              </w:rPr>
              <w:t>79,589,801.42</w:t>
            </w:r>
          </w:p>
        </w:tc>
      </w:tr>
      <w:tr w14:paraId="744D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65C8F">
            <w:r>
              <w:rPr>
                <w:rFonts w:hint="eastAsia"/>
              </w:rPr>
              <w:t>应付管理人报酬</w:t>
            </w:r>
          </w:p>
        </w:tc>
        <w:tc>
          <w:tcPr>
            <w:tcW w:w="1384" w:type="dxa"/>
            <w:vAlign w:val="center"/>
          </w:tcPr>
          <w:p w14:paraId="5D299432">
            <w:pPr>
              <w:jc w:val="right"/>
            </w:pPr>
            <w:r>
              <w:rPr>
                <w:rFonts w:hint="eastAsia"/>
              </w:rPr>
              <w:t>-</w:t>
            </w:r>
          </w:p>
        </w:tc>
        <w:tc>
          <w:tcPr>
            <w:tcW w:w="1384" w:type="dxa"/>
            <w:vAlign w:val="center"/>
          </w:tcPr>
          <w:p w14:paraId="09BECEDD">
            <w:pPr>
              <w:jc w:val="right"/>
            </w:pPr>
            <w:r>
              <w:rPr>
                <w:rFonts w:hint="eastAsia"/>
              </w:rPr>
              <w:t>-</w:t>
            </w:r>
          </w:p>
        </w:tc>
        <w:tc>
          <w:tcPr>
            <w:tcW w:w="1384" w:type="dxa"/>
            <w:vAlign w:val="center"/>
          </w:tcPr>
          <w:p w14:paraId="6DC80FAA">
            <w:pPr>
              <w:jc w:val="right"/>
            </w:pPr>
            <w:r>
              <w:rPr>
                <w:rFonts w:hint="eastAsia"/>
              </w:rPr>
              <w:t>-</w:t>
            </w:r>
          </w:p>
        </w:tc>
        <w:tc>
          <w:tcPr>
            <w:tcW w:w="1384" w:type="dxa"/>
            <w:vAlign w:val="center"/>
          </w:tcPr>
          <w:p w14:paraId="0728C1C3">
            <w:pPr>
              <w:jc w:val="right"/>
            </w:pPr>
            <w:r>
              <w:rPr>
                <w:rFonts w:hint="eastAsia"/>
              </w:rPr>
              <w:t>389,365.62</w:t>
            </w:r>
          </w:p>
        </w:tc>
        <w:tc>
          <w:tcPr>
            <w:tcW w:w="1384" w:type="dxa"/>
            <w:vAlign w:val="center"/>
          </w:tcPr>
          <w:p w14:paraId="2CF8275D">
            <w:pPr>
              <w:jc w:val="right"/>
            </w:pPr>
            <w:r>
              <w:rPr>
                <w:rFonts w:hint="eastAsia"/>
              </w:rPr>
              <w:t>389,365.62</w:t>
            </w:r>
          </w:p>
        </w:tc>
      </w:tr>
      <w:tr w14:paraId="172B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01CCE">
            <w:r>
              <w:rPr>
                <w:rFonts w:hint="eastAsia"/>
              </w:rPr>
              <w:t>应付托管费</w:t>
            </w:r>
          </w:p>
        </w:tc>
        <w:tc>
          <w:tcPr>
            <w:tcW w:w="1384" w:type="dxa"/>
            <w:vAlign w:val="center"/>
          </w:tcPr>
          <w:p w14:paraId="0EC5549D">
            <w:pPr>
              <w:jc w:val="right"/>
            </w:pPr>
            <w:r>
              <w:rPr>
                <w:rFonts w:hint="eastAsia"/>
              </w:rPr>
              <w:t>-</w:t>
            </w:r>
          </w:p>
        </w:tc>
        <w:tc>
          <w:tcPr>
            <w:tcW w:w="1384" w:type="dxa"/>
            <w:vAlign w:val="center"/>
          </w:tcPr>
          <w:p w14:paraId="33ADDE2E">
            <w:pPr>
              <w:jc w:val="right"/>
            </w:pPr>
            <w:r>
              <w:rPr>
                <w:rFonts w:hint="eastAsia"/>
              </w:rPr>
              <w:t>-</w:t>
            </w:r>
          </w:p>
        </w:tc>
        <w:tc>
          <w:tcPr>
            <w:tcW w:w="1384" w:type="dxa"/>
            <w:vAlign w:val="center"/>
          </w:tcPr>
          <w:p w14:paraId="2530AD6F">
            <w:pPr>
              <w:jc w:val="right"/>
            </w:pPr>
            <w:r>
              <w:rPr>
                <w:rFonts w:hint="eastAsia"/>
              </w:rPr>
              <w:t>-</w:t>
            </w:r>
          </w:p>
        </w:tc>
        <w:tc>
          <w:tcPr>
            <w:tcW w:w="1384" w:type="dxa"/>
            <w:vAlign w:val="center"/>
          </w:tcPr>
          <w:p w14:paraId="1E5AD643">
            <w:pPr>
              <w:jc w:val="right"/>
            </w:pPr>
            <w:r>
              <w:rPr>
                <w:rFonts w:hint="eastAsia"/>
              </w:rPr>
              <w:t>140,384.26</w:t>
            </w:r>
          </w:p>
        </w:tc>
        <w:tc>
          <w:tcPr>
            <w:tcW w:w="1384" w:type="dxa"/>
            <w:vAlign w:val="center"/>
          </w:tcPr>
          <w:p w14:paraId="54010179">
            <w:pPr>
              <w:jc w:val="right"/>
            </w:pPr>
            <w:r>
              <w:rPr>
                <w:rFonts w:hint="eastAsia"/>
              </w:rPr>
              <w:t>140,384.26</w:t>
            </w:r>
          </w:p>
        </w:tc>
      </w:tr>
      <w:tr w14:paraId="28B6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52B83">
            <w:r>
              <w:rPr>
                <w:rFonts w:hint="eastAsia"/>
              </w:rPr>
              <w:t>应付销售服务费</w:t>
            </w:r>
          </w:p>
        </w:tc>
        <w:tc>
          <w:tcPr>
            <w:tcW w:w="1384" w:type="dxa"/>
            <w:vAlign w:val="center"/>
          </w:tcPr>
          <w:p w14:paraId="52ECD267">
            <w:pPr>
              <w:jc w:val="right"/>
            </w:pPr>
            <w:r>
              <w:rPr>
                <w:rFonts w:hint="eastAsia"/>
              </w:rPr>
              <w:t>-</w:t>
            </w:r>
          </w:p>
        </w:tc>
        <w:tc>
          <w:tcPr>
            <w:tcW w:w="1384" w:type="dxa"/>
            <w:vAlign w:val="center"/>
          </w:tcPr>
          <w:p w14:paraId="222E6F7C">
            <w:pPr>
              <w:jc w:val="right"/>
            </w:pPr>
            <w:r>
              <w:rPr>
                <w:rFonts w:hint="eastAsia"/>
              </w:rPr>
              <w:t>-</w:t>
            </w:r>
          </w:p>
        </w:tc>
        <w:tc>
          <w:tcPr>
            <w:tcW w:w="1384" w:type="dxa"/>
            <w:vAlign w:val="center"/>
          </w:tcPr>
          <w:p w14:paraId="1CD3237A">
            <w:pPr>
              <w:jc w:val="right"/>
            </w:pPr>
            <w:r>
              <w:rPr>
                <w:rFonts w:hint="eastAsia"/>
              </w:rPr>
              <w:t>-</w:t>
            </w:r>
          </w:p>
        </w:tc>
        <w:tc>
          <w:tcPr>
            <w:tcW w:w="1384" w:type="dxa"/>
            <w:vAlign w:val="center"/>
          </w:tcPr>
          <w:p w14:paraId="490ABA95">
            <w:pPr>
              <w:jc w:val="right"/>
            </w:pPr>
            <w:r>
              <w:rPr>
                <w:rFonts w:hint="eastAsia"/>
              </w:rPr>
              <w:t>307,053.07</w:t>
            </w:r>
          </w:p>
        </w:tc>
        <w:tc>
          <w:tcPr>
            <w:tcW w:w="1384" w:type="dxa"/>
            <w:vAlign w:val="center"/>
          </w:tcPr>
          <w:p w14:paraId="4C2BEBF3">
            <w:pPr>
              <w:jc w:val="right"/>
            </w:pPr>
            <w:r>
              <w:rPr>
                <w:rFonts w:hint="eastAsia"/>
              </w:rPr>
              <w:t>307,053.07</w:t>
            </w:r>
          </w:p>
        </w:tc>
      </w:tr>
      <w:tr w14:paraId="3F89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450EF">
            <w:r>
              <w:rPr>
                <w:rFonts w:hint="eastAsia"/>
              </w:rPr>
              <w:t>应付投资顾问费</w:t>
            </w:r>
          </w:p>
        </w:tc>
        <w:tc>
          <w:tcPr>
            <w:tcW w:w="1384" w:type="dxa"/>
            <w:vAlign w:val="center"/>
          </w:tcPr>
          <w:p w14:paraId="3E10D3F9">
            <w:pPr>
              <w:jc w:val="right"/>
            </w:pPr>
            <w:r>
              <w:rPr>
                <w:rFonts w:hint="eastAsia"/>
              </w:rPr>
              <w:t>-</w:t>
            </w:r>
          </w:p>
        </w:tc>
        <w:tc>
          <w:tcPr>
            <w:tcW w:w="1384" w:type="dxa"/>
            <w:vAlign w:val="center"/>
          </w:tcPr>
          <w:p w14:paraId="020B7B3F">
            <w:pPr>
              <w:jc w:val="right"/>
            </w:pPr>
            <w:r>
              <w:rPr>
                <w:rFonts w:hint="eastAsia"/>
              </w:rPr>
              <w:t>-</w:t>
            </w:r>
          </w:p>
        </w:tc>
        <w:tc>
          <w:tcPr>
            <w:tcW w:w="1384" w:type="dxa"/>
            <w:vAlign w:val="center"/>
          </w:tcPr>
          <w:p w14:paraId="16A3CA50">
            <w:pPr>
              <w:jc w:val="right"/>
            </w:pPr>
            <w:r>
              <w:rPr>
                <w:rFonts w:hint="eastAsia"/>
              </w:rPr>
              <w:t>-</w:t>
            </w:r>
          </w:p>
        </w:tc>
        <w:tc>
          <w:tcPr>
            <w:tcW w:w="1384" w:type="dxa"/>
            <w:vAlign w:val="center"/>
          </w:tcPr>
          <w:p w14:paraId="33EF5AAE">
            <w:pPr>
              <w:jc w:val="right"/>
            </w:pPr>
            <w:r>
              <w:rPr>
                <w:rFonts w:hint="eastAsia"/>
              </w:rPr>
              <w:t>-</w:t>
            </w:r>
          </w:p>
        </w:tc>
        <w:tc>
          <w:tcPr>
            <w:tcW w:w="1384" w:type="dxa"/>
            <w:vAlign w:val="center"/>
          </w:tcPr>
          <w:p w14:paraId="6E183E2C">
            <w:pPr>
              <w:jc w:val="right"/>
            </w:pPr>
            <w:r>
              <w:rPr>
                <w:rFonts w:hint="eastAsia"/>
              </w:rPr>
              <w:t>-</w:t>
            </w:r>
          </w:p>
        </w:tc>
      </w:tr>
      <w:tr w14:paraId="7F3C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E5399">
            <w:r>
              <w:rPr>
                <w:rFonts w:hint="eastAsia"/>
              </w:rPr>
              <w:t>应交税费</w:t>
            </w:r>
          </w:p>
        </w:tc>
        <w:tc>
          <w:tcPr>
            <w:tcW w:w="1384" w:type="dxa"/>
            <w:vAlign w:val="center"/>
          </w:tcPr>
          <w:p w14:paraId="21974DFB">
            <w:pPr>
              <w:jc w:val="right"/>
            </w:pPr>
            <w:r>
              <w:rPr>
                <w:rFonts w:hint="eastAsia"/>
              </w:rPr>
              <w:t>-</w:t>
            </w:r>
          </w:p>
        </w:tc>
        <w:tc>
          <w:tcPr>
            <w:tcW w:w="1384" w:type="dxa"/>
            <w:vAlign w:val="center"/>
          </w:tcPr>
          <w:p w14:paraId="47DBC4D7">
            <w:pPr>
              <w:jc w:val="right"/>
            </w:pPr>
            <w:r>
              <w:rPr>
                <w:rFonts w:hint="eastAsia"/>
              </w:rPr>
              <w:t>-</w:t>
            </w:r>
          </w:p>
        </w:tc>
        <w:tc>
          <w:tcPr>
            <w:tcW w:w="1384" w:type="dxa"/>
            <w:vAlign w:val="center"/>
          </w:tcPr>
          <w:p w14:paraId="43909D11">
            <w:pPr>
              <w:jc w:val="right"/>
            </w:pPr>
            <w:r>
              <w:rPr>
                <w:rFonts w:hint="eastAsia"/>
              </w:rPr>
              <w:t>-</w:t>
            </w:r>
          </w:p>
        </w:tc>
        <w:tc>
          <w:tcPr>
            <w:tcW w:w="1384" w:type="dxa"/>
            <w:vAlign w:val="center"/>
          </w:tcPr>
          <w:p w14:paraId="660EBAA5">
            <w:pPr>
              <w:jc w:val="right"/>
            </w:pPr>
            <w:r>
              <w:rPr>
                <w:rFonts w:hint="eastAsia"/>
              </w:rPr>
              <w:t>103,568.87</w:t>
            </w:r>
          </w:p>
        </w:tc>
        <w:tc>
          <w:tcPr>
            <w:tcW w:w="1384" w:type="dxa"/>
            <w:vAlign w:val="center"/>
          </w:tcPr>
          <w:p w14:paraId="48944377">
            <w:pPr>
              <w:jc w:val="right"/>
            </w:pPr>
            <w:r>
              <w:rPr>
                <w:rFonts w:hint="eastAsia"/>
              </w:rPr>
              <w:t>103,568.87</w:t>
            </w:r>
          </w:p>
        </w:tc>
      </w:tr>
      <w:tr w14:paraId="6F88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EE75B">
            <w:r>
              <w:rPr>
                <w:rFonts w:hint="eastAsia"/>
              </w:rPr>
              <w:t>应付利润</w:t>
            </w:r>
          </w:p>
        </w:tc>
        <w:tc>
          <w:tcPr>
            <w:tcW w:w="1384" w:type="dxa"/>
            <w:vAlign w:val="center"/>
          </w:tcPr>
          <w:p w14:paraId="2EE497D2">
            <w:pPr>
              <w:jc w:val="right"/>
            </w:pPr>
            <w:r>
              <w:rPr>
                <w:rFonts w:hint="eastAsia"/>
              </w:rPr>
              <w:t>-</w:t>
            </w:r>
          </w:p>
        </w:tc>
        <w:tc>
          <w:tcPr>
            <w:tcW w:w="1384" w:type="dxa"/>
            <w:vAlign w:val="center"/>
          </w:tcPr>
          <w:p w14:paraId="1CBCB0B3">
            <w:pPr>
              <w:jc w:val="right"/>
            </w:pPr>
            <w:r>
              <w:rPr>
                <w:rFonts w:hint="eastAsia"/>
              </w:rPr>
              <w:t>-</w:t>
            </w:r>
          </w:p>
        </w:tc>
        <w:tc>
          <w:tcPr>
            <w:tcW w:w="1384" w:type="dxa"/>
            <w:vAlign w:val="center"/>
          </w:tcPr>
          <w:p w14:paraId="0A425422">
            <w:pPr>
              <w:jc w:val="right"/>
            </w:pPr>
            <w:r>
              <w:rPr>
                <w:rFonts w:hint="eastAsia"/>
              </w:rPr>
              <w:t>-</w:t>
            </w:r>
          </w:p>
        </w:tc>
        <w:tc>
          <w:tcPr>
            <w:tcW w:w="1384" w:type="dxa"/>
            <w:vAlign w:val="center"/>
          </w:tcPr>
          <w:p w14:paraId="1C066CD5">
            <w:pPr>
              <w:jc w:val="right"/>
            </w:pPr>
            <w:r>
              <w:rPr>
                <w:rFonts w:hint="eastAsia"/>
              </w:rPr>
              <w:t>-</w:t>
            </w:r>
          </w:p>
        </w:tc>
        <w:tc>
          <w:tcPr>
            <w:tcW w:w="1384" w:type="dxa"/>
            <w:vAlign w:val="center"/>
          </w:tcPr>
          <w:p w14:paraId="174D6649">
            <w:pPr>
              <w:jc w:val="right"/>
            </w:pPr>
            <w:r>
              <w:rPr>
                <w:rFonts w:hint="eastAsia"/>
              </w:rPr>
              <w:t>-</w:t>
            </w:r>
          </w:p>
        </w:tc>
      </w:tr>
      <w:tr w14:paraId="283E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AFC66">
            <w:r>
              <w:rPr>
                <w:rFonts w:hint="eastAsia"/>
              </w:rPr>
              <w:t>递延所得税负债</w:t>
            </w:r>
          </w:p>
        </w:tc>
        <w:tc>
          <w:tcPr>
            <w:tcW w:w="1384" w:type="dxa"/>
            <w:vAlign w:val="center"/>
          </w:tcPr>
          <w:p w14:paraId="27166EE2">
            <w:pPr>
              <w:jc w:val="right"/>
            </w:pPr>
            <w:r>
              <w:rPr>
                <w:rFonts w:hint="eastAsia"/>
              </w:rPr>
              <w:t>-</w:t>
            </w:r>
          </w:p>
        </w:tc>
        <w:tc>
          <w:tcPr>
            <w:tcW w:w="1384" w:type="dxa"/>
            <w:vAlign w:val="center"/>
          </w:tcPr>
          <w:p w14:paraId="67329C45">
            <w:pPr>
              <w:jc w:val="right"/>
            </w:pPr>
            <w:r>
              <w:rPr>
                <w:rFonts w:hint="eastAsia"/>
              </w:rPr>
              <w:t>-</w:t>
            </w:r>
          </w:p>
        </w:tc>
        <w:tc>
          <w:tcPr>
            <w:tcW w:w="1384" w:type="dxa"/>
            <w:vAlign w:val="center"/>
          </w:tcPr>
          <w:p w14:paraId="48CC0AF6">
            <w:pPr>
              <w:jc w:val="right"/>
            </w:pPr>
            <w:r>
              <w:rPr>
                <w:rFonts w:hint="eastAsia"/>
              </w:rPr>
              <w:t>-</w:t>
            </w:r>
          </w:p>
        </w:tc>
        <w:tc>
          <w:tcPr>
            <w:tcW w:w="1384" w:type="dxa"/>
            <w:vAlign w:val="center"/>
          </w:tcPr>
          <w:p w14:paraId="62744D8A">
            <w:pPr>
              <w:jc w:val="right"/>
            </w:pPr>
            <w:r>
              <w:rPr>
                <w:rFonts w:hint="eastAsia"/>
              </w:rPr>
              <w:t>-</w:t>
            </w:r>
          </w:p>
        </w:tc>
        <w:tc>
          <w:tcPr>
            <w:tcW w:w="1384" w:type="dxa"/>
            <w:vAlign w:val="center"/>
          </w:tcPr>
          <w:p w14:paraId="15999CC0">
            <w:pPr>
              <w:jc w:val="right"/>
            </w:pPr>
            <w:r>
              <w:rPr>
                <w:rFonts w:hint="eastAsia"/>
              </w:rPr>
              <w:t>-</w:t>
            </w:r>
          </w:p>
        </w:tc>
      </w:tr>
      <w:tr w14:paraId="2FB2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8B4BA">
            <w:r>
              <w:rPr>
                <w:rFonts w:hint="eastAsia"/>
              </w:rPr>
              <w:t>其他负债</w:t>
            </w:r>
          </w:p>
        </w:tc>
        <w:tc>
          <w:tcPr>
            <w:tcW w:w="1384" w:type="dxa"/>
            <w:vAlign w:val="center"/>
          </w:tcPr>
          <w:p w14:paraId="574B34B9">
            <w:pPr>
              <w:jc w:val="right"/>
            </w:pPr>
            <w:r>
              <w:rPr>
                <w:rFonts w:hint="eastAsia"/>
              </w:rPr>
              <w:t>-</w:t>
            </w:r>
          </w:p>
        </w:tc>
        <w:tc>
          <w:tcPr>
            <w:tcW w:w="1384" w:type="dxa"/>
            <w:vAlign w:val="center"/>
          </w:tcPr>
          <w:p w14:paraId="5CE61946">
            <w:pPr>
              <w:jc w:val="right"/>
            </w:pPr>
            <w:r>
              <w:rPr>
                <w:rFonts w:hint="eastAsia"/>
              </w:rPr>
              <w:t>-</w:t>
            </w:r>
          </w:p>
        </w:tc>
        <w:tc>
          <w:tcPr>
            <w:tcW w:w="1384" w:type="dxa"/>
            <w:vAlign w:val="center"/>
          </w:tcPr>
          <w:p w14:paraId="7671A947">
            <w:pPr>
              <w:jc w:val="right"/>
            </w:pPr>
            <w:r>
              <w:rPr>
                <w:rFonts w:hint="eastAsia"/>
              </w:rPr>
              <w:t>-</w:t>
            </w:r>
          </w:p>
        </w:tc>
        <w:tc>
          <w:tcPr>
            <w:tcW w:w="1384" w:type="dxa"/>
            <w:vAlign w:val="center"/>
          </w:tcPr>
          <w:p w14:paraId="2EE5BF82">
            <w:pPr>
              <w:jc w:val="right"/>
            </w:pPr>
            <w:r>
              <w:rPr>
                <w:rFonts w:hint="eastAsia"/>
              </w:rPr>
              <w:t>60,585.78</w:t>
            </w:r>
          </w:p>
        </w:tc>
        <w:tc>
          <w:tcPr>
            <w:tcW w:w="1384" w:type="dxa"/>
            <w:vAlign w:val="center"/>
          </w:tcPr>
          <w:p w14:paraId="28E5FD56">
            <w:pPr>
              <w:jc w:val="right"/>
            </w:pPr>
            <w:r>
              <w:rPr>
                <w:rFonts w:hint="eastAsia"/>
              </w:rPr>
              <w:t>60,585.78</w:t>
            </w:r>
          </w:p>
        </w:tc>
      </w:tr>
      <w:tr w14:paraId="4FA5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E47D2">
            <w:r>
              <w:rPr>
                <w:rFonts w:hint="eastAsia"/>
              </w:rPr>
              <w:t>负债总计</w:t>
            </w:r>
          </w:p>
        </w:tc>
        <w:tc>
          <w:tcPr>
            <w:tcW w:w="1384" w:type="dxa"/>
            <w:vAlign w:val="center"/>
          </w:tcPr>
          <w:p w14:paraId="15269518">
            <w:pPr>
              <w:jc w:val="right"/>
            </w:pPr>
            <w:r>
              <w:rPr>
                <w:rFonts w:hint="eastAsia"/>
              </w:rPr>
              <w:t>-</w:t>
            </w:r>
          </w:p>
        </w:tc>
        <w:tc>
          <w:tcPr>
            <w:tcW w:w="1384" w:type="dxa"/>
            <w:vAlign w:val="center"/>
          </w:tcPr>
          <w:p w14:paraId="5B764BA0">
            <w:pPr>
              <w:jc w:val="right"/>
            </w:pPr>
            <w:r>
              <w:rPr>
                <w:rFonts w:hint="eastAsia"/>
              </w:rPr>
              <w:t>-</w:t>
            </w:r>
          </w:p>
        </w:tc>
        <w:tc>
          <w:tcPr>
            <w:tcW w:w="1384" w:type="dxa"/>
            <w:vAlign w:val="center"/>
          </w:tcPr>
          <w:p w14:paraId="186F3C67">
            <w:pPr>
              <w:jc w:val="right"/>
            </w:pPr>
            <w:r>
              <w:rPr>
                <w:rFonts w:hint="eastAsia"/>
              </w:rPr>
              <w:t>-</w:t>
            </w:r>
          </w:p>
        </w:tc>
        <w:tc>
          <w:tcPr>
            <w:tcW w:w="1384" w:type="dxa"/>
            <w:vAlign w:val="center"/>
          </w:tcPr>
          <w:p w14:paraId="48AAB5D7">
            <w:pPr>
              <w:jc w:val="right"/>
            </w:pPr>
            <w:r>
              <w:rPr>
                <w:rFonts w:hint="eastAsia"/>
              </w:rPr>
              <w:t>80,590,759.02</w:t>
            </w:r>
          </w:p>
        </w:tc>
        <w:tc>
          <w:tcPr>
            <w:tcW w:w="1384" w:type="dxa"/>
            <w:vAlign w:val="center"/>
          </w:tcPr>
          <w:p w14:paraId="47941469">
            <w:pPr>
              <w:jc w:val="right"/>
            </w:pPr>
            <w:r>
              <w:rPr>
                <w:rFonts w:hint="eastAsia"/>
              </w:rPr>
              <w:t>80,590,759.02</w:t>
            </w:r>
          </w:p>
        </w:tc>
      </w:tr>
      <w:tr w14:paraId="728D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7E095">
            <w:r>
              <w:rPr>
                <w:rFonts w:hint="eastAsia"/>
              </w:rPr>
              <w:t>利率敏感度缺口</w:t>
            </w:r>
          </w:p>
        </w:tc>
        <w:tc>
          <w:tcPr>
            <w:tcW w:w="1384" w:type="dxa"/>
            <w:vAlign w:val="center"/>
          </w:tcPr>
          <w:p w14:paraId="33B4ADF5">
            <w:pPr>
              <w:jc w:val="right"/>
            </w:pPr>
            <w:r>
              <w:rPr>
                <w:rFonts w:hint="eastAsia"/>
              </w:rPr>
              <w:t>89,795,210.87</w:t>
            </w:r>
          </w:p>
        </w:tc>
        <w:tc>
          <w:tcPr>
            <w:tcW w:w="1384" w:type="dxa"/>
            <w:vAlign w:val="center"/>
          </w:tcPr>
          <w:p w14:paraId="3236E41C">
            <w:pPr>
              <w:jc w:val="right"/>
            </w:pPr>
            <w:r>
              <w:rPr>
                <w:rFonts w:hint="eastAsia"/>
              </w:rPr>
              <w:t>-</w:t>
            </w:r>
          </w:p>
        </w:tc>
        <w:tc>
          <w:tcPr>
            <w:tcW w:w="1384" w:type="dxa"/>
            <w:vAlign w:val="center"/>
          </w:tcPr>
          <w:p w14:paraId="3AA3BFD1">
            <w:pPr>
              <w:jc w:val="right"/>
            </w:pPr>
            <w:r>
              <w:rPr>
                <w:rFonts w:hint="eastAsia"/>
              </w:rPr>
              <w:t>-</w:t>
            </w:r>
          </w:p>
        </w:tc>
        <w:tc>
          <w:tcPr>
            <w:tcW w:w="1384" w:type="dxa"/>
            <w:vAlign w:val="center"/>
          </w:tcPr>
          <w:p w14:paraId="4FB1C116">
            <w:pPr>
              <w:jc w:val="right"/>
            </w:pPr>
            <w:r>
              <w:rPr>
                <w:rFonts w:hint="eastAsia"/>
              </w:rPr>
              <w:t>1,488,005,430.06</w:t>
            </w:r>
          </w:p>
        </w:tc>
        <w:tc>
          <w:tcPr>
            <w:tcW w:w="1384" w:type="dxa"/>
            <w:vAlign w:val="center"/>
          </w:tcPr>
          <w:p w14:paraId="44767ECA">
            <w:pPr>
              <w:jc w:val="right"/>
            </w:pPr>
            <w:r>
              <w:rPr>
                <w:rFonts w:hint="eastAsia"/>
              </w:rPr>
              <w:t>1,577,800,640.93</w:t>
            </w:r>
          </w:p>
        </w:tc>
      </w:tr>
    </w:tbl>
    <w:p w14:paraId="2CEB156F">
      <w:pPr>
        <w:pStyle w:val="47"/>
        <w:rPr>
          <w:rFonts w:hint="eastAsia"/>
        </w:rPr>
      </w:pPr>
      <w:r>
        <w:rPr>
          <w:rFonts w:hint="eastAsia"/>
        </w:rPr>
        <w:t>注：表中所示为本基金资产及负债的账面价值，并按照合约规定的利率重新定价日或到期日孰早者予以分类。</w:t>
      </w:r>
    </w:p>
    <w:p w14:paraId="72D85009">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76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638A1">
            <w:r>
              <w:rPr>
                <w:rFonts w:hint="eastAsia"/>
              </w:rPr>
              <w:t>假设</w:t>
            </w:r>
          </w:p>
        </w:tc>
        <w:tc>
          <w:tcPr>
            <w:tcW w:w="2768" w:type="dxa"/>
            <w:gridSpan w:val="2"/>
            <w:vAlign w:val="center"/>
          </w:tcPr>
          <w:p w14:paraId="162F6672">
            <w:r>
              <w:rPr>
                <w:rFonts w:hint="eastAsia"/>
              </w:rPr>
              <w:t>除市场利率以外的其他市场变量保持不变</w:t>
            </w:r>
          </w:p>
        </w:tc>
      </w:tr>
      <w:tr w14:paraId="1E86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E99C90">
            <w:r>
              <w:rPr>
                <w:rFonts w:hint="eastAsia"/>
              </w:rPr>
              <w:t>分析</w:t>
            </w:r>
          </w:p>
        </w:tc>
        <w:tc>
          <w:tcPr>
            <w:tcW w:w="2768" w:type="dxa"/>
            <w:vMerge w:val="restart"/>
            <w:vAlign w:val="center"/>
          </w:tcPr>
          <w:p w14:paraId="7317CF7D">
            <w:r>
              <w:rPr>
                <w:rFonts w:hint="eastAsia"/>
              </w:rPr>
              <w:t>相关风险变量的变动</w:t>
            </w:r>
          </w:p>
        </w:tc>
        <w:tc>
          <w:tcPr>
            <w:tcW w:w="2768" w:type="dxa"/>
            <w:vAlign w:val="center"/>
          </w:tcPr>
          <w:p w14:paraId="34A91780">
            <w:r>
              <w:rPr>
                <w:rFonts w:hint="eastAsia"/>
              </w:rPr>
              <w:t>对资产负债表日基金资产净值的影响金额（单位：人民币元）</w:t>
            </w:r>
          </w:p>
        </w:tc>
      </w:tr>
      <w:tr w14:paraId="6819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86337B"/>
        </w:tc>
        <w:tc>
          <w:tcPr>
            <w:tcW w:w="2768" w:type="dxa"/>
            <w:vMerge w:val="continue"/>
            <w:vAlign w:val="center"/>
          </w:tcPr>
          <w:p w14:paraId="0CE3BFCD"/>
        </w:tc>
        <w:tc>
          <w:tcPr>
            <w:tcW w:w="2768" w:type="dxa"/>
            <w:vAlign w:val="center"/>
          </w:tcPr>
          <w:p w14:paraId="7085320F">
            <w:r>
              <w:rPr>
                <w:rFonts w:hint="eastAsia"/>
              </w:rPr>
              <w:t>本期末（ 2025年12月31日 ）</w:t>
            </w:r>
          </w:p>
        </w:tc>
      </w:tr>
      <w:tr w14:paraId="66A5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C28235"/>
        </w:tc>
        <w:tc>
          <w:tcPr>
            <w:tcW w:w="2768" w:type="dxa"/>
            <w:vAlign w:val="center"/>
          </w:tcPr>
          <w:p w14:paraId="0AA60B98">
            <w:r>
              <w:rPr>
                <w:rFonts w:hint="eastAsia"/>
              </w:rPr>
              <w:t>1.市场利率平行上升25个基点</w:t>
            </w:r>
          </w:p>
        </w:tc>
        <w:tc>
          <w:tcPr>
            <w:tcW w:w="2768" w:type="dxa"/>
            <w:vAlign w:val="center"/>
          </w:tcPr>
          <w:p w14:paraId="7659467A">
            <w:pPr>
              <w:jc w:val="right"/>
            </w:pPr>
            <w:r>
              <w:rPr>
                <w:rFonts w:hint="eastAsia"/>
              </w:rPr>
              <w:t>-8,580.94</w:t>
            </w:r>
          </w:p>
        </w:tc>
      </w:tr>
      <w:tr w14:paraId="5C35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FB5CAD"/>
        </w:tc>
        <w:tc>
          <w:tcPr>
            <w:tcW w:w="2768" w:type="dxa"/>
            <w:vAlign w:val="center"/>
          </w:tcPr>
          <w:p w14:paraId="1C59505B">
            <w:r>
              <w:rPr>
                <w:rFonts w:hint="eastAsia"/>
              </w:rPr>
              <w:t>2.市场利率平行下降25个基点</w:t>
            </w:r>
          </w:p>
        </w:tc>
        <w:tc>
          <w:tcPr>
            <w:tcW w:w="2768" w:type="dxa"/>
            <w:vAlign w:val="center"/>
          </w:tcPr>
          <w:p w14:paraId="6766EEA2">
            <w:pPr>
              <w:jc w:val="right"/>
            </w:pPr>
            <w:r>
              <w:rPr>
                <w:rFonts w:hint="eastAsia"/>
              </w:rPr>
              <w:t>8,582.71</w:t>
            </w:r>
          </w:p>
        </w:tc>
      </w:tr>
    </w:tbl>
    <w:p w14:paraId="3C37426F">
      <w:pPr>
        <w:pStyle w:val="36"/>
      </w:pPr>
      <w:bookmarkStart w:id="146" w:name="_Toc146"/>
      <w:r>
        <w:t>外汇风险</w:t>
      </w:r>
      <w:bookmarkEnd w:id="146"/>
    </w:p>
    <w:p w14:paraId="2C91210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EF79DD4">
      <w:pPr>
        <w:pStyle w:val="36"/>
      </w:pPr>
      <w:bookmarkStart w:id="147" w:name="_Toc147"/>
      <w:r>
        <w:t>其他价格风险</w:t>
      </w:r>
      <w:bookmarkEnd w:id="147"/>
    </w:p>
    <w:p w14:paraId="7037D2E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6AD520C0">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43AD9DE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FA698B1">
      <w:pPr>
        <w:pStyle w:val="37"/>
      </w:pPr>
      <w:bookmarkStart w:id="148" w:name="_Toc148"/>
      <w:r>
        <w:t>其他价格风险敞口</w:t>
      </w:r>
      <w:bookmarkEnd w:id="148"/>
    </w:p>
    <w:p w14:paraId="3CE09B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1C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145806C">
            <w:pPr>
              <w:jc w:val="center"/>
            </w:pPr>
            <w:r>
              <w:rPr>
                <w:rFonts w:hint="eastAsia"/>
                <w:b/>
              </w:rPr>
              <w:t>项目</w:t>
            </w:r>
          </w:p>
        </w:tc>
        <w:tc>
          <w:tcPr>
            <w:tcW w:w="2768" w:type="dxa"/>
            <w:gridSpan w:val="2"/>
            <w:shd w:val="clear" w:color="auto" w:fill="BFBFBF"/>
            <w:vAlign w:val="center"/>
          </w:tcPr>
          <w:p w14:paraId="0BA71621">
            <w:pPr>
              <w:jc w:val="center"/>
            </w:pPr>
            <w:r>
              <w:rPr>
                <w:rFonts w:hint="eastAsia"/>
                <w:b/>
              </w:rPr>
              <w:t>本期末2025年12月31日</w:t>
            </w:r>
          </w:p>
        </w:tc>
      </w:tr>
      <w:tr w14:paraId="227B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EB6CCA"/>
        </w:tc>
        <w:tc>
          <w:tcPr>
            <w:tcW w:w="2768" w:type="dxa"/>
            <w:shd w:val="clear" w:color="auto" w:fill="BFBFBF"/>
            <w:vAlign w:val="center"/>
          </w:tcPr>
          <w:p w14:paraId="2B5B0D89">
            <w:pPr>
              <w:jc w:val="center"/>
            </w:pPr>
            <w:r>
              <w:rPr>
                <w:rFonts w:hint="eastAsia"/>
                <w:b/>
              </w:rPr>
              <w:t>公允价值</w:t>
            </w:r>
          </w:p>
        </w:tc>
        <w:tc>
          <w:tcPr>
            <w:tcW w:w="2768" w:type="dxa"/>
            <w:shd w:val="clear" w:color="auto" w:fill="BFBFBF"/>
            <w:vAlign w:val="center"/>
          </w:tcPr>
          <w:p w14:paraId="1B97C20E">
            <w:pPr>
              <w:jc w:val="center"/>
            </w:pPr>
            <w:r>
              <w:rPr>
                <w:rFonts w:hint="eastAsia"/>
                <w:b/>
              </w:rPr>
              <w:t>占基金资产净值比例（%）</w:t>
            </w:r>
          </w:p>
        </w:tc>
      </w:tr>
      <w:tr w14:paraId="00CE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A1273">
            <w:r>
              <w:rPr>
                <w:rFonts w:hint="eastAsia"/>
              </w:rPr>
              <w:t>交易性金融资产-股票投资</w:t>
            </w:r>
          </w:p>
        </w:tc>
        <w:tc>
          <w:tcPr>
            <w:tcW w:w="2768" w:type="dxa"/>
            <w:vAlign w:val="center"/>
          </w:tcPr>
          <w:p w14:paraId="6CAA7796">
            <w:pPr>
              <w:jc w:val="right"/>
            </w:pPr>
            <w:r>
              <w:rPr>
                <w:rFonts w:hint="eastAsia"/>
              </w:rPr>
              <w:t>-</w:t>
            </w:r>
          </w:p>
        </w:tc>
        <w:tc>
          <w:tcPr>
            <w:tcW w:w="2768" w:type="dxa"/>
            <w:vAlign w:val="center"/>
          </w:tcPr>
          <w:p w14:paraId="202E5DB0">
            <w:pPr>
              <w:jc w:val="right"/>
            </w:pPr>
            <w:r>
              <w:rPr>
                <w:rFonts w:hint="eastAsia"/>
              </w:rPr>
              <w:t>-</w:t>
            </w:r>
          </w:p>
        </w:tc>
      </w:tr>
      <w:tr w14:paraId="011A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75F91">
            <w:r>
              <w:rPr>
                <w:rFonts w:hint="eastAsia"/>
              </w:rPr>
              <w:t>交易性金融资产-基金投资</w:t>
            </w:r>
          </w:p>
        </w:tc>
        <w:tc>
          <w:tcPr>
            <w:tcW w:w="2768" w:type="dxa"/>
            <w:vAlign w:val="center"/>
          </w:tcPr>
          <w:p w14:paraId="3ACDCB44">
            <w:pPr>
              <w:jc w:val="right"/>
            </w:pPr>
            <w:r>
              <w:rPr>
                <w:rFonts w:hint="eastAsia"/>
              </w:rPr>
              <w:t>1,426,662,481.07</w:t>
            </w:r>
          </w:p>
        </w:tc>
        <w:tc>
          <w:tcPr>
            <w:tcW w:w="2768" w:type="dxa"/>
            <w:vAlign w:val="center"/>
          </w:tcPr>
          <w:p w14:paraId="52E246EB">
            <w:pPr>
              <w:jc w:val="right"/>
            </w:pPr>
            <w:r>
              <w:rPr>
                <w:rFonts w:hint="eastAsia"/>
              </w:rPr>
              <w:t>90.42</w:t>
            </w:r>
          </w:p>
        </w:tc>
      </w:tr>
      <w:tr w14:paraId="6FF5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4EEFF">
            <w:r>
              <w:rPr>
                <w:rFonts w:hint="eastAsia"/>
              </w:rPr>
              <w:t>交易性金融资产-贵金属投资</w:t>
            </w:r>
          </w:p>
        </w:tc>
        <w:tc>
          <w:tcPr>
            <w:tcW w:w="2768" w:type="dxa"/>
            <w:vAlign w:val="center"/>
          </w:tcPr>
          <w:p w14:paraId="1D69C25F">
            <w:pPr>
              <w:jc w:val="right"/>
            </w:pPr>
            <w:r>
              <w:rPr>
                <w:rFonts w:hint="eastAsia"/>
              </w:rPr>
              <w:t>-</w:t>
            </w:r>
          </w:p>
        </w:tc>
        <w:tc>
          <w:tcPr>
            <w:tcW w:w="2768" w:type="dxa"/>
            <w:vAlign w:val="center"/>
          </w:tcPr>
          <w:p w14:paraId="7CC0709A">
            <w:pPr>
              <w:jc w:val="right"/>
            </w:pPr>
            <w:r>
              <w:rPr>
                <w:rFonts w:hint="eastAsia"/>
              </w:rPr>
              <w:t>-</w:t>
            </w:r>
          </w:p>
        </w:tc>
      </w:tr>
      <w:tr w14:paraId="6EA4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414C0">
            <w:r>
              <w:rPr>
                <w:rFonts w:hint="eastAsia"/>
              </w:rPr>
              <w:t>衍生金融资产-权证投资</w:t>
            </w:r>
          </w:p>
        </w:tc>
        <w:tc>
          <w:tcPr>
            <w:tcW w:w="2768" w:type="dxa"/>
            <w:vAlign w:val="center"/>
          </w:tcPr>
          <w:p w14:paraId="39358039">
            <w:pPr>
              <w:jc w:val="right"/>
            </w:pPr>
            <w:r>
              <w:rPr>
                <w:rFonts w:hint="eastAsia"/>
              </w:rPr>
              <w:t>-</w:t>
            </w:r>
          </w:p>
        </w:tc>
        <w:tc>
          <w:tcPr>
            <w:tcW w:w="2768" w:type="dxa"/>
            <w:vAlign w:val="center"/>
          </w:tcPr>
          <w:p w14:paraId="1CF4B7E4">
            <w:pPr>
              <w:jc w:val="right"/>
            </w:pPr>
            <w:r>
              <w:rPr>
                <w:rFonts w:hint="eastAsia"/>
              </w:rPr>
              <w:t>-</w:t>
            </w:r>
          </w:p>
        </w:tc>
      </w:tr>
      <w:tr w14:paraId="412D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DA508">
            <w:r>
              <w:rPr>
                <w:rFonts w:hint="eastAsia"/>
              </w:rPr>
              <w:t>其他</w:t>
            </w:r>
          </w:p>
        </w:tc>
        <w:tc>
          <w:tcPr>
            <w:tcW w:w="2768" w:type="dxa"/>
            <w:vAlign w:val="center"/>
          </w:tcPr>
          <w:p w14:paraId="31BC940A">
            <w:pPr>
              <w:jc w:val="right"/>
            </w:pPr>
            <w:r>
              <w:rPr>
                <w:rFonts w:hint="eastAsia"/>
              </w:rPr>
              <w:t>-</w:t>
            </w:r>
          </w:p>
        </w:tc>
        <w:tc>
          <w:tcPr>
            <w:tcW w:w="2768" w:type="dxa"/>
            <w:vAlign w:val="center"/>
          </w:tcPr>
          <w:p w14:paraId="409904C6">
            <w:pPr>
              <w:jc w:val="right"/>
            </w:pPr>
            <w:r>
              <w:rPr>
                <w:rFonts w:hint="eastAsia"/>
              </w:rPr>
              <w:t>-</w:t>
            </w:r>
          </w:p>
        </w:tc>
      </w:tr>
      <w:tr w14:paraId="0663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12386">
            <w:r>
              <w:rPr>
                <w:rFonts w:hint="eastAsia"/>
              </w:rPr>
              <w:t>合计</w:t>
            </w:r>
          </w:p>
        </w:tc>
        <w:tc>
          <w:tcPr>
            <w:tcW w:w="2768" w:type="dxa"/>
            <w:vAlign w:val="center"/>
          </w:tcPr>
          <w:p w14:paraId="31FFE2AB">
            <w:pPr>
              <w:jc w:val="right"/>
            </w:pPr>
            <w:r>
              <w:rPr>
                <w:rFonts w:hint="eastAsia"/>
              </w:rPr>
              <w:t>1,426,662,481.07</w:t>
            </w:r>
          </w:p>
        </w:tc>
        <w:tc>
          <w:tcPr>
            <w:tcW w:w="2768" w:type="dxa"/>
            <w:vAlign w:val="center"/>
          </w:tcPr>
          <w:p w14:paraId="16802920">
            <w:pPr>
              <w:jc w:val="right"/>
            </w:pPr>
            <w:r>
              <w:rPr>
                <w:rFonts w:hint="eastAsia"/>
              </w:rPr>
              <w:t>90.42</w:t>
            </w:r>
          </w:p>
        </w:tc>
      </w:tr>
    </w:tbl>
    <w:p w14:paraId="7529BB45">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50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47EC7">
            <w:r>
              <w:rPr>
                <w:rFonts w:hint="eastAsia"/>
              </w:rPr>
              <w:t>假设</w:t>
            </w:r>
          </w:p>
        </w:tc>
        <w:tc>
          <w:tcPr>
            <w:tcW w:w="2768" w:type="dxa"/>
            <w:gridSpan w:val="2"/>
            <w:vAlign w:val="center"/>
          </w:tcPr>
          <w:p w14:paraId="6D0E13D0">
            <w:r>
              <w:rPr>
                <w:rFonts w:hint="eastAsia"/>
              </w:rPr>
              <w:t>除业绩比较基准以外的其他市场变量保持不变</w:t>
            </w:r>
          </w:p>
        </w:tc>
      </w:tr>
      <w:tr w14:paraId="515F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7E761D">
            <w:r>
              <w:rPr>
                <w:rFonts w:hint="eastAsia"/>
              </w:rPr>
              <w:t>分析</w:t>
            </w:r>
          </w:p>
        </w:tc>
        <w:tc>
          <w:tcPr>
            <w:tcW w:w="2768" w:type="dxa"/>
            <w:vMerge w:val="restart"/>
            <w:vAlign w:val="center"/>
          </w:tcPr>
          <w:p w14:paraId="1E9825F5">
            <w:r>
              <w:rPr>
                <w:rFonts w:hint="eastAsia"/>
              </w:rPr>
              <w:t>相关风险变量的变动</w:t>
            </w:r>
          </w:p>
        </w:tc>
        <w:tc>
          <w:tcPr>
            <w:tcW w:w="2768" w:type="dxa"/>
            <w:vAlign w:val="center"/>
          </w:tcPr>
          <w:p w14:paraId="0F189348">
            <w:r>
              <w:rPr>
                <w:rFonts w:hint="eastAsia"/>
              </w:rPr>
              <w:t>对资产负债表日基金资产净值的影响金额（单位：人民币元）</w:t>
            </w:r>
          </w:p>
        </w:tc>
      </w:tr>
      <w:tr w14:paraId="58FC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6C1F82"/>
        </w:tc>
        <w:tc>
          <w:tcPr>
            <w:tcW w:w="2768" w:type="dxa"/>
            <w:vMerge w:val="continue"/>
            <w:vAlign w:val="center"/>
          </w:tcPr>
          <w:p w14:paraId="757837E0"/>
        </w:tc>
        <w:tc>
          <w:tcPr>
            <w:tcW w:w="2768" w:type="dxa"/>
            <w:vAlign w:val="center"/>
          </w:tcPr>
          <w:p w14:paraId="5F8937B1">
            <w:r>
              <w:rPr>
                <w:rFonts w:hint="eastAsia"/>
              </w:rPr>
              <w:t>本期末（ 2025年12月31日 ）</w:t>
            </w:r>
          </w:p>
        </w:tc>
      </w:tr>
      <w:tr w14:paraId="0921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69B718"/>
        </w:tc>
        <w:tc>
          <w:tcPr>
            <w:tcW w:w="2768" w:type="dxa"/>
            <w:vAlign w:val="center"/>
          </w:tcPr>
          <w:p w14:paraId="4A512A65">
            <w:r>
              <w:rPr>
                <w:rFonts w:hint="eastAsia"/>
              </w:rPr>
              <w:t>1.组合自身基准上升 5%</w:t>
            </w:r>
          </w:p>
        </w:tc>
        <w:tc>
          <w:tcPr>
            <w:tcW w:w="2768" w:type="dxa"/>
            <w:vAlign w:val="center"/>
          </w:tcPr>
          <w:p w14:paraId="3DBF3035">
            <w:pPr>
              <w:jc w:val="right"/>
            </w:pPr>
            <w:r>
              <w:rPr>
                <w:rFonts w:hint="eastAsia"/>
              </w:rPr>
              <w:t>49,884,466.93</w:t>
            </w:r>
          </w:p>
        </w:tc>
      </w:tr>
      <w:tr w14:paraId="7A41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C80DE9"/>
        </w:tc>
        <w:tc>
          <w:tcPr>
            <w:tcW w:w="2768" w:type="dxa"/>
            <w:vAlign w:val="center"/>
          </w:tcPr>
          <w:p w14:paraId="025CE2EA">
            <w:r>
              <w:rPr>
                <w:rFonts w:hint="eastAsia"/>
              </w:rPr>
              <w:t>2.组合自身基准下降 5%</w:t>
            </w:r>
          </w:p>
        </w:tc>
        <w:tc>
          <w:tcPr>
            <w:tcW w:w="2768" w:type="dxa"/>
            <w:vAlign w:val="center"/>
          </w:tcPr>
          <w:p w14:paraId="5E822915">
            <w:pPr>
              <w:jc w:val="right"/>
            </w:pPr>
            <w:r>
              <w:rPr>
                <w:rFonts w:hint="eastAsia"/>
              </w:rPr>
              <w:t>-49,884,466.93</w:t>
            </w:r>
          </w:p>
        </w:tc>
      </w:tr>
    </w:tbl>
    <w:p w14:paraId="7B5FC774">
      <w:pPr>
        <w:pStyle w:val="28"/>
      </w:pPr>
      <w:bookmarkStart w:id="150" w:name="_Toc150"/>
      <w:r>
        <w:t>公允价值</w:t>
      </w:r>
      <w:bookmarkEnd w:id="150"/>
    </w:p>
    <w:p w14:paraId="4E9FDAB2">
      <w:pPr>
        <w:pStyle w:val="35"/>
      </w:pPr>
      <w:bookmarkStart w:id="151" w:name="_Toc151"/>
      <w:r>
        <w:t>金融工具公允价值计量的方法</w:t>
      </w:r>
      <w:bookmarkEnd w:id="151"/>
    </w:p>
    <w:p w14:paraId="27CFDD6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CC5B025">
      <w:pPr>
        <w:pStyle w:val="35"/>
      </w:pPr>
      <w:bookmarkStart w:id="152" w:name="_Toc152"/>
      <w:r>
        <w:t>持续的以公允价值计量的金融工具</w:t>
      </w:r>
      <w:bookmarkEnd w:id="152"/>
    </w:p>
    <w:p w14:paraId="304819E7">
      <w:pPr>
        <w:pStyle w:val="36"/>
      </w:pPr>
      <w:bookmarkStart w:id="153" w:name="_Toc153"/>
      <w:r>
        <w:t>各层次金融工具的公允价值</w:t>
      </w:r>
      <w:bookmarkEnd w:id="153"/>
    </w:p>
    <w:p w14:paraId="56A52F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68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B505213">
            <w:pPr>
              <w:jc w:val="center"/>
            </w:pPr>
            <w:r>
              <w:rPr>
                <w:rFonts w:hint="eastAsia"/>
                <w:b/>
              </w:rPr>
              <w:t>公允价值计量结果所属的层次</w:t>
            </w:r>
          </w:p>
        </w:tc>
        <w:tc>
          <w:tcPr>
            <w:tcW w:w="4153" w:type="dxa"/>
            <w:shd w:val="clear" w:color="auto" w:fill="BFBFBF"/>
            <w:vAlign w:val="center"/>
          </w:tcPr>
          <w:p w14:paraId="70A8F4A1">
            <w:pPr>
              <w:jc w:val="center"/>
            </w:pPr>
            <w:r>
              <w:rPr>
                <w:rFonts w:hint="eastAsia"/>
                <w:b/>
              </w:rPr>
              <w:t>本期末2025年12月31日</w:t>
            </w:r>
          </w:p>
        </w:tc>
      </w:tr>
      <w:tr w14:paraId="43D1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4ECAD">
            <w:r>
              <w:rPr>
                <w:rFonts w:hint="eastAsia"/>
              </w:rPr>
              <w:t>第一层次</w:t>
            </w:r>
          </w:p>
        </w:tc>
        <w:tc>
          <w:tcPr>
            <w:tcW w:w="4153" w:type="dxa"/>
            <w:vAlign w:val="center"/>
          </w:tcPr>
          <w:p w14:paraId="4036D1CD">
            <w:pPr>
              <w:jc w:val="right"/>
            </w:pPr>
            <w:r>
              <w:rPr>
                <w:rFonts w:hint="eastAsia"/>
              </w:rPr>
              <w:t>1,426,662,481.07</w:t>
            </w:r>
          </w:p>
        </w:tc>
      </w:tr>
      <w:tr w14:paraId="404B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61A8F6">
            <w:r>
              <w:rPr>
                <w:rFonts w:hint="eastAsia"/>
              </w:rPr>
              <w:t>第二层次</w:t>
            </w:r>
          </w:p>
        </w:tc>
        <w:tc>
          <w:tcPr>
            <w:tcW w:w="4153" w:type="dxa"/>
            <w:vAlign w:val="center"/>
          </w:tcPr>
          <w:p w14:paraId="4993D613">
            <w:pPr>
              <w:jc w:val="right"/>
            </w:pPr>
            <w:r>
              <w:rPr>
                <w:rFonts w:hint="eastAsia"/>
              </w:rPr>
              <w:t>83,521,408.66</w:t>
            </w:r>
          </w:p>
        </w:tc>
      </w:tr>
      <w:tr w14:paraId="5C8B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69D495">
            <w:r>
              <w:rPr>
                <w:rFonts w:hint="eastAsia"/>
              </w:rPr>
              <w:t>第三层次</w:t>
            </w:r>
          </w:p>
        </w:tc>
        <w:tc>
          <w:tcPr>
            <w:tcW w:w="4153" w:type="dxa"/>
            <w:vAlign w:val="center"/>
          </w:tcPr>
          <w:p w14:paraId="193ECD6C">
            <w:pPr>
              <w:jc w:val="right"/>
            </w:pPr>
            <w:r>
              <w:rPr>
                <w:rFonts w:hint="eastAsia"/>
              </w:rPr>
              <w:t>-</w:t>
            </w:r>
          </w:p>
        </w:tc>
      </w:tr>
      <w:tr w14:paraId="7489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D94AE1">
            <w:r>
              <w:rPr>
                <w:rFonts w:hint="eastAsia"/>
              </w:rPr>
              <w:t>合计</w:t>
            </w:r>
          </w:p>
        </w:tc>
        <w:tc>
          <w:tcPr>
            <w:tcW w:w="4153" w:type="dxa"/>
            <w:vAlign w:val="center"/>
          </w:tcPr>
          <w:p w14:paraId="0F4F5804">
            <w:pPr>
              <w:jc w:val="right"/>
            </w:pPr>
            <w:r>
              <w:rPr>
                <w:rFonts w:hint="eastAsia"/>
              </w:rPr>
              <w:t>1,510,183,889.73</w:t>
            </w:r>
          </w:p>
        </w:tc>
      </w:tr>
    </w:tbl>
    <w:p w14:paraId="14D1018C">
      <w:pPr>
        <w:pStyle w:val="36"/>
      </w:pPr>
      <w:bookmarkStart w:id="154" w:name="_Toc154"/>
      <w:r>
        <w:t>公允价值所属层次间的重大变动</w:t>
      </w:r>
      <w:bookmarkEnd w:id="154"/>
    </w:p>
    <w:p w14:paraId="4331C6E2">
      <w:pPr>
        <w:pStyle w:val="18"/>
        <w:rPr>
          <w:rFonts w:hint="eastAsia"/>
        </w:rPr>
      </w:pPr>
      <w:r>
        <w:rPr>
          <w:rFonts w:hint="eastAsia"/>
        </w:rPr>
        <w:t>本基金以导致各层次之间转换的事项发生日为确认各层次之间转换的时点。</w:t>
      </w:r>
    </w:p>
    <w:p w14:paraId="648A4DC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4EC8B5F8">
      <w:pPr>
        <w:pStyle w:val="35"/>
      </w:pPr>
      <w:bookmarkStart w:id="155" w:name="_Toc155"/>
      <w:r>
        <w:t>非持续的以公允价值计量的金融工具的说明</w:t>
      </w:r>
      <w:bookmarkEnd w:id="155"/>
    </w:p>
    <w:p w14:paraId="5136C4AA">
      <w:pPr>
        <w:pStyle w:val="18"/>
        <w:rPr>
          <w:rFonts w:hint="eastAsia"/>
        </w:rPr>
      </w:pPr>
      <w:r>
        <w:rPr>
          <w:rFonts w:hint="eastAsia"/>
        </w:rPr>
        <w:t>于本报告期末，本基金未持有非持续的以公允价值计量的金融资产。</w:t>
      </w:r>
    </w:p>
    <w:p w14:paraId="632AF879">
      <w:pPr>
        <w:pStyle w:val="35"/>
      </w:pPr>
      <w:bookmarkStart w:id="156" w:name="_Toc156"/>
      <w:r>
        <w:t>不以公允价值计量的金融工具的相关说明</w:t>
      </w:r>
      <w:bookmarkEnd w:id="156"/>
    </w:p>
    <w:p w14:paraId="40EC1DE4">
      <w:pPr>
        <w:pStyle w:val="18"/>
        <w:rPr>
          <w:rFonts w:hint="eastAsia"/>
        </w:rPr>
      </w:pPr>
      <w:r>
        <w:rPr>
          <w:rFonts w:hint="eastAsia"/>
        </w:rPr>
        <w:t>不以公允价值计量的金融资产和负债主要包括应收款项和其他金融负债，其账面价值与公允价值相差很小。</w:t>
      </w:r>
    </w:p>
    <w:p w14:paraId="3A8B70B1">
      <w:pPr>
        <w:pStyle w:val="28"/>
      </w:pPr>
      <w:bookmarkStart w:id="157" w:name="_Toc157"/>
      <w:r>
        <w:t>有助于理解和分析会计报表需要说明的其他事项</w:t>
      </w:r>
      <w:bookmarkEnd w:id="157"/>
    </w:p>
    <w:p w14:paraId="30ED2080">
      <w:pPr>
        <w:pStyle w:val="18"/>
        <w:rPr>
          <w:rFonts w:hint="eastAsia"/>
        </w:rPr>
      </w:pPr>
      <w:r>
        <w:rPr>
          <w:rFonts w:hint="eastAsia"/>
        </w:rPr>
        <w:t>截至资产负债表日，本基金无需要说明的其他重要事项。</w:t>
      </w:r>
    </w:p>
    <w:p w14:paraId="12D66BB9">
      <w:pPr>
        <w:pStyle w:val="26"/>
      </w:pPr>
      <w:bookmarkStart w:id="158" w:name="_Toc29027"/>
      <w:r>
        <w:t>投资组合报告</w:t>
      </w:r>
      <w:bookmarkEnd w:id="158"/>
    </w:p>
    <w:p w14:paraId="2236E870">
      <w:pPr>
        <w:pStyle w:val="23"/>
      </w:pPr>
      <w:bookmarkStart w:id="159" w:name="_Toc11337"/>
      <w:r>
        <w:t>期末基金资产组合情况</w:t>
      </w:r>
      <w:bookmarkEnd w:id="159"/>
    </w:p>
    <w:p w14:paraId="1CA581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9B6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AB2330">
            <w:pPr>
              <w:jc w:val="center"/>
            </w:pPr>
            <w:r>
              <w:rPr>
                <w:rFonts w:hint="eastAsia"/>
                <w:b/>
              </w:rPr>
              <w:t>序号</w:t>
            </w:r>
          </w:p>
        </w:tc>
        <w:tc>
          <w:tcPr>
            <w:tcW w:w="2901" w:type="dxa"/>
            <w:shd w:val="clear" w:color="auto" w:fill="BFBFBF"/>
            <w:vAlign w:val="center"/>
          </w:tcPr>
          <w:p w14:paraId="486E6A4E">
            <w:pPr>
              <w:jc w:val="center"/>
            </w:pPr>
            <w:r>
              <w:rPr>
                <w:rFonts w:hint="eastAsia"/>
                <w:b/>
              </w:rPr>
              <w:t>项目</w:t>
            </w:r>
          </w:p>
        </w:tc>
        <w:tc>
          <w:tcPr>
            <w:tcW w:w="2325" w:type="dxa"/>
            <w:shd w:val="clear" w:color="auto" w:fill="BFBFBF"/>
            <w:vAlign w:val="center"/>
          </w:tcPr>
          <w:p w14:paraId="7A29D7B4">
            <w:pPr>
              <w:jc w:val="center"/>
            </w:pPr>
            <w:r>
              <w:rPr>
                <w:rFonts w:hint="eastAsia"/>
                <w:b/>
              </w:rPr>
              <w:t>金额</w:t>
            </w:r>
          </w:p>
        </w:tc>
        <w:tc>
          <w:tcPr>
            <w:tcW w:w="2447" w:type="dxa"/>
            <w:shd w:val="clear" w:color="auto" w:fill="BFBFBF"/>
            <w:vAlign w:val="center"/>
          </w:tcPr>
          <w:p w14:paraId="43E9E901">
            <w:pPr>
              <w:jc w:val="center"/>
            </w:pPr>
            <w:r>
              <w:rPr>
                <w:rFonts w:hint="eastAsia"/>
                <w:b/>
              </w:rPr>
              <w:t>占基金总资产的比例（%）</w:t>
            </w:r>
          </w:p>
        </w:tc>
      </w:tr>
      <w:tr w14:paraId="5D9B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5BE38A">
            <w:pPr>
              <w:jc w:val="center"/>
            </w:pPr>
            <w:r>
              <w:rPr>
                <w:rFonts w:hint="eastAsia"/>
              </w:rPr>
              <w:t>1</w:t>
            </w:r>
          </w:p>
        </w:tc>
        <w:tc>
          <w:tcPr>
            <w:tcW w:w="2901" w:type="dxa"/>
            <w:vAlign w:val="center"/>
          </w:tcPr>
          <w:p w14:paraId="4A6A6BA5">
            <w:r>
              <w:rPr>
                <w:rFonts w:hint="eastAsia"/>
              </w:rPr>
              <w:t>权益投资</w:t>
            </w:r>
          </w:p>
        </w:tc>
        <w:tc>
          <w:tcPr>
            <w:tcW w:w="2325" w:type="dxa"/>
            <w:vAlign w:val="center"/>
          </w:tcPr>
          <w:p w14:paraId="33A7D2AB">
            <w:pPr>
              <w:jc w:val="right"/>
            </w:pPr>
            <w:r>
              <w:rPr>
                <w:rFonts w:hint="eastAsia"/>
              </w:rPr>
              <w:t>-</w:t>
            </w:r>
          </w:p>
        </w:tc>
        <w:tc>
          <w:tcPr>
            <w:tcW w:w="2447" w:type="dxa"/>
            <w:vAlign w:val="center"/>
          </w:tcPr>
          <w:p w14:paraId="1B271EC3">
            <w:pPr>
              <w:jc w:val="right"/>
            </w:pPr>
            <w:r>
              <w:rPr>
                <w:rFonts w:hint="eastAsia"/>
              </w:rPr>
              <w:t>-</w:t>
            </w:r>
          </w:p>
        </w:tc>
      </w:tr>
      <w:tr w14:paraId="576A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0B9951">
            <w:pPr>
              <w:jc w:val="center"/>
            </w:pPr>
          </w:p>
        </w:tc>
        <w:tc>
          <w:tcPr>
            <w:tcW w:w="2901" w:type="dxa"/>
            <w:vAlign w:val="center"/>
          </w:tcPr>
          <w:p w14:paraId="2C43754C">
            <w:r>
              <w:rPr>
                <w:rFonts w:hint="eastAsia"/>
              </w:rPr>
              <w:t>其中：股票</w:t>
            </w:r>
          </w:p>
        </w:tc>
        <w:tc>
          <w:tcPr>
            <w:tcW w:w="2325" w:type="dxa"/>
            <w:vAlign w:val="center"/>
          </w:tcPr>
          <w:p w14:paraId="00D90A75">
            <w:pPr>
              <w:jc w:val="right"/>
            </w:pPr>
            <w:r>
              <w:rPr>
                <w:rFonts w:hint="eastAsia"/>
              </w:rPr>
              <w:t>-</w:t>
            </w:r>
          </w:p>
        </w:tc>
        <w:tc>
          <w:tcPr>
            <w:tcW w:w="2447" w:type="dxa"/>
            <w:vAlign w:val="center"/>
          </w:tcPr>
          <w:p w14:paraId="44E30D7D">
            <w:pPr>
              <w:jc w:val="right"/>
            </w:pPr>
            <w:r>
              <w:rPr>
                <w:rFonts w:hint="eastAsia"/>
              </w:rPr>
              <w:t>-</w:t>
            </w:r>
          </w:p>
        </w:tc>
      </w:tr>
      <w:tr w14:paraId="7C73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BDBB18">
            <w:pPr>
              <w:jc w:val="center"/>
            </w:pPr>
            <w:r>
              <w:rPr>
                <w:rFonts w:hint="eastAsia"/>
              </w:rPr>
              <w:t>2</w:t>
            </w:r>
          </w:p>
        </w:tc>
        <w:tc>
          <w:tcPr>
            <w:tcW w:w="2901" w:type="dxa"/>
            <w:vAlign w:val="center"/>
          </w:tcPr>
          <w:p w14:paraId="1C078F1F">
            <w:r>
              <w:rPr>
                <w:rFonts w:hint="eastAsia"/>
              </w:rPr>
              <w:t>基金投资</w:t>
            </w:r>
          </w:p>
        </w:tc>
        <w:tc>
          <w:tcPr>
            <w:tcW w:w="2325" w:type="dxa"/>
            <w:vAlign w:val="center"/>
          </w:tcPr>
          <w:p w14:paraId="5F6281EA">
            <w:pPr>
              <w:jc w:val="right"/>
            </w:pPr>
            <w:r>
              <w:rPr>
                <w:rFonts w:hint="eastAsia"/>
              </w:rPr>
              <w:t>1,426,662,481.07</w:t>
            </w:r>
          </w:p>
        </w:tc>
        <w:tc>
          <w:tcPr>
            <w:tcW w:w="2447" w:type="dxa"/>
            <w:vAlign w:val="center"/>
          </w:tcPr>
          <w:p w14:paraId="0C433D5A">
            <w:pPr>
              <w:jc w:val="right"/>
            </w:pPr>
            <w:r>
              <w:rPr>
                <w:rFonts w:hint="eastAsia"/>
              </w:rPr>
              <w:t>86.03</w:t>
            </w:r>
          </w:p>
        </w:tc>
      </w:tr>
      <w:tr w14:paraId="249E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2D503CA2">
            <w:pPr>
              <w:jc w:val="center"/>
            </w:pPr>
            <w:r>
              <w:rPr>
                <w:rFonts w:hint="eastAsia"/>
              </w:rPr>
              <w:t>3</w:t>
            </w:r>
          </w:p>
        </w:tc>
        <w:tc>
          <w:tcPr>
            <w:tcW w:w="2901" w:type="dxa"/>
            <w:vAlign w:val="center"/>
          </w:tcPr>
          <w:p w14:paraId="3934DE66">
            <w:r>
              <w:rPr>
                <w:rFonts w:hint="eastAsia"/>
              </w:rPr>
              <w:t>固定收益投资</w:t>
            </w:r>
          </w:p>
        </w:tc>
        <w:tc>
          <w:tcPr>
            <w:tcW w:w="2325" w:type="dxa"/>
            <w:vAlign w:val="center"/>
          </w:tcPr>
          <w:p w14:paraId="57CC3322">
            <w:pPr>
              <w:jc w:val="right"/>
            </w:pPr>
            <w:r>
              <w:rPr>
                <w:rFonts w:hint="eastAsia"/>
              </w:rPr>
              <w:t>83,521,408.66</w:t>
            </w:r>
          </w:p>
        </w:tc>
        <w:tc>
          <w:tcPr>
            <w:tcW w:w="2447" w:type="dxa"/>
            <w:vAlign w:val="center"/>
          </w:tcPr>
          <w:p w14:paraId="3F2F702E">
            <w:pPr>
              <w:jc w:val="right"/>
            </w:pPr>
            <w:r>
              <w:rPr>
                <w:rFonts w:hint="eastAsia"/>
              </w:rPr>
              <w:t>5.04</w:t>
            </w:r>
          </w:p>
        </w:tc>
      </w:tr>
      <w:tr w14:paraId="18AD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84EC16">
            <w:pPr>
              <w:jc w:val="center"/>
            </w:pPr>
          </w:p>
        </w:tc>
        <w:tc>
          <w:tcPr>
            <w:tcW w:w="2901" w:type="dxa"/>
            <w:vAlign w:val="center"/>
          </w:tcPr>
          <w:p w14:paraId="4E4B3F6A">
            <w:r>
              <w:rPr>
                <w:rFonts w:hint="eastAsia"/>
              </w:rPr>
              <w:t>其中：债券</w:t>
            </w:r>
          </w:p>
        </w:tc>
        <w:tc>
          <w:tcPr>
            <w:tcW w:w="2325" w:type="dxa"/>
            <w:vAlign w:val="center"/>
          </w:tcPr>
          <w:p w14:paraId="7834B4B0">
            <w:pPr>
              <w:jc w:val="right"/>
            </w:pPr>
            <w:r>
              <w:rPr>
                <w:rFonts w:hint="eastAsia"/>
              </w:rPr>
              <w:t>83,521,408.66</w:t>
            </w:r>
          </w:p>
        </w:tc>
        <w:tc>
          <w:tcPr>
            <w:tcW w:w="2447" w:type="dxa"/>
            <w:vAlign w:val="center"/>
          </w:tcPr>
          <w:p w14:paraId="43C6A48C">
            <w:pPr>
              <w:jc w:val="right"/>
            </w:pPr>
            <w:r>
              <w:rPr>
                <w:rFonts w:hint="eastAsia"/>
              </w:rPr>
              <w:t>5.04</w:t>
            </w:r>
          </w:p>
        </w:tc>
      </w:tr>
      <w:tr w14:paraId="3CEF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EA37B9">
            <w:pPr>
              <w:jc w:val="center"/>
            </w:pPr>
          </w:p>
        </w:tc>
        <w:tc>
          <w:tcPr>
            <w:tcW w:w="2901" w:type="dxa"/>
            <w:vAlign w:val="center"/>
          </w:tcPr>
          <w:p w14:paraId="1BC40391">
            <w:r>
              <w:rPr>
                <w:rFonts w:hint="eastAsia"/>
              </w:rPr>
              <w:t xml:space="preserve">      资产支持证券</w:t>
            </w:r>
          </w:p>
        </w:tc>
        <w:tc>
          <w:tcPr>
            <w:tcW w:w="2325" w:type="dxa"/>
            <w:vAlign w:val="center"/>
          </w:tcPr>
          <w:p w14:paraId="23319B91">
            <w:pPr>
              <w:jc w:val="right"/>
            </w:pPr>
            <w:r>
              <w:rPr>
                <w:rFonts w:hint="eastAsia"/>
              </w:rPr>
              <w:t>-</w:t>
            </w:r>
          </w:p>
        </w:tc>
        <w:tc>
          <w:tcPr>
            <w:tcW w:w="2447" w:type="dxa"/>
            <w:vAlign w:val="center"/>
          </w:tcPr>
          <w:p w14:paraId="0178937B">
            <w:pPr>
              <w:jc w:val="right"/>
            </w:pPr>
            <w:r>
              <w:rPr>
                <w:rFonts w:hint="eastAsia"/>
              </w:rPr>
              <w:t>-</w:t>
            </w:r>
          </w:p>
        </w:tc>
      </w:tr>
      <w:tr w14:paraId="10F7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359465">
            <w:pPr>
              <w:jc w:val="center"/>
            </w:pPr>
            <w:r>
              <w:rPr>
                <w:rFonts w:hint="eastAsia"/>
              </w:rPr>
              <w:t>4</w:t>
            </w:r>
          </w:p>
        </w:tc>
        <w:tc>
          <w:tcPr>
            <w:tcW w:w="2901" w:type="dxa"/>
            <w:vAlign w:val="center"/>
          </w:tcPr>
          <w:p w14:paraId="3E35A54C">
            <w:r>
              <w:rPr>
                <w:rFonts w:hint="eastAsia"/>
              </w:rPr>
              <w:t>贵金属投资</w:t>
            </w:r>
          </w:p>
        </w:tc>
        <w:tc>
          <w:tcPr>
            <w:tcW w:w="2325" w:type="dxa"/>
            <w:vAlign w:val="center"/>
          </w:tcPr>
          <w:p w14:paraId="65D58E5B">
            <w:pPr>
              <w:jc w:val="right"/>
            </w:pPr>
            <w:r>
              <w:rPr>
                <w:rFonts w:hint="eastAsia"/>
              </w:rPr>
              <w:t>-</w:t>
            </w:r>
          </w:p>
        </w:tc>
        <w:tc>
          <w:tcPr>
            <w:tcW w:w="2447" w:type="dxa"/>
            <w:vAlign w:val="center"/>
          </w:tcPr>
          <w:p w14:paraId="5EA7908A">
            <w:pPr>
              <w:jc w:val="right"/>
            </w:pPr>
            <w:r>
              <w:rPr>
                <w:rFonts w:hint="eastAsia"/>
              </w:rPr>
              <w:t>-</w:t>
            </w:r>
          </w:p>
        </w:tc>
      </w:tr>
      <w:tr w14:paraId="0AF5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A760F">
            <w:pPr>
              <w:jc w:val="center"/>
            </w:pPr>
            <w:r>
              <w:rPr>
                <w:rFonts w:hint="eastAsia"/>
              </w:rPr>
              <w:t>5</w:t>
            </w:r>
          </w:p>
        </w:tc>
        <w:tc>
          <w:tcPr>
            <w:tcW w:w="2901" w:type="dxa"/>
            <w:vAlign w:val="center"/>
          </w:tcPr>
          <w:p w14:paraId="59E82E06">
            <w:r>
              <w:rPr>
                <w:rFonts w:hint="eastAsia"/>
              </w:rPr>
              <w:t>金融衍生品投资</w:t>
            </w:r>
          </w:p>
        </w:tc>
        <w:tc>
          <w:tcPr>
            <w:tcW w:w="2325" w:type="dxa"/>
            <w:vAlign w:val="center"/>
          </w:tcPr>
          <w:p w14:paraId="03E15984">
            <w:pPr>
              <w:jc w:val="right"/>
            </w:pPr>
            <w:r>
              <w:rPr>
                <w:rFonts w:hint="eastAsia"/>
              </w:rPr>
              <w:t>-</w:t>
            </w:r>
          </w:p>
        </w:tc>
        <w:tc>
          <w:tcPr>
            <w:tcW w:w="2447" w:type="dxa"/>
            <w:vAlign w:val="center"/>
          </w:tcPr>
          <w:p w14:paraId="485C6D8C">
            <w:pPr>
              <w:jc w:val="right"/>
            </w:pPr>
            <w:r>
              <w:rPr>
                <w:rFonts w:hint="eastAsia"/>
              </w:rPr>
              <w:t>-</w:t>
            </w:r>
          </w:p>
        </w:tc>
      </w:tr>
      <w:tr w14:paraId="2125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CDD0CB">
            <w:pPr>
              <w:jc w:val="center"/>
            </w:pPr>
            <w:r>
              <w:rPr>
                <w:rFonts w:hint="eastAsia"/>
              </w:rPr>
              <w:t>6</w:t>
            </w:r>
          </w:p>
        </w:tc>
        <w:tc>
          <w:tcPr>
            <w:tcW w:w="2901" w:type="dxa"/>
            <w:vAlign w:val="center"/>
          </w:tcPr>
          <w:p w14:paraId="518D0E76">
            <w:r>
              <w:rPr>
                <w:rFonts w:hint="eastAsia"/>
              </w:rPr>
              <w:t>买入返售金融资产</w:t>
            </w:r>
          </w:p>
        </w:tc>
        <w:tc>
          <w:tcPr>
            <w:tcW w:w="2325" w:type="dxa"/>
            <w:vAlign w:val="center"/>
          </w:tcPr>
          <w:p w14:paraId="5198CFFD">
            <w:pPr>
              <w:jc w:val="right"/>
            </w:pPr>
            <w:r>
              <w:rPr>
                <w:rFonts w:hint="eastAsia"/>
              </w:rPr>
              <w:t>-31,381.98</w:t>
            </w:r>
          </w:p>
        </w:tc>
        <w:tc>
          <w:tcPr>
            <w:tcW w:w="2447" w:type="dxa"/>
            <w:vAlign w:val="center"/>
          </w:tcPr>
          <w:p w14:paraId="1F4B72F7">
            <w:pPr>
              <w:jc w:val="right"/>
            </w:pPr>
            <w:r>
              <w:rPr>
                <w:rFonts w:hint="eastAsia"/>
              </w:rPr>
              <w:t>0.00</w:t>
            </w:r>
          </w:p>
        </w:tc>
      </w:tr>
      <w:tr w14:paraId="2CEF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718F6">
            <w:pPr>
              <w:jc w:val="center"/>
            </w:pPr>
          </w:p>
        </w:tc>
        <w:tc>
          <w:tcPr>
            <w:tcW w:w="2901" w:type="dxa"/>
            <w:vAlign w:val="center"/>
          </w:tcPr>
          <w:p w14:paraId="11452F8B">
            <w:r>
              <w:rPr>
                <w:rFonts w:hint="eastAsia"/>
              </w:rPr>
              <w:t>其中：买断式回购的买入返售金融资产</w:t>
            </w:r>
          </w:p>
        </w:tc>
        <w:tc>
          <w:tcPr>
            <w:tcW w:w="2325" w:type="dxa"/>
            <w:vAlign w:val="center"/>
          </w:tcPr>
          <w:p w14:paraId="293EECE8">
            <w:pPr>
              <w:jc w:val="right"/>
            </w:pPr>
            <w:r>
              <w:rPr>
                <w:rFonts w:hint="eastAsia"/>
              </w:rPr>
              <w:t>-</w:t>
            </w:r>
          </w:p>
        </w:tc>
        <w:tc>
          <w:tcPr>
            <w:tcW w:w="2447" w:type="dxa"/>
            <w:vAlign w:val="center"/>
          </w:tcPr>
          <w:p w14:paraId="3BCC6720">
            <w:pPr>
              <w:jc w:val="right"/>
            </w:pPr>
            <w:r>
              <w:rPr>
                <w:rFonts w:hint="eastAsia"/>
              </w:rPr>
              <w:t>-</w:t>
            </w:r>
          </w:p>
        </w:tc>
      </w:tr>
      <w:tr w14:paraId="2ACB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9B4192">
            <w:pPr>
              <w:jc w:val="center"/>
            </w:pPr>
            <w:r>
              <w:rPr>
                <w:rFonts w:hint="eastAsia"/>
              </w:rPr>
              <w:t>7</w:t>
            </w:r>
          </w:p>
        </w:tc>
        <w:tc>
          <w:tcPr>
            <w:tcW w:w="2901" w:type="dxa"/>
            <w:vAlign w:val="center"/>
          </w:tcPr>
          <w:p w14:paraId="6FAE1DC3">
            <w:r>
              <w:rPr>
                <w:rFonts w:hint="eastAsia"/>
              </w:rPr>
              <w:t>银行存款和结算备付金合计</w:t>
            </w:r>
          </w:p>
        </w:tc>
        <w:tc>
          <w:tcPr>
            <w:tcW w:w="2325" w:type="dxa"/>
            <w:vAlign w:val="center"/>
          </w:tcPr>
          <w:p w14:paraId="126EEE77">
            <w:pPr>
              <w:jc w:val="right"/>
            </w:pPr>
            <w:r>
              <w:rPr>
                <w:rFonts w:hint="eastAsia"/>
              </w:rPr>
              <w:t>5,959,825.18</w:t>
            </w:r>
          </w:p>
        </w:tc>
        <w:tc>
          <w:tcPr>
            <w:tcW w:w="2447" w:type="dxa"/>
            <w:vAlign w:val="center"/>
          </w:tcPr>
          <w:p w14:paraId="0F9E1F83">
            <w:pPr>
              <w:jc w:val="right"/>
            </w:pPr>
            <w:r>
              <w:rPr>
                <w:rFonts w:hint="eastAsia"/>
              </w:rPr>
              <w:t>0.36</w:t>
            </w:r>
          </w:p>
        </w:tc>
      </w:tr>
      <w:tr w14:paraId="5C5A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A37B5D">
            <w:pPr>
              <w:jc w:val="center"/>
            </w:pPr>
            <w:r>
              <w:rPr>
                <w:rFonts w:hint="eastAsia"/>
              </w:rPr>
              <w:t>8</w:t>
            </w:r>
          </w:p>
        </w:tc>
        <w:tc>
          <w:tcPr>
            <w:tcW w:w="2901" w:type="dxa"/>
            <w:vAlign w:val="center"/>
          </w:tcPr>
          <w:p w14:paraId="51D271B4">
            <w:r>
              <w:rPr>
                <w:rFonts w:hint="eastAsia"/>
              </w:rPr>
              <w:t>其他各项资产</w:t>
            </w:r>
          </w:p>
        </w:tc>
        <w:tc>
          <w:tcPr>
            <w:tcW w:w="2325" w:type="dxa"/>
            <w:vAlign w:val="center"/>
          </w:tcPr>
          <w:p w14:paraId="03CBB28D">
            <w:pPr>
              <w:jc w:val="right"/>
            </w:pPr>
            <w:r>
              <w:rPr>
                <w:rFonts w:hint="eastAsia"/>
              </w:rPr>
              <w:t>142,279,067.02</w:t>
            </w:r>
          </w:p>
        </w:tc>
        <w:tc>
          <w:tcPr>
            <w:tcW w:w="2447" w:type="dxa"/>
            <w:vAlign w:val="center"/>
          </w:tcPr>
          <w:p w14:paraId="77045732">
            <w:pPr>
              <w:jc w:val="right"/>
            </w:pPr>
            <w:r>
              <w:rPr>
                <w:rFonts w:hint="eastAsia"/>
              </w:rPr>
              <w:t>8.58</w:t>
            </w:r>
          </w:p>
        </w:tc>
      </w:tr>
      <w:tr w14:paraId="4EB9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3F683">
            <w:pPr>
              <w:jc w:val="center"/>
            </w:pPr>
            <w:r>
              <w:rPr>
                <w:rFonts w:hint="eastAsia"/>
              </w:rPr>
              <w:t>9</w:t>
            </w:r>
          </w:p>
        </w:tc>
        <w:tc>
          <w:tcPr>
            <w:tcW w:w="2901" w:type="dxa"/>
            <w:vAlign w:val="center"/>
          </w:tcPr>
          <w:p w14:paraId="02EB6F63">
            <w:r>
              <w:rPr>
                <w:rFonts w:hint="eastAsia"/>
              </w:rPr>
              <w:t>合计</w:t>
            </w:r>
          </w:p>
        </w:tc>
        <w:tc>
          <w:tcPr>
            <w:tcW w:w="2325" w:type="dxa"/>
            <w:vAlign w:val="center"/>
          </w:tcPr>
          <w:p w14:paraId="122CA56C">
            <w:pPr>
              <w:jc w:val="right"/>
            </w:pPr>
            <w:r>
              <w:rPr>
                <w:rFonts w:hint="eastAsia"/>
              </w:rPr>
              <w:t>1,658,391,399.95</w:t>
            </w:r>
          </w:p>
        </w:tc>
        <w:tc>
          <w:tcPr>
            <w:tcW w:w="2447" w:type="dxa"/>
            <w:vAlign w:val="center"/>
          </w:tcPr>
          <w:p w14:paraId="4C20AAF9">
            <w:pPr>
              <w:jc w:val="right"/>
            </w:pPr>
            <w:r>
              <w:rPr>
                <w:rFonts w:hint="eastAsia"/>
              </w:rPr>
              <w:t>100.00</w:t>
            </w:r>
          </w:p>
        </w:tc>
      </w:tr>
    </w:tbl>
    <w:p w14:paraId="610CA275">
      <w:pPr>
        <w:pStyle w:val="23"/>
      </w:pPr>
      <w:bookmarkStart w:id="160" w:name="_Toc26682"/>
      <w:r>
        <w:t>报告期末按行业分类的股票投资组合</w:t>
      </w:r>
      <w:bookmarkEnd w:id="160"/>
    </w:p>
    <w:p w14:paraId="4806D431">
      <w:pPr>
        <w:pStyle w:val="28"/>
      </w:pPr>
      <w:bookmarkStart w:id="161" w:name="_Toc161"/>
      <w:r>
        <w:t>报告期末按行业分类的境内股票投资组合</w:t>
      </w:r>
      <w:bookmarkEnd w:id="161"/>
    </w:p>
    <w:p w14:paraId="48A08BDA">
      <w:pPr>
        <w:pStyle w:val="18"/>
        <w:rPr>
          <w:rFonts w:hint="eastAsia"/>
        </w:rPr>
      </w:pPr>
      <w:r>
        <w:rPr>
          <w:rFonts w:hint="eastAsia"/>
        </w:rPr>
        <w:t>无。</w:t>
      </w:r>
    </w:p>
    <w:p w14:paraId="19956DA1">
      <w:pPr>
        <w:pStyle w:val="28"/>
      </w:pPr>
      <w:bookmarkStart w:id="162" w:name="_Toc162"/>
      <w:r>
        <w:t>报告期末按行业分类的港股通投资股票投资组合</w:t>
      </w:r>
      <w:bookmarkEnd w:id="162"/>
    </w:p>
    <w:p w14:paraId="6C79C72E">
      <w:pPr>
        <w:pStyle w:val="18"/>
        <w:rPr>
          <w:rFonts w:hint="eastAsia"/>
        </w:rPr>
      </w:pPr>
      <w:r>
        <w:rPr>
          <w:rFonts w:hint="eastAsia"/>
        </w:rPr>
        <w:t>无。</w:t>
      </w:r>
    </w:p>
    <w:p w14:paraId="088A30A2">
      <w:pPr>
        <w:pStyle w:val="23"/>
      </w:pPr>
      <w:bookmarkStart w:id="163" w:name="_Toc6956"/>
      <w:r>
        <w:t>期末按公允价值占基金资产净值比例大小排序的所有股票投资明细</w:t>
      </w:r>
      <w:bookmarkEnd w:id="163"/>
    </w:p>
    <w:p w14:paraId="2AA09EAF">
      <w:pPr>
        <w:pStyle w:val="18"/>
        <w:rPr>
          <w:rFonts w:hint="eastAsia"/>
        </w:rPr>
      </w:pPr>
      <w:r>
        <w:rPr>
          <w:rFonts w:hint="eastAsia"/>
        </w:rPr>
        <w:t>无。</w:t>
      </w:r>
    </w:p>
    <w:p w14:paraId="404E6F85">
      <w:pPr>
        <w:pStyle w:val="23"/>
      </w:pPr>
      <w:bookmarkStart w:id="164" w:name="_Toc2036"/>
      <w:r>
        <w:t>报告期内股票投资组合的重大变动</w:t>
      </w:r>
      <w:bookmarkEnd w:id="164"/>
    </w:p>
    <w:p w14:paraId="08A7953C">
      <w:pPr>
        <w:pStyle w:val="28"/>
      </w:pPr>
      <w:bookmarkStart w:id="165" w:name="_Toc165"/>
      <w:r>
        <w:t>累计买入金额超出期末基金资产净值2%或前20名的股票明细</w:t>
      </w:r>
      <w:bookmarkEnd w:id="165"/>
    </w:p>
    <w:p w14:paraId="2B45C686">
      <w:pPr>
        <w:pStyle w:val="18"/>
        <w:rPr>
          <w:rFonts w:hint="eastAsia"/>
        </w:rPr>
      </w:pPr>
      <w:r>
        <w:rPr>
          <w:rFonts w:hint="eastAsia"/>
        </w:rPr>
        <w:t>无。</w:t>
      </w:r>
    </w:p>
    <w:p w14:paraId="4E7F6F43">
      <w:pPr>
        <w:pStyle w:val="28"/>
      </w:pPr>
      <w:bookmarkStart w:id="166" w:name="_Toc166"/>
      <w:r>
        <w:t>累计卖出金额超出期末基金资产净值2%或前20名的股票明细</w:t>
      </w:r>
      <w:bookmarkEnd w:id="166"/>
    </w:p>
    <w:p w14:paraId="34A2BE95">
      <w:pPr>
        <w:pStyle w:val="18"/>
        <w:rPr>
          <w:rFonts w:hint="eastAsia"/>
        </w:rPr>
      </w:pPr>
      <w:r>
        <w:rPr>
          <w:rFonts w:hint="eastAsia"/>
        </w:rPr>
        <w:t>无。</w:t>
      </w:r>
    </w:p>
    <w:p w14:paraId="2F0E41AA">
      <w:pPr>
        <w:pStyle w:val="28"/>
      </w:pPr>
      <w:bookmarkStart w:id="167" w:name="_Toc167"/>
      <w:r>
        <w:t>买入股票的成本总额及卖出股票的收入总额</w:t>
      </w:r>
      <w:bookmarkEnd w:id="167"/>
    </w:p>
    <w:p w14:paraId="1E56C69B">
      <w:pPr>
        <w:pStyle w:val="18"/>
        <w:rPr>
          <w:rFonts w:hint="eastAsia"/>
        </w:rPr>
      </w:pPr>
      <w:r>
        <w:rPr>
          <w:rFonts w:hint="eastAsia"/>
        </w:rPr>
        <w:t>无。</w:t>
      </w:r>
    </w:p>
    <w:p w14:paraId="53B4FC32">
      <w:pPr>
        <w:pStyle w:val="23"/>
      </w:pPr>
      <w:bookmarkStart w:id="168" w:name="_Toc17137"/>
      <w:r>
        <w:t>期末按债券品种分类的债券投资组合</w:t>
      </w:r>
      <w:bookmarkEnd w:id="168"/>
    </w:p>
    <w:p w14:paraId="7B6F71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738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7A95A0">
            <w:pPr>
              <w:jc w:val="center"/>
            </w:pPr>
            <w:r>
              <w:rPr>
                <w:rFonts w:hint="eastAsia"/>
                <w:b/>
              </w:rPr>
              <w:t>序号</w:t>
            </w:r>
          </w:p>
        </w:tc>
        <w:tc>
          <w:tcPr>
            <w:tcW w:w="2768" w:type="dxa"/>
            <w:shd w:val="clear" w:color="auto" w:fill="BFBFBF"/>
            <w:vAlign w:val="center"/>
          </w:tcPr>
          <w:p w14:paraId="7E146C86">
            <w:pPr>
              <w:jc w:val="center"/>
            </w:pPr>
            <w:r>
              <w:rPr>
                <w:rFonts w:hint="eastAsia"/>
                <w:b/>
              </w:rPr>
              <w:t>债券品种</w:t>
            </w:r>
          </w:p>
        </w:tc>
        <w:tc>
          <w:tcPr>
            <w:tcW w:w="2408" w:type="dxa"/>
            <w:shd w:val="clear" w:color="auto" w:fill="BFBFBF"/>
            <w:vAlign w:val="center"/>
          </w:tcPr>
          <w:p w14:paraId="44901F0A">
            <w:pPr>
              <w:jc w:val="center"/>
            </w:pPr>
            <w:r>
              <w:rPr>
                <w:rFonts w:hint="eastAsia"/>
                <w:b/>
              </w:rPr>
              <w:t>公允价值（元）</w:t>
            </w:r>
          </w:p>
        </w:tc>
        <w:tc>
          <w:tcPr>
            <w:tcW w:w="2497" w:type="dxa"/>
            <w:shd w:val="clear" w:color="auto" w:fill="BFBFBF"/>
            <w:vAlign w:val="center"/>
          </w:tcPr>
          <w:p w14:paraId="3B769BE1">
            <w:pPr>
              <w:jc w:val="center"/>
            </w:pPr>
            <w:r>
              <w:rPr>
                <w:rFonts w:hint="eastAsia"/>
                <w:b/>
              </w:rPr>
              <w:t>占基金资产净值比例（％）</w:t>
            </w:r>
          </w:p>
        </w:tc>
      </w:tr>
      <w:tr w14:paraId="1987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7B05E">
            <w:pPr>
              <w:jc w:val="center"/>
            </w:pPr>
            <w:r>
              <w:rPr>
                <w:rFonts w:hint="eastAsia"/>
              </w:rPr>
              <w:t>1</w:t>
            </w:r>
          </w:p>
        </w:tc>
        <w:tc>
          <w:tcPr>
            <w:tcW w:w="2768" w:type="dxa"/>
            <w:vAlign w:val="center"/>
          </w:tcPr>
          <w:p w14:paraId="6412B7C2">
            <w:r>
              <w:rPr>
                <w:rFonts w:hint="eastAsia"/>
              </w:rPr>
              <w:t>国家债券</w:t>
            </w:r>
          </w:p>
        </w:tc>
        <w:tc>
          <w:tcPr>
            <w:tcW w:w="2408" w:type="dxa"/>
            <w:vAlign w:val="center"/>
          </w:tcPr>
          <w:p w14:paraId="78BE1CCB">
            <w:pPr>
              <w:jc w:val="right"/>
            </w:pPr>
            <w:r>
              <w:rPr>
                <w:rFonts w:hint="eastAsia"/>
              </w:rPr>
              <w:t>83,521,408.66</w:t>
            </w:r>
          </w:p>
        </w:tc>
        <w:tc>
          <w:tcPr>
            <w:tcW w:w="2497" w:type="dxa"/>
            <w:vAlign w:val="center"/>
          </w:tcPr>
          <w:p w14:paraId="1C7B6C4F">
            <w:pPr>
              <w:jc w:val="right"/>
            </w:pPr>
            <w:r>
              <w:rPr>
                <w:rFonts w:hint="eastAsia"/>
              </w:rPr>
              <w:t>5.29</w:t>
            </w:r>
          </w:p>
        </w:tc>
      </w:tr>
      <w:tr w14:paraId="7A06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811D0">
            <w:pPr>
              <w:jc w:val="center"/>
            </w:pPr>
            <w:r>
              <w:rPr>
                <w:rFonts w:hint="eastAsia"/>
              </w:rPr>
              <w:t>2</w:t>
            </w:r>
          </w:p>
        </w:tc>
        <w:tc>
          <w:tcPr>
            <w:tcW w:w="2768" w:type="dxa"/>
            <w:vAlign w:val="center"/>
          </w:tcPr>
          <w:p w14:paraId="169837C5">
            <w:r>
              <w:rPr>
                <w:rFonts w:hint="eastAsia"/>
              </w:rPr>
              <w:t>央行票据</w:t>
            </w:r>
          </w:p>
        </w:tc>
        <w:tc>
          <w:tcPr>
            <w:tcW w:w="2408" w:type="dxa"/>
            <w:vAlign w:val="center"/>
          </w:tcPr>
          <w:p w14:paraId="347F98C8">
            <w:pPr>
              <w:jc w:val="right"/>
            </w:pPr>
            <w:r>
              <w:rPr>
                <w:rFonts w:hint="eastAsia"/>
              </w:rPr>
              <w:t>-</w:t>
            </w:r>
          </w:p>
        </w:tc>
        <w:tc>
          <w:tcPr>
            <w:tcW w:w="2497" w:type="dxa"/>
            <w:vAlign w:val="center"/>
          </w:tcPr>
          <w:p w14:paraId="594EFE3B">
            <w:pPr>
              <w:jc w:val="right"/>
            </w:pPr>
            <w:r>
              <w:rPr>
                <w:rFonts w:hint="eastAsia"/>
              </w:rPr>
              <w:t>-</w:t>
            </w:r>
          </w:p>
        </w:tc>
      </w:tr>
      <w:tr w14:paraId="1C08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03590E">
            <w:pPr>
              <w:jc w:val="center"/>
            </w:pPr>
            <w:r>
              <w:rPr>
                <w:rFonts w:hint="eastAsia"/>
              </w:rPr>
              <w:t>3</w:t>
            </w:r>
          </w:p>
        </w:tc>
        <w:tc>
          <w:tcPr>
            <w:tcW w:w="2768" w:type="dxa"/>
            <w:vAlign w:val="center"/>
          </w:tcPr>
          <w:p w14:paraId="2AE45B52">
            <w:r>
              <w:rPr>
                <w:rFonts w:hint="eastAsia"/>
              </w:rPr>
              <w:t>金融债券</w:t>
            </w:r>
          </w:p>
        </w:tc>
        <w:tc>
          <w:tcPr>
            <w:tcW w:w="2408" w:type="dxa"/>
            <w:vAlign w:val="center"/>
          </w:tcPr>
          <w:p w14:paraId="4C44E5AD">
            <w:pPr>
              <w:jc w:val="right"/>
            </w:pPr>
            <w:r>
              <w:rPr>
                <w:rFonts w:hint="eastAsia"/>
              </w:rPr>
              <w:t>-</w:t>
            </w:r>
          </w:p>
        </w:tc>
        <w:tc>
          <w:tcPr>
            <w:tcW w:w="2497" w:type="dxa"/>
            <w:vAlign w:val="center"/>
          </w:tcPr>
          <w:p w14:paraId="52351FDD">
            <w:pPr>
              <w:jc w:val="right"/>
            </w:pPr>
            <w:r>
              <w:rPr>
                <w:rFonts w:hint="eastAsia"/>
              </w:rPr>
              <w:t>-</w:t>
            </w:r>
          </w:p>
        </w:tc>
      </w:tr>
      <w:tr w14:paraId="256C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F7A380">
            <w:pPr>
              <w:jc w:val="center"/>
            </w:pPr>
          </w:p>
        </w:tc>
        <w:tc>
          <w:tcPr>
            <w:tcW w:w="2768" w:type="dxa"/>
            <w:vAlign w:val="center"/>
          </w:tcPr>
          <w:p w14:paraId="6E0EA591">
            <w:r>
              <w:rPr>
                <w:rFonts w:hint="eastAsia"/>
              </w:rPr>
              <w:t>其中：政策性金融债</w:t>
            </w:r>
          </w:p>
        </w:tc>
        <w:tc>
          <w:tcPr>
            <w:tcW w:w="2408" w:type="dxa"/>
            <w:vAlign w:val="center"/>
          </w:tcPr>
          <w:p w14:paraId="2A6BAB0E">
            <w:pPr>
              <w:jc w:val="right"/>
            </w:pPr>
            <w:r>
              <w:rPr>
                <w:rFonts w:hint="eastAsia"/>
              </w:rPr>
              <w:t>-</w:t>
            </w:r>
          </w:p>
        </w:tc>
        <w:tc>
          <w:tcPr>
            <w:tcW w:w="2497" w:type="dxa"/>
            <w:vAlign w:val="center"/>
          </w:tcPr>
          <w:p w14:paraId="64FDC2DF">
            <w:pPr>
              <w:jc w:val="right"/>
            </w:pPr>
            <w:r>
              <w:rPr>
                <w:rFonts w:hint="eastAsia"/>
              </w:rPr>
              <w:t>-</w:t>
            </w:r>
          </w:p>
        </w:tc>
      </w:tr>
      <w:tr w14:paraId="1066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0D0337">
            <w:pPr>
              <w:jc w:val="center"/>
            </w:pPr>
            <w:r>
              <w:rPr>
                <w:rFonts w:hint="eastAsia"/>
              </w:rPr>
              <w:t>4</w:t>
            </w:r>
          </w:p>
        </w:tc>
        <w:tc>
          <w:tcPr>
            <w:tcW w:w="2768" w:type="dxa"/>
            <w:vAlign w:val="center"/>
          </w:tcPr>
          <w:p w14:paraId="5B9B253D">
            <w:r>
              <w:rPr>
                <w:rFonts w:hint="eastAsia"/>
              </w:rPr>
              <w:t>企业债券</w:t>
            </w:r>
          </w:p>
        </w:tc>
        <w:tc>
          <w:tcPr>
            <w:tcW w:w="2408" w:type="dxa"/>
            <w:vAlign w:val="center"/>
          </w:tcPr>
          <w:p w14:paraId="0F42EAB3">
            <w:pPr>
              <w:jc w:val="right"/>
            </w:pPr>
            <w:r>
              <w:rPr>
                <w:rFonts w:hint="eastAsia"/>
              </w:rPr>
              <w:t>-</w:t>
            </w:r>
          </w:p>
        </w:tc>
        <w:tc>
          <w:tcPr>
            <w:tcW w:w="2497" w:type="dxa"/>
            <w:vAlign w:val="center"/>
          </w:tcPr>
          <w:p w14:paraId="73411372">
            <w:pPr>
              <w:jc w:val="right"/>
            </w:pPr>
            <w:r>
              <w:rPr>
                <w:rFonts w:hint="eastAsia"/>
              </w:rPr>
              <w:t>-</w:t>
            </w:r>
          </w:p>
        </w:tc>
      </w:tr>
      <w:tr w14:paraId="03B2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27B06">
            <w:pPr>
              <w:jc w:val="center"/>
            </w:pPr>
            <w:r>
              <w:rPr>
                <w:rFonts w:hint="eastAsia"/>
              </w:rPr>
              <w:t>5</w:t>
            </w:r>
          </w:p>
        </w:tc>
        <w:tc>
          <w:tcPr>
            <w:tcW w:w="2768" w:type="dxa"/>
            <w:vAlign w:val="center"/>
          </w:tcPr>
          <w:p w14:paraId="42629879">
            <w:r>
              <w:rPr>
                <w:rFonts w:hint="eastAsia"/>
              </w:rPr>
              <w:t>企业短期融资券</w:t>
            </w:r>
          </w:p>
        </w:tc>
        <w:tc>
          <w:tcPr>
            <w:tcW w:w="2408" w:type="dxa"/>
            <w:vAlign w:val="center"/>
          </w:tcPr>
          <w:p w14:paraId="7AE3DF1D">
            <w:pPr>
              <w:jc w:val="right"/>
            </w:pPr>
            <w:r>
              <w:rPr>
                <w:rFonts w:hint="eastAsia"/>
              </w:rPr>
              <w:t>-</w:t>
            </w:r>
          </w:p>
        </w:tc>
        <w:tc>
          <w:tcPr>
            <w:tcW w:w="2497" w:type="dxa"/>
            <w:vAlign w:val="center"/>
          </w:tcPr>
          <w:p w14:paraId="732F2382">
            <w:pPr>
              <w:jc w:val="right"/>
            </w:pPr>
            <w:r>
              <w:rPr>
                <w:rFonts w:hint="eastAsia"/>
              </w:rPr>
              <w:t>-</w:t>
            </w:r>
          </w:p>
        </w:tc>
      </w:tr>
      <w:tr w14:paraId="3230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0407F">
            <w:pPr>
              <w:jc w:val="center"/>
            </w:pPr>
            <w:r>
              <w:rPr>
                <w:rFonts w:hint="eastAsia"/>
              </w:rPr>
              <w:t>6</w:t>
            </w:r>
          </w:p>
        </w:tc>
        <w:tc>
          <w:tcPr>
            <w:tcW w:w="2768" w:type="dxa"/>
            <w:vAlign w:val="center"/>
          </w:tcPr>
          <w:p w14:paraId="4D83984A">
            <w:r>
              <w:rPr>
                <w:rFonts w:hint="eastAsia"/>
              </w:rPr>
              <w:t>中期票据</w:t>
            </w:r>
          </w:p>
        </w:tc>
        <w:tc>
          <w:tcPr>
            <w:tcW w:w="2408" w:type="dxa"/>
            <w:vAlign w:val="center"/>
          </w:tcPr>
          <w:p w14:paraId="62AD0EF3">
            <w:pPr>
              <w:jc w:val="right"/>
            </w:pPr>
            <w:r>
              <w:rPr>
                <w:rFonts w:hint="eastAsia"/>
              </w:rPr>
              <w:t>-</w:t>
            </w:r>
          </w:p>
        </w:tc>
        <w:tc>
          <w:tcPr>
            <w:tcW w:w="2497" w:type="dxa"/>
            <w:vAlign w:val="center"/>
          </w:tcPr>
          <w:p w14:paraId="69E72157">
            <w:pPr>
              <w:jc w:val="right"/>
            </w:pPr>
            <w:r>
              <w:rPr>
                <w:rFonts w:hint="eastAsia"/>
              </w:rPr>
              <w:t>-</w:t>
            </w:r>
          </w:p>
        </w:tc>
      </w:tr>
      <w:tr w14:paraId="6348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2A191">
            <w:pPr>
              <w:jc w:val="center"/>
            </w:pPr>
            <w:r>
              <w:rPr>
                <w:rFonts w:hint="eastAsia"/>
              </w:rPr>
              <w:t>7</w:t>
            </w:r>
          </w:p>
        </w:tc>
        <w:tc>
          <w:tcPr>
            <w:tcW w:w="2768" w:type="dxa"/>
            <w:vAlign w:val="center"/>
          </w:tcPr>
          <w:p w14:paraId="2831C8EF">
            <w:r>
              <w:rPr>
                <w:rFonts w:hint="eastAsia"/>
              </w:rPr>
              <w:t>可转债（可交换债）</w:t>
            </w:r>
          </w:p>
        </w:tc>
        <w:tc>
          <w:tcPr>
            <w:tcW w:w="2408" w:type="dxa"/>
            <w:vAlign w:val="center"/>
          </w:tcPr>
          <w:p w14:paraId="109938B2">
            <w:pPr>
              <w:jc w:val="right"/>
            </w:pPr>
            <w:r>
              <w:rPr>
                <w:rFonts w:hint="eastAsia"/>
              </w:rPr>
              <w:t>-</w:t>
            </w:r>
          </w:p>
        </w:tc>
        <w:tc>
          <w:tcPr>
            <w:tcW w:w="2497" w:type="dxa"/>
            <w:vAlign w:val="center"/>
          </w:tcPr>
          <w:p w14:paraId="1839BC55">
            <w:pPr>
              <w:jc w:val="right"/>
            </w:pPr>
            <w:r>
              <w:rPr>
                <w:rFonts w:hint="eastAsia"/>
              </w:rPr>
              <w:t>-</w:t>
            </w:r>
          </w:p>
        </w:tc>
      </w:tr>
      <w:tr w14:paraId="3862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0F969E">
            <w:pPr>
              <w:jc w:val="center"/>
            </w:pPr>
            <w:r>
              <w:rPr>
                <w:rFonts w:hint="eastAsia"/>
              </w:rPr>
              <w:t>8</w:t>
            </w:r>
          </w:p>
        </w:tc>
        <w:tc>
          <w:tcPr>
            <w:tcW w:w="2768" w:type="dxa"/>
            <w:vAlign w:val="center"/>
          </w:tcPr>
          <w:p w14:paraId="7D0D5664">
            <w:r>
              <w:rPr>
                <w:rFonts w:hint="eastAsia"/>
              </w:rPr>
              <w:t>同业存单</w:t>
            </w:r>
          </w:p>
        </w:tc>
        <w:tc>
          <w:tcPr>
            <w:tcW w:w="2408" w:type="dxa"/>
            <w:vAlign w:val="center"/>
          </w:tcPr>
          <w:p w14:paraId="7AEAFE72">
            <w:pPr>
              <w:jc w:val="right"/>
            </w:pPr>
            <w:r>
              <w:rPr>
                <w:rFonts w:hint="eastAsia"/>
              </w:rPr>
              <w:t>-</w:t>
            </w:r>
          </w:p>
        </w:tc>
        <w:tc>
          <w:tcPr>
            <w:tcW w:w="2497" w:type="dxa"/>
            <w:vAlign w:val="center"/>
          </w:tcPr>
          <w:p w14:paraId="31919ABE">
            <w:pPr>
              <w:jc w:val="right"/>
            </w:pPr>
            <w:r>
              <w:rPr>
                <w:rFonts w:hint="eastAsia"/>
              </w:rPr>
              <w:t>-</w:t>
            </w:r>
          </w:p>
        </w:tc>
      </w:tr>
      <w:tr w14:paraId="4A8F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9AE757">
            <w:pPr>
              <w:jc w:val="center"/>
            </w:pPr>
            <w:r>
              <w:rPr>
                <w:rFonts w:hint="eastAsia"/>
              </w:rPr>
              <w:t>9</w:t>
            </w:r>
          </w:p>
        </w:tc>
        <w:tc>
          <w:tcPr>
            <w:tcW w:w="2768" w:type="dxa"/>
            <w:vAlign w:val="center"/>
          </w:tcPr>
          <w:p w14:paraId="5B720387">
            <w:r>
              <w:rPr>
                <w:rFonts w:hint="eastAsia"/>
              </w:rPr>
              <w:t>其他</w:t>
            </w:r>
          </w:p>
        </w:tc>
        <w:tc>
          <w:tcPr>
            <w:tcW w:w="2408" w:type="dxa"/>
            <w:vAlign w:val="center"/>
          </w:tcPr>
          <w:p w14:paraId="38EF293B">
            <w:pPr>
              <w:jc w:val="right"/>
            </w:pPr>
            <w:r>
              <w:rPr>
                <w:rFonts w:hint="eastAsia"/>
              </w:rPr>
              <w:t>-</w:t>
            </w:r>
          </w:p>
        </w:tc>
        <w:tc>
          <w:tcPr>
            <w:tcW w:w="2497" w:type="dxa"/>
            <w:vAlign w:val="center"/>
          </w:tcPr>
          <w:p w14:paraId="40AA1F3A">
            <w:pPr>
              <w:jc w:val="right"/>
            </w:pPr>
            <w:r>
              <w:rPr>
                <w:rFonts w:hint="eastAsia"/>
              </w:rPr>
              <w:t>-</w:t>
            </w:r>
          </w:p>
        </w:tc>
      </w:tr>
      <w:tr w14:paraId="2A65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DCDC15">
            <w:pPr>
              <w:jc w:val="center"/>
            </w:pPr>
            <w:r>
              <w:rPr>
                <w:rFonts w:hint="eastAsia"/>
              </w:rPr>
              <w:t>10</w:t>
            </w:r>
          </w:p>
        </w:tc>
        <w:tc>
          <w:tcPr>
            <w:tcW w:w="2768" w:type="dxa"/>
            <w:vAlign w:val="center"/>
          </w:tcPr>
          <w:p w14:paraId="23C7EF03">
            <w:r>
              <w:rPr>
                <w:rFonts w:hint="eastAsia"/>
              </w:rPr>
              <w:t>合计</w:t>
            </w:r>
          </w:p>
        </w:tc>
        <w:tc>
          <w:tcPr>
            <w:tcW w:w="2408" w:type="dxa"/>
            <w:vAlign w:val="center"/>
          </w:tcPr>
          <w:p w14:paraId="1FDDBAFB">
            <w:pPr>
              <w:jc w:val="right"/>
            </w:pPr>
            <w:r>
              <w:rPr>
                <w:rFonts w:hint="eastAsia"/>
              </w:rPr>
              <w:t>83,521,408.66</w:t>
            </w:r>
          </w:p>
        </w:tc>
        <w:tc>
          <w:tcPr>
            <w:tcW w:w="2497" w:type="dxa"/>
            <w:vAlign w:val="center"/>
          </w:tcPr>
          <w:p w14:paraId="21EED5C9">
            <w:pPr>
              <w:jc w:val="right"/>
            </w:pPr>
            <w:r>
              <w:rPr>
                <w:rFonts w:hint="eastAsia"/>
              </w:rPr>
              <w:t>5.29</w:t>
            </w:r>
          </w:p>
        </w:tc>
      </w:tr>
    </w:tbl>
    <w:p w14:paraId="61336A65">
      <w:pPr>
        <w:pStyle w:val="23"/>
      </w:pPr>
      <w:bookmarkStart w:id="169" w:name="_Toc6000"/>
      <w:r>
        <w:t>期末按公允价值占基金资产净值比例大小排序的前五名债券投资明细</w:t>
      </w:r>
      <w:bookmarkEnd w:id="169"/>
    </w:p>
    <w:p w14:paraId="241769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16D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256A17B">
            <w:pPr>
              <w:jc w:val="center"/>
            </w:pPr>
            <w:r>
              <w:rPr>
                <w:rFonts w:hint="eastAsia"/>
                <w:b/>
              </w:rPr>
              <w:t>序号</w:t>
            </w:r>
          </w:p>
        </w:tc>
        <w:tc>
          <w:tcPr>
            <w:tcW w:w="1135" w:type="dxa"/>
            <w:shd w:val="clear" w:color="auto" w:fill="BFBFBF"/>
            <w:vAlign w:val="center"/>
          </w:tcPr>
          <w:p w14:paraId="0C3F451B">
            <w:pPr>
              <w:jc w:val="center"/>
            </w:pPr>
            <w:r>
              <w:rPr>
                <w:rFonts w:hint="eastAsia"/>
                <w:b/>
              </w:rPr>
              <w:t>债券代码</w:t>
            </w:r>
          </w:p>
        </w:tc>
        <w:tc>
          <w:tcPr>
            <w:tcW w:w="1882" w:type="dxa"/>
            <w:shd w:val="clear" w:color="auto" w:fill="BFBFBF"/>
            <w:vAlign w:val="center"/>
          </w:tcPr>
          <w:p w14:paraId="107928A2">
            <w:pPr>
              <w:jc w:val="center"/>
            </w:pPr>
            <w:r>
              <w:rPr>
                <w:rFonts w:hint="eastAsia"/>
                <w:b/>
              </w:rPr>
              <w:t>债券名称</w:t>
            </w:r>
          </w:p>
        </w:tc>
        <w:tc>
          <w:tcPr>
            <w:tcW w:w="1113" w:type="dxa"/>
            <w:shd w:val="clear" w:color="auto" w:fill="BFBFBF"/>
            <w:vAlign w:val="center"/>
          </w:tcPr>
          <w:p w14:paraId="24623D69">
            <w:pPr>
              <w:jc w:val="center"/>
            </w:pPr>
            <w:r>
              <w:rPr>
                <w:rFonts w:hint="eastAsia"/>
                <w:b/>
              </w:rPr>
              <w:t>数量（张）</w:t>
            </w:r>
          </w:p>
        </w:tc>
        <w:tc>
          <w:tcPr>
            <w:tcW w:w="1771" w:type="dxa"/>
            <w:shd w:val="clear" w:color="auto" w:fill="BFBFBF"/>
            <w:vAlign w:val="center"/>
          </w:tcPr>
          <w:p w14:paraId="35F20B63">
            <w:pPr>
              <w:jc w:val="center"/>
            </w:pPr>
            <w:r>
              <w:rPr>
                <w:rFonts w:hint="eastAsia"/>
                <w:b/>
              </w:rPr>
              <w:t>公允价值（元）</w:t>
            </w:r>
          </w:p>
        </w:tc>
        <w:tc>
          <w:tcPr>
            <w:tcW w:w="1771" w:type="dxa"/>
            <w:shd w:val="clear" w:color="auto" w:fill="BFBFBF"/>
            <w:vAlign w:val="center"/>
          </w:tcPr>
          <w:p w14:paraId="15215F1F">
            <w:pPr>
              <w:jc w:val="center"/>
            </w:pPr>
            <w:r>
              <w:rPr>
                <w:rFonts w:hint="eastAsia"/>
                <w:b/>
              </w:rPr>
              <w:t>占基金资产净值比例（％）</w:t>
            </w:r>
          </w:p>
        </w:tc>
      </w:tr>
      <w:tr w14:paraId="1500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FD4010">
            <w:pPr>
              <w:jc w:val="center"/>
            </w:pPr>
            <w:r>
              <w:rPr>
                <w:rFonts w:hint="eastAsia"/>
              </w:rPr>
              <w:t>1</w:t>
            </w:r>
          </w:p>
        </w:tc>
        <w:tc>
          <w:tcPr>
            <w:tcW w:w="1135" w:type="dxa"/>
            <w:vAlign w:val="center"/>
          </w:tcPr>
          <w:p w14:paraId="34717742">
            <w:r>
              <w:rPr>
                <w:rFonts w:hint="eastAsia"/>
              </w:rPr>
              <w:t>019766</w:t>
            </w:r>
          </w:p>
        </w:tc>
        <w:tc>
          <w:tcPr>
            <w:tcW w:w="1882" w:type="dxa"/>
            <w:vAlign w:val="center"/>
          </w:tcPr>
          <w:p w14:paraId="65F7BFE5">
            <w:r>
              <w:rPr>
                <w:rFonts w:hint="eastAsia"/>
              </w:rPr>
              <w:t>25国债01</w:t>
            </w:r>
          </w:p>
        </w:tc>
        <w:tc>
          <w:tcPr>
            <w:tcW w:w="1113" w:type="dxa"/>
            <w:vAlign w:val="center"/>
          </w:tcPr>
          <w:p w14:paraId="17D4CF1F">
            <w:pPr>
              <w:jc w:val="right"/>
            </w:pPr>
            <w:r>
              <w:rPr>
                <w:rFonts w:hint="eastAsia"/>
              </w:rPr>
              <w:t>826,000</w:t>
            </w:r>
          </w:p>
        </w:tc>
        <w:tc>
          <w:tcPr>
            <w:tcW w:w="1771" w:type="dxa"/>
            <w:vAlign w:val="center"/>
          </w:tcPr>
          <w:p w14:paraId="6BE24DC3">
            <w:pPr>
              <w:jc w:val="right"/>
            </w:pPr>
            <w:r>
              <w:rPr>
                <w:rFonts w:hint="eastAsia"/>
              </w:rPr>
              <w:t>83,521,408.66</w:t>
            </w:r>
          </w:p>
        </w:tc>
        <w:tc>
          <w:tcPr>
            <w:tcW w:w="1771" w:type="dxa"/>
            <w:vAlign w:val="center"/>
          </w:tcPr>
          <w:p w14:paraId="5ED584E0">
            <w:pPr>
              <w:jc w:val="right"/>
            </w:pPr>
            <w:r>
              <w:rPr>
                <w:rFonts w:hint="eastAsia"/>
              </w:rPr>
              <w:t>5.29</w:t>
            </w:r>
          </w:p>
        </w:tc>
      </w:tr>
    </w:tbl>
    <w:p w14:paraId="7029F54C">
      <w:pPr>
        <w:pStyle w:val="23"/>
      </w:pPr>
      <w:bookmarkStart w:id="170" w:name="_Toc11587"/>
      <w:r>
        <w:t>期末按公允价值占基金资产净值比例大小排序的所有资产支持证券投资明细</w:t>
      </w:r>
      <w:bookmarkEnd w:id="170"/>
    </w:p>
    <w:p w14:paraId="5E345822">
      <w:pPr>
        <w:pStyle w:val="18"/>
        <w:rPr>
          <w:rFonts w:hint="eastAsia"/>
        </w:rPr>
      </w:pPr>
      <w:r>
        <w:rPr>
          <w:rFonts w:hint="eastAsia"/>
        </w:rPr>
        <w:t>无。</w:t>
      </w:r>
    </w:p>
    <w:p w14:paraId="267AACA6">
      <w:pPr>
        <w:pStyle w:val="23"/>
      </w:pPr>
      <w:bookmarkStart w:id="171" w:name="_Toc1737"/>
      <w:r>
        <w:t>报告期末按公允价值占基金资产净值比例大小排序的前五名贵金属投资明细</w:t>
      </w:r>
      <w:bookmarkEnd w:id="171"/>
    </w:p>
    <w:p w14:paraId="15E35E27">
      <w:pPr>
        <w:pStyle w:val="18"/>
        <w:rPr>
          <w:rFonts w:hint="eastAsia"/>
        </w:rPr>
      </w:pPr>
      <w:r>
        <w:rPr>
          <w:rFonts w:hint="eastAsia"/>
        </w:rPr>
        <w:t>无。</w:t>
      </w:r>
    </w:p>
    <w:p w14:paraId="31092D22">
      <w:pPr>
        <w:pStyle w:val="23"/>
      </w:pPr>
      <w:bookmarkStart w:id="172" w:name="_Toc27242"/>
      <w:r>
        <w:t>期末按公允价值占基金资产净值比例大小排序的前五名权证投资明细</w:t>
      </w:r>
      <w:bookmarkEnd w:id="172"/>
    </w:p>
    <w:p w14:paraId="7C2D96D8">
      <w:pPr>
        <w:pStyle w:val="18"/>
        <w:rPr>
          <w:rFonts w:hint="eastAsia"/>
        </w:rPr>
      </w:pPr>
      <w:r>
        <w:rPr>
          <w:rFonts w:hint="eastAsia"/>
        </w:rPr>
        <w:t>无。</w:t>
      </w:r>
    </w:p>
    <w:p w14:paraId="1D847A08">
      <w:pPr>
        <w:pStyle w:val="23"/>
      </w:pPr>
      <w:bookmarkStart w:id="173" w:name="_Toc27482"/>
      <w:r>
        <w:t>本基金投资股指期货的投资政策</w:t>
      </w:r>
      <w:bookmarkEnd w:id="173"/>
    </w:p>
    <w:p w14:paraId="46EE19FF">
      <w:pPr>
        <w:pStyle w:val="18"/>
        <w:rPr>
          <w:rFonts w:hint="eastAsia"/>
        </w:rPr>
      </w:pPr>
      <w:r>
        <w:rPr>
          <w:rFonts w:hint="eastAsia"/>
        </w:rPr>
        <w:t>无。</w:t>
      </w:r>
    </w:p>
    <w:p w14:paraId="53305444">
      <w:pPr>
        <w:pStyle w:val="23"/>
      </w:pPr>
      <w:bookmarkStart w:id="174" w:name="_Toc12226"/>
      <w:r>
        <w:t>报告期末本基金投资的国债期货交易情况说明</w:t>
      </w:r>
      <w:bookmarkEnd w:id="174"/>
    </w:p>
    <w:p w14:paraId="438DCC97">
      <w:pPr>
        <w:pStyle w:val="28"/>
      </w:pPr>
      <w:bookmarkStart w:id="175" w:name="_Toc175"/>
      <w:r>
        <w:t>本期国债期货投资政策</w:t>
      </w:r>
      <w:bookmarkEnd w:id="175"/>
    </w:p>
    <w:p w14:paraId="0820CB72">
      <w:pPr>
        <w:pStyle w:val="18"/>
        <w:rPr>
          <w:rFonts w:hint="eastAsia"/>
        </w:rPr>
      </w:pPr>
      <w:r>
        <w:rPr>
          <w:rFonts w:hint="eastAsia"/>
        </w:rPr>
        <w:t>无。</w:t>
      </w:r>
    </w:p>
    <w:p w14:paraId="4969559A">
      <w:pPr>
        <w:pStyle w:val="28"/>
      </w:pPr>
      <w:bookmarkStart w:id="176" w:name="_Toc176"/>
      <w:r>
        <w:t>本期国债期货投资评价</w:t>
      </w:r>
      <w:bookmarkEnd w:id="176"/>
    </w:p>
    <w:p w14:paraId="450EEE0B">
      <w:pPr>
        <w:pStyle w:val="18"/>
        <w:rPr>
          <w:rFonts w:hint="eastAsia"/>
        </w:rPr>
      </w:pPr>
      <w:r>
        <w:rPr>
          <w:rFonts w:hint="eastAsia"/>
        </w:rPr>
        <w:t>无。</w:t>
      </w:r>
    </w:p>
    <w:p w14:paraId="01B9766B">
      <w:pPr>
        <w:pStyle w:val="23"/>
      </w:pPr>
      <w:bookmarkStart w:id="177" w:name="_Toc27859"/>
      <w:r>
        <w:t>本报告期投资基金情况</w:t>
      </w:r>
      <w:bookmarkEnd w:id="177"/>
    </w:p>
    <w:p w14:paraId="7372E7D2">
      <w:pPr>
        <w:pStyle w:val="28"/>
      </w:pPr>
      <w:bookmarkStart w:id="178" w:name="_Toc178"/>
      <w:r>
        <w:t>投资政策及风险说明</w:t>
      </w:r>
      <w:bookmarkEnd w:id="178"/>
    </w:p>
    <w:p w14:paraId="7A808E26">
      <w:pPr>
        <w:pStyle w:val="18"/>
        <w:rPr>
          <w:rFonts w:hint="eastAsia"/>
        </w:rPr>
      </w:pPr>
      <w:r>
        <w:rPr>
          <w:rFonts w:hint="eastAsia"/>
        </w:rPr>
        <w:t>本基金在基金投资方面，基于南方基金基金评价系统对全市场基金管理公司及其管理的基金的评级，将力求投资于管理规范、业绩优良的基金管理公司的基金，以分享资本市场的成长。 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 在混合型基金选择上，考虑到混合型基金投资仓位的变化、基金投资风格、投资标的等因素，将重点选择业绩优异、风格鲜明、风险控制较好的基金进行投资。 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 大宗商品基金选择上，重点选择具备有效抵御通胀，与其他资产的相关度低的基金。 在上市的 ETF、LOF 的套利投资方面，通过量化套利策略以及先进的交易手段，及时捕捉市场的折溢价机会。</w:t>
      </w:r>
    </w:p>
    <w:p w14:paraId="7F594624">
      <w:pPr>
        <w:pStyle w:val="18"/>
        <w:rPr>
          <w:rFonts w:hint="eastAsia"/>
        </w:rPr>
      </w:pPr>
      <w:r>
        <w:rPr>
          <w:rFonts w:hint="eastAsia"/>
        </w:rPr>
        <w:t>南方稳见3个月混合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777A729D">
      <w:pPr>
        <w:pStyle w:val="28"/>
      </w:pPr>
      <w:bookmarkStart w:id="179" w:name="_Toc179"/>
      <w:r>
        <w:t>报告期末按公允价值占基金资产净值比例大小排序的基金投资明细</w:t>
      </w:r>
      <w:bookmarkEnd w:id="17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718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428CB0A1">
            <w:pPr>
              <w:jc w:val="center"/>
            </w:pPr>
            <w:r>
              <w:rPr>
                <w:rFonts w:hint="eastAsia"/>
                <w:b/>
              </w:rPr>
              <w:t>序号</w:t>
            </w:r>
          </w:p>
        </w:tc>
        <w:tc>
          <w:tcPr>
            <w:tcW w:w="1038" w:type="dxa"/>
            <w:shd w:val="clear" w:color="auto" w:fill="BFBFBF"/>
            <w:vAlign w:val="center"/>
          </w:tcPr>
          <w:p w14:paraId="03151EA6">
            <w:pPr>
              <w:jc w:val="center"/>
            </w:pPr>
            <w:r>
              <w:rPr>
                <w:rFonts w:hint="eastAsia"/>
                <w:b/>
              </w:rPr>
              <w:t>基金代码</w:t>
            </w:r>
          </w:p>
        </w:tc>
        <w:tc>
          <w:tcPr>
            <w:tcW w:w="1038" w:type="dxa"/>
            <w:shd w:val="clear" w:color="auto" w:fill="BFBFBF"/>
            <w:vAlign w:val="center"/>
          </w:tcPr>
          <w:p w14:paraId="4857A8C3">
            <w:pPr>
              <w:jc w:val="center"/>
            </w:pPr>
            <w:r>
              <w:rPr>
                <w:rFonts w:hint="eastAsia"/>
                <w:b/>
              </w:rPr>
              <w:t>基金名称</w:t>
            </w:r>
          </w:p>
        </w:tc>
        <w:tc>
          <w:tcPr>
            <w:tcW w:w="1038" w:type="dxa"/>
            <w:shd w:val="clear" w:color="auto" w:fill="BFBFBF"/>
            <w:vAlign w:val="center"/>
          </w:tcPr>
          <w:p w14:paraId="39997161">
            <w:pPr>
              <w:jc w:val="center"/>
            </w:pPr>
            <w:r>
              <w:rPr>
                <w:rFonts w:hint="eastAsia"/>
                <w:b/>
              </w:rPr>
              <w:t>运作方式</w:t>
            </w:r>
          </w:p>
        </w:tc>
        <w:tc>
          <w:tcPr>
            <w:tcW w:w="1038" w:type="dxa"/>
            <w:shd w:val="clear" w:color="auto" w:fill="BFBFBF"/>
            <w:vAlign w:val="center"/>
          </w:tcPr>
          <w:p w14:paraId="6F3E41C0">
            <w:pPr>
              <w:jc w:val="center"/>
            </w:pPr>
            <w:r>
              <w:rPr>
                <w:rFonts w:hint="eastAsia"/>
                <w:b/>
              </w:rPr>
              <w:t>持有份额（份）</w:t>
            </w:r>
          </w:p>
        </w:tc>
        <w:tc>
          <w:tcPr>
            <w:tcW w:w="1038" w:type="dxa"/>
            <w:shd w:val="clear" w:color="auto" w:fill="BFBFBF"/>
            <w:vAlign w:val="center"/>
          </w:tcPr>
          <w:p w14:paraId="0BE2A140">
            <w:pPr>
              <w:jc w:val="center"/>
            </w:pPr>
            <w:r>
              <w:rPr>
                <w:rFonts w:hint="eastAsia"/>
                <w:b/>
              </w:rPr>
              <w:t>公允价值（元）</w:t>
            </w:r>
          </w:p>
        </w:tc>
        <w:tc>
          <w:tcPr>
            <w:tcW w:w="1038" w:type="dxa"/>
            <w:shd w:val="clear" w:color="auto" w:fill="BFBFBF"/>
            <w:vAlign w:val="center"/>
          </w:tcPr>
          <w:p w14:paraId="768E73A0">
            <w:pPr>
              <w:jc w:val="center"/>
            </w:pPr>
            <w:r>
              <w:rPr>
                <w:rFonts w:hint="eastAsia"/>
                <w:b/>
              </w:rPr>
              <w:t>占基金资产净值比例（%）</w:t>
            </w:r>
          </w:p>
        </w:tc>
        <w:tc>
          <w:tcPr>
            <w:tcW w:w="1038" w:type="dxa"/>
            <w:shd w:val="clear" w:color="auto" w:fill="BFBFBF"/>
            <w:vAlign w:val="center"/>
          </w:tcPr>
          <w:p w14:paraId="7342F672">
            <w:pPr>
              <w:jc w:val="center"/>
            </w:pPr>
            <w:r>
              <w:rPr>
                <w:rFonts w:hint="eastAsia"/>
                <w:b/>
              </w:rPr>
              <w:t>是否属于基金管理人及管理人关联方所管理的基金</w:t>
            </w:r>
          </w:p>
        </w:tc>
      </w:tr>
      <w:tr w14:paraId="7EE0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2388FF">
            <w:pPr>
              <w:jc w:val="center"/>
            </w:pPr>
            <w:r>
              <w:rPr>
                <w:rFonts w:hint="eastAsia"/>
              </w:rPr>
              <w:t>1</w:t>
            </w:r>
          </w:p>
        </w:tc>
        <w:tc>
          <w:tcPr>
            <w:tcW w:w="1038" w:type="dxa"/>
            <w:vAlign w:val="center"/>
          </w:tcPr>
          <w:p w14:paraId="0BB3AB7A">
            <w:r>
              <w:rPr>
                <w:rFonts w:hint="eastAsia"/>
              </w:rPr>
              <w:t>400030</w:t>
            </w:r>
          </w:p>
        </w:tc>
        <w:tc>
          <w:tcPr>
            <w:tcW w:w="1038" w:type="dxa"/>
            <w:vAlign w:val="center"/>
          </w:tcPr>
          <w:p w14:paraId="6B71C26D">
            <w:r>
              <w:rPr>
                <w:rFonts w:hint="eastAsia"/>
              </w:rPr>
              <w:t>东方添益债券</w:t>
            </w:r>
          </w:p>
        </w:tc>
        <w:tc>
          <w:tcPr>
            <w:tcW w:w="1038" w:type="dxa"/>
            <w:vAlign w:val="center"/>
          </w:tcPr>
          <w:p w14:paraId="64BA559B">
            <w:r>
              <w:rPr>
                <w:rFonts w:hint="eastAsia"/>
              </w:rPr>
              <w:t>契约型开放式</w:t>
            </w:r>
          </w:p>
        </w:tc>
        <w:tc>
          <w:tcPr>
            <w:tcW w:w="1038" w:type="dxa"/>
            <w:vAlign w:val="center"/>
          </w:tcPr>
          <w:p w14:paraId="1839B06C">
            <w:pPr>
              <w:jc w:val="right"/>
            </w:pPr>
            <w:r>
              <w:rPr>
                <w:rFonts w:hint="eastAsia"/>
              </w:rPr>
              <w:t>144,164,203.84</w:t>
            </w:r>
          </w:p>
        </w:tc>
        <w:tc>
          <w:tcPr>
            <w:tcW w:w="1038" w:type="dxa"/>
            <w:vAlign w:val="center"/>
          </w:tcPr>
          <w:p w14:paraId="21E6F3B5">
            <w:pPr>
              <w:jc w:val="right"/>
            </w:pPr>
            <w:r>
              <w:rPr>
                <w:rFonts w:hint="eastAsia"/>
              </w:rPr>
              <w:t>202,536,289.97</w:t>
            </w:r>
          </w:p>
        </w:tc>
        <w:tc>
          <w:tcPr>
            <w:tcW w:w="1038" w:type="dxa"/>
            <w:vAlign w:val="center"/>
          </w:tcPr>
          <w:p w14:paraId="7F3C9CB5">
            <w:pPr>
              <w:jc w:val="right"/>
            </w:pPr>
            <w:r>
              <w:rPr>
                <w:rFonts w:hint="eastAsia"/>
              </w:rPr>
              <w:t>12.84</w:t>
            </w:r>
          </w:p>
        </w:tc>
        <w:tc>
          <w:tcPr>
            <w:tcW w:w="1038" w:type="dxa"/>
            <w:vAlign w:val="center"/>
          </w:tcPr>
          <w:p w14:paraId="7957F107">
            <w:r>
              <w:rPr>
                <w:rFonts w:hint="eastAsia"/>
              </w:rPr>
              <w:t>否</w:t>
            </w:r>
          </w:p>
        </w:tc>
      </w:tr>
      <w:tr w14:paraId="4C1B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E19D4C">
            <w:pPr>
              <w:jc w:val="center"/>
            </w:pPr>
            <w:r>
              <w:rPr>
                <w:rFonts w:hint="eastAsia"/>
              </w:rPr>
              <w:t>2</w:t>
            </w:r>
          </w:p>
        </w:tc>
        <w:tc>
          <w:tcPr>
            <w:tcW w:w="1038" w:type="dxa"/>
            <w:vAlign w:val="center"/>
          </w:tcPr>
          <w:p w14:paraId="3FBB4F54">
            <w:r>
              <w:rPr>
                <w:rFonts w:hint="eastAsia"/>
              </w:rPr>
              <w:t>007790</w:t>
            </w:r>
          </w:p>
        </w:tc>
        <w:tc>
          <w:tcPr>
            <w:tcW w:w="1038" w:type="dxa"/>
            <w:vAlign w:val="center"/>
          </w:tcPr>
          <w:p w14:paraId="60CAF23F">
            <w:r>
              <w:rPr>
                <w:rFonts w:hint="eastAsia"/>
              </w:rPr>
              <w:t>南方梦元短债债券A</w:t>
            </w:r>
          </w:p>
        </w:tc>
        <w:tc>
          <w:tcPr>
            <w:tcW w:w="1038" w:type="dxa"/>
            <w:vAlign w:val="center"/>
          </w:tcPr>
          <w:p w14:paraId="5A120D17">
            <w:r>
              <w:rPr>
                <w:rFonts w:hint="eastAsia"/>
              </w:rPr>
              <w:t>契约型开放式</w:t>
            </w:r>
          </w:p>
        </w:tc>
        <w:tc>
          <w:tcPr>
            <w:tcW w:w="1038" w:type="dxa"/>
            <w:vAlign w:val="center"/>
          </w:tcPr>
          <w:p w14:paraId="10BA8DF4">
            <w:pPr>
              <w:jc w:val="right"/>
            </w:pPr>
            <w:r>
              <w:rPr>
                <w:rFonts w:hint="eastAsia"/>
              </w:rPr>
              <w:t>83,332,213.94</w:t>
            </w:r>
          </w:p>
        </w:tc>
        <w:tc>
          <w:tcPr>
            <w:tcW w:w="1038" w:type="dxa"/>
            <w:vAlign w:val="center"/>
          </w:tcPr>
          <w:p w14:paraId="1C942B7E">
            <w:pPr>
              <w:jc w:val="right"/>
            </w:pPr>
            <w:r>
              <w:rPr>
                <w:rFonts w:hint="eastAsia"/>
              </w:rPr>
              <w:t>96,390,371.86</w:t>
            </w:r>
          </w:p>
        </w:tc>
        <w:tc>
          <w:tcPr>
            <w:tcW w:w="1038" w:type="dxa"/>
            <w:vAlign w:val="center"/>
          </w:tcPr>
          <w:p w14:paraId="057EC851">
            <w:pPr>
              <w:jc w:val="right"/>
            </w:pPr>
            <w:r>
              <w:rPr>
                <w:rFonts w:hint="eastAsia"/>
              </w:rPr>
              <w:t>6.11</w:t>
            </w:r>
          </w:p>
        </w:tc>
        <w:tc>
          <w:tcPr>
            <w:tcW w:w="1038" w:type="dxa"/>
            <w:vAlign w:val="center"/>
          </w:tcPr>
          <w:p w14:paraId="6D507D70">
            <w:r>
              <w:rPr>
                <w:rFonts w:hint="eastAsia"/>
              </w:rPr>
              <w:t>是</w:t>
            </w:r>
          </w:p>
        </w:tc>
      </w:tr>
      <w:tr w14:paraId="0C69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3F245B">
            <w:pPr>
              <w:jc w:val="center"/>
            </w:pPr>
            <w:r>
              <w:rPr>
                <w:rFonts w:hint="eastAsia"/>
              </w:rPr>
              <w:t>3</w:t>
            </w:r>
          </w:p>
        </w:tc>
        <w:tc>
          <w:tcPr>
            <w:tcW w:w="1038" w:type="dxa"/>
            <w:vAlign w:val="center"/>
          </w:tcPr>
          <w:p w14:paraId="690AAD2C">
            <w:r>
              <w:rPr>
                <w:rFonts w:hint="eastAsia"/>
              </w:rPr>
              <w:t>511520</w:t>
            </w:r>
          </w:p>
        </w:tc>
        <w:tc>
          <w:tcPr>
            <w:tcW w:w="1038" w:type="dxa"/>
            <w:vAlign w:val="center"/>
          </w:tcPr>
          <w:p w14:paraId="0ABD9002">
            <w:r>
              <w:rPr>
                <w:rFonts w:hint="eastAsia"/>
              </w:rPr>
              <w:t>富国中债7-10年政策性金融债ETF</w:t>
            </w:r>
          </w:p>
        </w:tc>
        <w:tc>
          <w:tcPr>
            <w:tcW w:w="1038" w:type="dxa"/>
            <w:vAlign w:val="center"/>
          </w:tcPr>
          <w:p w14:paraId="26F37D77">
            <w:r>
              <w:rPr>
                <w:rFonts w:hint="eastAsia"/>
              </w:rPr>
              <w:t>契约型开放式</w:t>
            </w:r>
          </w:p>
        </w:tc>
        <w:tc>
          <w:tcPr>
            <w:tcW w:w="1038" w:type="dxa"/>
            <w:vAlign w:val="center"/>
          </w:tcPr>
          <w:p w14:paraId="07DBFA9E">
            <w:pPr>
              <w:jc w:val="right"/>
            </w:pPr>
            <w:r>
              <w:rPr>
                <w:rFonts w:hint="eastAsia"/>
              </w:rPr>
              <w:t>784,900.00</w:t>
            </w:r>
          </w:p>
        </w:tc>
        <w:tc>
          <w:tcPr>
            <w:tcW w:w="1038" w:type="dxa"/>
            <w:vAlign w:val="center"/>
          </w:tcPr>
          <w:p w14:paraId="3E540878">
            <w:pPr>
              <w:jc w:val="right"/>
            </w:pPr>
            <w:r>
              <w:rPr>
                <w:rFonts w:hint="eastAsia"/>
              </w:rPr>
              <w:t>90,009,977.30</w:t>
            </w:r>
          </w:p>
        </w:tc>
        <w:tc>
          <w:tcPr>
            <w:tcW w:w="1038" w:type="dxa"/>
            <w:vAlign w:val="center"/>
          </w:tcPr>
          <w:p w14:paraId="0CFCF4AC">
            <w:pPr>
              <w:jc w:val="right"/>
            </w:pPr>
            <w:r>
              <w:rPr>
                <w:rFonts w:hint="eastAsia"/>
              </w:rPr>
              <w:t>5.70</w:t>
            </w:r>
          </w:p>
        </w:tc>
        <w:tc>
          <w:tcPr>
            <w:tcW w:w="1038" w:type="dxa"/>
            <w:vAlign w:val="center"/>
          </w:tcPr>
          <w:p w14:paraId="3F81A4B3">
            <w:r>
              <w:rPr>
                <w:rFonts w:hint="eastAsia"/>
              </w:rPr>
              <w:t>否</w:t>
            </w:r>
          </w:p>
        </w:tc>
      </w:tr>
      <w:tr w14:paraId="2251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46DF02">
            <w:pPr>
              <w:jc w:val="center"/>
            </w:pPr>
            <w:r>
              <w:rPr>
                <w:rFonts w:hint="eastAsia"/>
              </w:rPr>
              <w:t>4</w:t>
            </w:r>
          </w:p>
        </w:tc>
        <w:tc>
          <w:tcPr>
            <w:tcW w:w="1038" w:type="dxa"/>
            <w:vAlign w:val="center"/>
          </w:tcPr>
          <w:p w14:paraId="6CEBE043">
            <w:r>
              <w:rPr>
                <w:rFonts w:hint="eastAsia"/>
              </w:rPr>
              <w:t>011034</w:t>
            </w:r>
          </w:p>
        </w:tc>
        <w:tc>
          <w:tcPr>
            <w:tcW w:w="1038" w:type="dxa"/>
            <w:vAlign w:val="center"/>
          </w:tcPr>
          <w:p w14:paraId="1529EE72">
            <w:r>
              <w:rPr>
                <w:rFonts w:hint="eastAsia"/>
              </w:rPr>
              <w:t>南方宝恒混合C</w:t>
            </w:r>
          </w:p>
        </w:tc>
        <w:tc>
          <w:tcPr>
            <w:tcW w:w="1038" w:type="dxa"/>
            <w:vAlign w:val="center"/>
          </w:tcPr>
          <w:p w14:paraId="3DEB371D">
            <w:r>
              <w:rPr>
                <w:rFonts w:hint="eastAsia"/>
              </w:rPr>
              <w:t>契约型开放式</w:t>
            </w:r>
          </w:p>
        </w:tc>
        <w:tc>
          <w:tcPr>
            <w:tcW w:w="1038" w:type="dxa"/>
            <w:vAlign w:val="center"/>
          </w:tcPr>
          <w:p w14:paraId="45AA2C19">
            <w:pPr>
              <w:jc w:val="right"/>
            </w:pPr>
            <w:r>
              <w:rPr>
                <w:rFonts w:hint="eastAsia"/>
              </w:rPr>
              <w:t>72,292,119.42</w:t>
            </w:r>
          </w:p>
        </w:tc>
        <w:tc>
          <w:tcPr>
            <w:tcW w:w="1038" w:type="dxa"/>
            <w:vAlign w:val="center"/>
          </w:tcPr>
          <w:p w14:paraId="6584F5A1">
            <w:pPr>
              <w:jc w:val="right"/>
            </w:pPr>
            <w:r>
              <w:rPr>
                <w:rFonts w:hint="eastAsia"/>
              </w:rPr>
              <w:t>85,196,262.74</w:t>
            </w:r>
          </w:p>
        </w:tc>
        <w:tc>
          <w:tcPr>
            <w:tcW w:w="1038" w:type="dxa"/>
            <w:vAlign w:val="center"/>
          </w:tcPr>
          <w:p w14:paraId="3C0E3F5C">
            <w:pPr>
              <w:jc w:val="right"/>
            </w:pPr>
            <w:r>
              <w:rPr>
                <w:rFonts w:hint="eastAsia"/>
              </w:rPr>
              <w:t>5.40</w:t>
            </w:r>
          </w:p>
        </w:tc>
        <w:tc>
          <w:tcPr>
            <w:tcW w:w="1038" w:type="dxa"/>
            <w:vAlign w:val="center"/>
          </w:tcPr>
          <w:p w14:paraId="7F9041BF">
            <w:r>
              <w:rPr>
                <w:rFonts w:hint="eastAsia"/>
              </w:rPr>
              <w:t>是</w:t>
            </w:r>
          </w:p>
        </w:tc>
      </w:tr>
      <w:tr w14:paraId="66F2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AEAEC3">
            <w:pPr>
              <w:jc w:val="center"/>
            </w:pPr>
            <w:r>
              <w:rPr>
                <w:rFonts w:hint="eastAsia"/>
              </w:rPr>
              <w:t>5</w:t>
            </w:r>
          </w:p>
        </w:tc>
        <w:tc>
          <w:tcPr>
            <w:tcW w:w="1038" w:type="dxa"/>
            <w:vAlign w:val="center"/>
          </w:tcPr>
          <w:p w14:paraId="54FBC960">
            <w:r>
              <w:rPr>
                <w:rFonts w:hint="eastAsia"/>
              </w:rPr>
              <w:t>968155</w:t>
            </w:r>
          </w:p>
        </w:tc>
        <w:tc>
          <w:tcPr>
            <w:tcW w:w="1038" w:type="dxa"/>
            <w:vAlign w:val="center"/>
          </w:tcPr>
          <w:p w14:paraId="411B1628">
            <w:r>
              <w:rPr>
                <w:rFonts w:hint="eastAsia"/>
              </w:rPr>
              <w:t>全天候亚洲债券C4人民币</w:t>
            </w:r>
          </w:p>
        </w:tc>
        <w:tc>
          <w:tcPr>
            <w:tcW w:w="1038" w:type="dxa"/>
            <w:vAlign w:val="center"/>
          </w:tcPr>
          <w:p w14:paraId="3AE76902">
            <w:r>
              <w:rPr>
                <w:rFonts w:hint="eastAsia"/>
              </w:rPr>
              <w:t>契约型开放式</w:t>
            </w:r>
          </w:p>
        </w:tc>
        <w:tc>
          <w:tcPr>
            <w:tcW w:w="1038" w:type="dxa"/>
            <w:vAlign w:val="center"/>
          </w:tcPr>
          <w:p w14:paraId="2A6B4920">
            <w:pPr>
              <w:jc w:val="right"/>
            </w:pPr>
            <w:r>
              <w:rPr>
                <w:rFonts w:hint="eastAsia"/>
              </w:rPr>
              <w:t>7,959,859.00</w:t>
            </w:r>
          </w:p>
        </w:tc>
        <w:tc>
          <w:tcPr>
            <w:tcW w:w="1038" w:type="dxa"/>
            <w:vAlign w:val="center"/>
          </w:tcPr>
          <w:p w14:paraId="7F6A8A7C">
            <w:pPr>
              <w:jc w:val="right"/>
            </w:pPr>
            <w:r>
              <w:rPr>
                <w:rFonts w:hint="eastAsia"/>
              </w:rPr>
              <w:t>66,146,428.29</w:t>
            </w:r>
          </w:p>
        </w:tc>
        <w:tc>
          <w:tcPr>
            <w:tcW w:w="1038" w:type="dxa"/>
            <w:vAlign w:val="center"/>
          </w:tcPr>
          <w:p w14:paraId="13151CE3">
            <w:pPr>
              <w:jc w:val="right"/>
            </w:pPr>
            <w:r>
              <w:rPr>
                <w:rFonts w:hint="eastAsia"/>
              </w:rPr>
              <w:t>4.19</w:t>
            </w:r>
          </w:p>
        </w:tc>
        <w:tc>
          <w:tcPr>
            <w:tcW w:w="1038" w:type="dxa"/>
            <w:vAlign w:val="center"/>
          </w:tcPr>
          <w:p w14:paraId="33120E8C">
            <w:r>
              <w:rPr>
                <w:rFonts w:hint="eastAsia"/>
              </w:rPr>
              <w:t>否</w:t>
            </w:r>
          </w:p>
        </w:tc>
      </w:tr>
      <w:tr w14:paraId="485A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ACD140">
            <w:pPr>
              <w:jc w:val="center"/>
            </w:pPr>
            <w:r>
              <w:rPr>
                <w:rFonts w:hint="eastAsia"/>
              </w:rPr>
              <w:t>6</w:t>
            </w:r>
          </w:p>
        </w:tc>
        <w:tc>
          <w:tcPr>
            <w:tcW w:w="1038" w:type="dxa"/>
            <w:vAlign w:val="center"/>
          </w:tcPr>
          <w:p w14:paraId="358AFA27">
            <w:r>
              <w:rPr>
                <w:rFonts w:hint="eastAsia"/>
              </w:rPr>
              <w:t>006212</w:t>
            </w:r>
          </w:p>
        </w:tc>
        <w:tc>
          <w:tcPr>
            <w:tcW w:w="1038" w:type="dxa"/>
            <w:vAlign w:val="center"/>
          </w:tcPr>
          <w:p w14:paraId="59DC057C">
            <w:r>
              <w:rPr>
                <w:rFonts w:hint="eastAsia"/>
              </w:rPr>
              <w:t>东方臻选纯债债券A</w:t>
            </w:r>
          </w:p>
        </w:tc>
        <w:tc>
          <w:tcPr>
            <w:tcW w:w="1038" w:type="dxa"/>
            <w:vAlign w:val="center"/>
          </w:tcPr>
          <w:p w14:paraId="471E1679">
            <w:r>
              <w:rPr>
                <w:rFonts w:hint="eastAsia"/>
              </w:rPr>
              <w:t>契约型开放式</w:t>
            </w:r>
          </w:p>
        </w:tc>
        <w:tc>
          <w:tcPr>
            <w:tcW w:w="1038" w:type="dxa"/>
            <w:vAlign w:val="center"/>
          </w:tcPr>
          <w:p w14:paraId="61531A3C">
            <w:pPr>
              <w:jc w:val="right"/>
            </w:pPr>
            <w:r>
              <w:rPr>
                <w:rFonts w:hint="eastAsia"/>
              </w:rPr>
              <w:t>60,000,000.00</w:t>
            </w:r>
          </w:p>
        </w:tc>
        <w:tc>
          <w:tcPr>
            <w:tcW w:w="1038" w:type="dxa"/>
            <w:vAlign w:val="center"/>
          </w:tcPr>
          <w:p w14:paraId="09D2545D">
            <w:pPr>
              <w:jc w:val="right"/>
            </w:pPr>
            <w:r>
              <w:rPr>
                <w:rFonts w:hint="eastAsia"/>
              </w:rPr>
              <w:t>63,048,000.00</w:t>
            </w:r>
          </w:p>
        </w:tc>
        <w:tc>
          <w:tcPr>
            <w:tcW w:w="1038" w:type="dxa"/>
            <w:vAlign w:val="center"/>
          </w:tcPr>
          <w:p w14:paraId="72AC3DBD">
            <w:pPr>
              <w:jc w:val="right"/>
            </w:pPr>
            <w:r>
              <w:rPr>
                <w:rFonts w:hint="eastAsia"/>
              </w:rPr>
              <w:t>4.00</w:t>
            </w:r>
          </w:p>
        </w:tc>
        <w:tc>
          <w:tcPr>
            <w:tcW w:w="1038" w:type="dxa"/>
            <w:vAlign w:val="center"/>
          </w:tcPr>
          <w:p w14:paraId="74DAB645">
            <w:r>
              <w:rPr>
                <w:rFonts w:hint="eastAsia"/>
              </w:rPr>
              <w:t>否</w:t>
            </w:r>
          </w:p>
        </w:tc>
      </w:tr>
      <w:tr w14:paraId="41BA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DC3EF5">
            <w:pPr>
              <w:jc w:val="center"/>
            </w:pPr>
            <w:r>
              <w:rPr>
                <w:rFonts w:hint="eastAsia"/>
              </w:rPr>
              <w:t>7</w:t>
            </w:r>
          </w:p>
        </w:tc>
        <w:tc>
          <w:tcPr>
            <w:tcW w:w="1038" w:type="dxa"/>
            <w:vAlign w:val="center"/>
          </w:tcPr>
          <w:p w14:paraId="1212DEB4">
            <w:r>
              <w:rPr>
                <w:rFonts w:hint="eastAsia"/>
              </w:rPr>
              <w:t>511220</w:t>
            </w:r>
          </w:p>
        </w:tc>
        <w:tc>
          <w:tcPr>
            <w:tcW w:w="1038" w:type="dxa"/>
            <w:vAlign w:val="center"/>
          </w:tcPr>
          <w:p w14:paraId="6A13BB77">
            <w:r>
              <w:rPr>
                <w:rFonts w:hint="eastAsia"/>
              </w:rPr>
              <w:t>海富通上证城投债ETF</w:t>
            </w:r>
          </w:p>
        </w:tc>
        <w:tc>
          <w:tcPr>
            <w:tcW w:w="1038" w:type="dxa"/>
            <w:vAlign w:val="center"/>
          </w:tcPr>
          <w:p w14:paraId="3E7EAF51">
            <w:r>
              <w:rPr>
                <w:rFonts w:hint="eastAsia"/>
              </w:rPr>
              <w:t>契约型开放式</w:t>
            </w:r>
          </w:p>
        </w:tc>
        <w:tc>
          <w:tcPr>
            <w:tcW w:w="1038" w:type="dxa"/>
            <w:vAlign w:val="center"/>
          </w:tcPr>
          <w:p w14:paraId="595519D6">
            <w:pPr>
              <w:jc w:val="right"/>
            </w:pPr>
            <w:r>
              <w:rPr>
                <w:rFonts w:hint="eastAsia"/>
              </w:rPr>
              <w:t>5,879,590.00</w:t>
            </w:r>
          </w:p>
        </w:tc>
        <w:tc>
          <w:tcPr>
            <w:tcW w:w="1038" w:type="dxa"/>
            <w:vAlign w:val="center"/>
          </w:tcPr>
          <w:p w14:paraId="2C50A032">
            <w:pPr>
              <w:jc w:val="right"/>
            </w:pPr>
            <w:r>
              <w:rPr>
                <w:rFonts w:hint="eastAsia"/>
              </w:rPr>
              <w:t>60,024,734.31</w:t>
            </w:r>
          </w:p>
        </w:tc>
        <w:tc>
          <w:tcPr>
            <w:tcW w:w="1038" w:type="dxa"/>
            <w:vAlign w:val="center"/>
          </w:tcPr>
          <w:p w14:paraId="30A9E888">
            <w:pPr>
              <w:jc w:val="right"/>
            </w:pPr>
            <w:r>
              <w:rPr>
                <w:rFonts w:hint="eastAsia"/>
              </w:rPr>
              <w:t>3.80</w:t>
            </w:r>
          </w:p>
        </w:tc>
        <w:tc>
          <w:tcPr>
            <w:tcW w:w="1038" w:type="dxa"/>
            <w:vAlign w:val="center"/>
          </w:tcPr>
          <w:p w14:paraId="6999479F">
            <w:r>
              <w:rPr>
                <w:rFonts w:hint="eastAsia"/>
              </w:rPr>
              <w:t>否</w:t>
            </w:r>
          </w:p>
        </w:tc>
      </w:tr>
      <w:tr w14:paraId="57EA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834107">
            <w:pPr>
              <w:jc w:val="center"/>
            </w:pPr>
            <w:r>
              <w:rPr>
                <w:rFonts w:hint="eastAsia"/>
              </w:rPr>
              <w:t>8</w:t>
            </w:r>
          </w:p>
        </w:tc>
        <w:tc>
          <w:tcPr>
            <w:tcW w:w="1038" w:type="dxa"/>
            <w:vAlign w:val="center"/>
          </w:tcPr>
          <w:p w14:paraId="51F29A6C">
            <w:r>
              <w:rPr>
                <w:rFonts w:hint="eastAsia"/>
              </w:rPr>
              <w:t>016869</w:t>
            </w:r>
          </w:p>
        </w:tc>
        <w:tc>
          <w:tcPr>
            <w:tcW w:w="1038" w:type="dxa"/>
            <w:vAlign w:val="center"/>
          </w:tcPr>
          <w:p w14:paraId="4DEB703A">
            <w:r>
              <w:rPr>
                <w:rFonts w:hint="eastAsia"/>
              </w:rPr>
              <w:t>景顺长城稳健增益债券A</w:t>
            </w:r>
          </w:p>
        </w:tc>
        <w:tc>
          <w:tcPr>
            <w:tcW w:w="1038" w:type="dxa"/>
            <w:vAlign w:val="center"/>
          </w:tcPr>
          <w:p w14:paraId="0B4D01B2">
            <w:r>
              <w:rPr>
                <w:rFonts w:hint="eastAsia"/>
              </w:rPr>
              <w:t>契约型开放式</w:t>
            </w:r>
          </w:p>
        </w:tc>
        <w:tc>
          <w:tcPr>
            <w:tcW w:w="1038" w:type="dxa"/>
            <w:vAlign w:val="center"/>
          </w:tcPr>
          <w:p w14:paraId="4E57405E">
            <w:pPr>
              <w:jc w:val="right"/>
            </w:pPr>
            <w:r>
              <w:rPr>
                <w:rFonts w:hint="eastAsia"/>
              </w:rPr>
              <w:t>48,907,641.60</w:t>
            </w:r>
          </w:p>
        </w:tc>
        <w:tc>
          <w:tcPr>
            <w:tcW w:w="1038" w:type="dxa"/>
            <w:vAlign w:val="center"/>
          </w:tcPr>
          <w:p w14:paraId="0FEEC0AE">
            <w:pPr>
              <w:jc w:val="right"/>
            </w:pPr>
            <w:r>
              <w:rPr>
                <w:rFonts w:hint="eastAsia"/>
              </w:rPr>
              <w:t>56,375,838.47</w:t>
            </w:r>
          </w:p>
        </w:tc>
        <w:tc>
          <w:tcPr>
            <w:tcW w:w="1038" w:type="dxa"/>
            <w:vAlign w:val="center"/>
          </w:tcPr>
          <w:p w14:paraId="352C7994">
            <w:pPr>
              <w:jc w:val="right"/>
            </w:pPr>
            <w:r>
              <w:rPr>
                <w:rFonts w:hint="eastAsia"/>
              </w:rPr>
              <w:t>3.57</w:t>
            </w:r>
          </w:p>
        </w:tc>
        <w:tc>
          <w:tcPr>
            <w:tcW w:w="1038" w:type="dxa"/>
            <w:vAlign w:val="center"/>
          </w:tcPr>
          <w:p w14:paraId="5FEEE588">
            <w:r>
              <w:rPr>
                <w:rFonts w:hint="eastAsia"/>
              </w:rPr>
              <w:t>否</w:t>
            </w:r>
          </w:p>
        </w:tc>
      </w:tr>
      <w:tr w14:paraId="17B8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2D5817">
            <w:pPr>
              <w:jc w:val="center"/>
            </w:pPr>
            <w:r>
              <w:rPr>
                <w:rFonts w:hint="eastAsia"/>
              </w:rPr>
              <w:t>9</w:t>
            </w:r>
          </w:p>
        </w:tc>
        <w:tc>
          <w:tcPr>
            <w:tcW w:w="1038" w:type="dxa"/>
            <w:vAlign w:val="center"/>
          </w:tcPr>
          <w:p w14:paraId="6D28521A">
            <w:r>
              <w:rPr>
                <w:rFonts w:hint="eastAsia"/>
              </w:rPr>
              <w:t>001355</w:t>
            </w:r>
          </w:p>
        </w:tc>
        <w:tc>
          <w:tcPr>
            <w:tcW w:w="1038" w:type="dxa"/>
            <w:vAlign w:val="center"/>
          </w:tcPr>
          <w:p w14:paraId="2AF0BCF3">
            <w:r>
              <w:rPr>
                <w:rFonts w:hint="eastAsia"/>
              </w:rPr>
              <w:t>广发聚泰混合A</w:t>
            </w:r>
          </w:p>
        </w:tc>
        <w:tc>
          <w:tcPr>
            <w:tcW w:w="1038" w:type="dxa"/>
            <w:vAlign w:val="center"/>
          </w:tcPr>
          <w:p w14:paraId="54E73DFA">
            <w:r>
              <w:rPr>
                <w:rFonts w:hint="eastAsia"/>
              </w:rPr>
              <w:t>契约型开放式</w:t>
            </w:r>
          </w:p>
        </w:tc>
        <w:tc>
          <w:tcPr>
            <w:tcW w:w="1038" w:type="dxa"/>
            <w:vAlign w:val="center"/>
          </w:tcPr>
          <w:p w14:paraId="2C388E1C">
            <w:pPr>
              <w:jc w:val="right"/>
            </w:pPr>
            <w:r>
              <w:rPr>
                <w:rFonts w:hint="eastAsia"/>
              </w:rPr>
              <w:t>32,687,990.32</w:t>
            </w:r>
          </w:p>
        </w:tc>
        <w:tc>
          <w:tcPr>
            <w:tcW w:w="1038" w:type="dxa"/>
            <w:vAlign w:val="center"/>
          </w:tcPr>
          <w:p w14:paraId="43E7646A">
            <w:pPr>
              <w:jc w:val="right"/>
            </w:pPr>
            <w:r>
              <w:rPr>
                <w:rFonts w:hint="eastAsia"/>
              </w:rPr>
              <w:t>44,253,001.30</w:t>
            </w:r>
          </w:p>
        </w:tc>
        <w:tc>
          <w:tcPr>
            <w:tcW w:w="1038" w:type="dxa"/>
            <w:vAlign w:val="center"/>
          </w:tcPr>
          <w:p w14:paraId="1012733A">
            <w:pPr>
              <w:jc w:val="right"/>
            </w:pPr>
            <w:r>
              <w:rPr>
                <w:rFonts w:hint="eastAsia"/>
              </w:rPr>
              <w:t>2.80</w:t>
            </w:r>
          </w:p>
        </w:tc>
        <w:tc>
          <w:tcPr>
            <w:tcW w:w="1038" w:type="dxa"/>
            <w:vAlign w:val="center"/>
          </w:tcPr>
          <w:p w14:paraId="12D970FD">
            <w:r>
              <w:rPr>
                <w:rFonts w:hint="eastAsia"/>
              </w:rPr>
              <w:t>否</w:t>
            </w:r>
          </w:p>
        </w:tc>
      </w:tr>
      <w:tr w14:paraId="0197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247CE7">
            <w:pPr>
              <w:jc w:val="center"/>
            </w:pPr>
            <w:r>
              <w:rPr>
                <w:rFonts w:hint="eastAsia"/>
              </w:rPr>
              <w:t>10</w:t>
            </w:r>
          </w:p>
        </w:tc>
        <w:tc>
          <w:tcPr>
            <w:tcW w:w="1038" w:type="dxa"/>
            <w:vAlign w:val="center"/>
          </w:tcPr>
          <w:p w14:paraId="12D7C702">
            <w:r>
              <w:rPr>
                <w:rFonts w:hint="eastAsia"/>
              </w:rPr>
              <w:t>007655</w:t>
            </w:r>
          </w:p>
        </w:tc>
        <w:tc>
          <w:tcPr>
            <w:tcW w:w="1038" w:type="dxa"/>
            <w:vAlign w:val="center"/>
          </w:tcPr>
          <w:p w14:paraId="574FB12B">
            <w:r>
              <w:rPr>
                <w:rFonts w:hint="eastAsia"/>
              </w:rPr>
              <w:t>南方定元中短债债券A</w:t>
            </w:r>
          </w:p>
        </w:tc>
        <w:tc>
          <w:tcPr>
            <w:tcW w:w="1038" w:type="dxa"/>
            <w:vAlign w:val="center"/>
          </w:tcPr>
          <w:p w14:paraId="098F18F9">
            <w:r>
              <w:rPr>
                <w:rFonts w:hint="eastAsia"/>
              </w:rPr>
              <w:t>契约型开放式</w:t>
            </w:r>
          </w:p>
        </w:tc>
        <w:tc>
          <w:tcPr>
            <w:tcW w:w="1038" w:type="dxa"/>
            <w:vAlign w:val="center"/>
          </w:tcPr>
          <w:p w14:paraId="226015B3">
            <w:pPr>
              <w:jc w:val="right"/>
            </w:pPr>
            <w:r>
              <w:rPr>
                <w:rFonts w:hint="eastAsia"/>
              </w:rPr>
              <w:t>38,693,937.60</w:t>
            </w:r>
          </w:p>
        </w:tc>
        <w:tc>
          <w:tcPr>
            <w:tcW w:w="1038" w:type="dxa"/>
            <w:vAlign w:val="center"/>
          </w:tcPr>
          <w:p w14:paraId="231B7049">
            <w:pPr>
              <w:jc w:val="right"/>
            </w:pPr>
            <w:r>
              <w:rPr>
                <w:rFonts w:hint="eastAsia"/>
              </w:rPr>
              <w:t>43,991,137.66</w:t>
            </w:r>
          </w:p>
        </w:tc>
        <w:tc>
          <w:tcPr>
            <w:tcW w:w="1038" w:type="dxa"/>
            <w:vAlign w:val="center"/>
          </w:tcPr>
          <w:p w14:paraId="77D00732">
            <w:pPr>
              <w:jc w:val="right"/>
            </w:pPr>
            <w:r>
              <w:rPr>
                <w:rFonts w:hint="eastAsia"/>
              </w:rPr>
              <w:t>2.79</w:t>
            </w:r>
          </w:p>
        </w:tc>
        <w:tc>
          <w:tcPr>
            <w:tcW w:w="1038" w:type="dxa"/>
            <w:vAlign w:val="center"/>
          </w:tcPr>
          <w:p w14:paraId="4E5A21AD">
            <w:r>
              <w:rPr>
                <w:rFonts w:hint="eastAsia"/>
              </w:rPr>
              <w:t>是</w:t>
            </w:r>
          </w:p>
        </w:tc>
      </w:tr>
      <w:tr w14:paraId="69C3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26C10E">
            <w:pPr>
              <w:jc w:val="center"/>
            </w:pPr>
            <w:r>
              <w:rPr>
                <w:rFonts w:hint="eastAsia"/>
              </w:rPr>
              <w:t>11</w:t>
            </w:r>
          </w:p>
        </w:tc>
        <w:tc>
          <w:tcPr>
            <w:tcW w:w="1038" w:type="dxa"/>
            <w:vAlign w:val="center"/>
          </w:tcPr>
          <w:p w14:paraId="12D8FC51">
            <w:r>
              <w:rPr>
                <w:rFonts w:hint="eastAsia"/>
              </w:rPr>
              <w:t>968056</w:t>
            </w:r>
          </w:p>
        </w:tc>
        <w:tc>
          <w:tcPr>
            <w:tcW w:w="1038" w:type="dxa"/>
            <w:vAlign w:val="center"/>
          </w:tcPr>
          <w:p w14:paraId="526C1E6D">
            <w:r>
              <w:rPr>
                <w:rFonts w:hint="eastAsia"/>
              </w:rPr>
              <w:t>海通亚洲总收益债券H(人民币)</w:t>
            </w:r>
          </w:p>
        </w:tc>
        <w:tc>
          <w:tcPr>
            <w:tcW w:w="1038" w:type="dxa"/>
            <w:vAlign w:val="center"/>
          </w:tcPr>
          <w:p w14:paraId="5C784A14">
            <w:r>
              <w:rPr>
                <w:rFonts w:hint="eastAsia"/>
              </w:rPr>
              <w:t>契约型开放式</w:t>
            </w:r>
          </w:p>
        </w:tc>
        <w:tc>
          <w:tcPr>
            <w:tcW w:w="1038" w:type="dxa"/>
            <w:vAlign w:val="center"/>
          </w:tcPr>
          <w:p w14:paraId="453DB84F">
            <w:pPr>
              <w:jc w:val="right"/>
            </w:pPr>
            <w:r>
              <w:rPr>
                <w:rFonts w:hint="eastAsia"/>
              </w:rPr>
              <w:t>642,733.86</w:t>
            </w:r>
          </w:p>
        </w:tc>
        <w:tc>
          <w:tcPr>
            <w:tcW w:w="1038" w:type="dxa"/>
            <w:vAlign w:val="center"/>
          </w:tcPr>
          <w:p w14:paraId="564BCE90">
            <w:pPr>
              <w:jc w:val="right"/>
            </w:pPr>
            <w:r>
              <w:rPr>
                <w:rFonts w:hint="eastAsia"/>
              </w:rPr>
              <w:t>41,809,773.32</w:t>
            </w:r>
          </w:p>
        </w:tc>
        <w:tc>
          <w:tcPr>
            <w:tcW w:w="1038" w:type="dxa"/>
            <w:vAlign w:val="center"/>
          </w:tcPr>
          <w:p w14:paraId="14868D0A">
            <w:pPr>
              <w:jc w:val="right"/>
            </w:pPr>
            <w:r>
              <w:rPr>
                <w:rFonts w:hint="eastAsia"/>
              </w:rPr>
              <w:t>2.65</w:t>
            </w:r>
          </w:p>
        </w:tc>
        <w:tc>
          <w:tcPr>
            <w:tcW w:w="1038" w:type="dxa"/>
            <w:vAlign w:val="center"/>
          </w:tcPr>
          <w:p w14:paraId="34890A0A">
            <w:r>
              <w:rPr>
                <w:rFonts w:hint="eastAsia"/>
              </w:rPr>
              <w:t>否</w:t>
            </w:r>
          </w:p>
        </w:tc>
      </w:tr>
      <w:tr w14:paraId="0712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F354E7">
            <w:pPr>
              <w:jc w:val="center"/>
            </w:pPr>
            <w:r>
              <w:rPr>
                <w:rFonts w:hint="eastAsia"/>
              </w:rPr>
              <w:t>12</w:t>
            </w:r>
          </w:p>
        </w:tc>
        <w:tc>
          <w:tcPr>
            <w:tcW w:w="1038" w:type="dxa"/>
            <w:vAlign w:val="center"/>
          </w:tcPr>
          <w:p w14:paraId="2A52A141">
            <w:r>
              <w:rPr>
                <w:rFonts w:hint="eastAsia"/>
              </w:rPr>
              <w:t>022512</w:t>
            </w:r>
          </w:p>
        </w:tc>
        <w:tc>
          <w:tcPr>
            <w:tcW w:w="1038" w:type="dxa"/>
            <w:vAlign w:val="center"/>
          </w:tcPr>
          <w:p w14:paraId="679917CD">
            <w:r>
              <w:rPr>
                <w:rFonts w:hint="eastAsia"/>
              </w:rPr>
              <w:t>南方亚洲美元收益债券(QDII)E(人民币)</w:t>
            </w:r>
          </w:p>
        </w:tc>
        <w:tc>
          <w:tcPr>
            <w:tcW w:w="1038" w:type="dxa"/>
            <w:vAlign w:val="center"/>
          </w:tcPr>
          <w:p w14:paraId="09FD48D2">
            <w:r>
              <w:rPr>
                <w:rFonts w:hint="eastAsia"/>
              </w:rPr>
              <w:t>契约型开放式</w:t>
            </w:r>
          </w:p>
        </w:tc>
        <w:tc>
          <w:tcPr>
            <w:tcW w:w="1038" w:type="dxa"/>
            <w:vAlign w:val="center"/>
          </w:tcPr>
          <w:p w14:paraId="35AA5DEF">
            <w:pPr>
              <w:jc w:val="right"/>
            </w:pPr>
            <w:r>
              <w:rPr>
                <w:rFonts w:hint="eastAsia"/>
              </w:rPr>
              <w:t>38,040,113.57</w:t>
            </w:r>
          </w:p>
        </w:tc>
        <w:tc>
          <w:tcPr>
            <w:tcW w:w="1038" w:type="dxa"/>
            <w:vAlign w:val="center"/>
          </w:tcPr>
          <w:p w14:paraId="64391E7D">
            <w:pPr>
              <w:jc w:val="right"/>
            </w:pPr>
            <w:r>
              <w:rPr>
                <w:rFonts w:hint="eastAsia"/>
              </w:rPr>
              <w:t>39,869,843.03</w:t>
            </w:r>
          </w:p>
        </w:tc>
        <w:tc>
          <w:tcPr>
            <w:tcW w:w="1038" w:type="dxa"/>
            <w:vAlign w:val="center"/>
          </w:tcPr>
          <w:p w14:paraId="5D96A094">
            <w:pPr>
              <w:jc w:val="right"/>
            </w:pPr>
            <w:r>
              <w:rPr>
                <w:rFonts w:hint="eastAsia"/>
              </w:rPr>
              <w:t>2.53</w:t>
            </w:r>
          </w:p>
        </w:tc>
        <w:tc>
          <w:tcPr>
            <w:tcW w:w="1038" w:type="dxa"/>
            <w:vAlign w:val="center"/>
          </w:tcPr>
          <w:p w14:paraId="636472A9">
            <w:r>
              <w:rPr>
                <w:rFonts w:hint="eastAsia"/>
              </w:rPr>
              <w:t>是</w:t>
            </w:r>
          </w:p>
        </w:tc>
      </w:tr>
      <w:tr w14:paraId="0280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49D9E3">
            <w:pPr>
              <w:jc w:val="center"/>
            </w:pPr>
            <w:r>
              <w:rPr>
                <w:rFonts w:hint="eastAsia"/>
              </w:rPr>
              <w:t>13</w:t>
            </w:r>
          </w:p>
        </w:tc>
        <w:tc>
          <w:tcPr>
            <w:tcW w:w="1038" w:type="dxa"/>
            <w:vAlign w:val="center"/>
          </w:tcPr>
          <w:p w14:paraId="44D0C837">
            <w:r>
              <w:rPr>
                <w:rFonts w:hint="eastAsia"/>
              </w:rPr>
              <w:t>006517</w:t>
            </w:r>
          </w:p>
        </w:tc>
        <w:tc>
          <w:tcPr>
            <w:tcW w:w="1038" w:type="dxa"/>
            <w:vAlign w:val="center"/>
          </w:tcPr>
          <w:p w14:paraId="3FA7AF22">
            <w:r>
              <w:rPr>
                <w:rFonts w:hint="eastAsia"/>
              </w:rPr>
              <w:t>南方吉元短债债券A</w:t>
            </w:r>
          </w:p>
        </w:tc>
        <w:tc>
          <w:tcPr>
            <w:tcW w:w="1038" w:type="dxa"/>
            <w:vAlign w:val="center"/>
          </w:tcPr>
          <w:p w14:paraId="3ABE0124">
            <w:r>
              <w:rPr>
                <w:rFonts w:hint="eastAsia"/>
              </w:rPr>
              <w:t>契约型开放式</w:t>
            </w:r>
          </w:p>
        </w:tc>
        <w:tc>
          <w:tcPr>
            <w:tcW w:w="1038" w:type="dxa"/>
            <w:vAlign w:val="center"/>
          </w:tcPr>
          <w:p w14:paraId="7F656601">
            <w:pPr>
              <w:jc w:val="right"/>
            </w:pPr>
            <w:r>
              <w:rPr>
                <w:rFonts w:hint="eastAsia"/>
              </w:rPr>
              <w:t>34,147,918.52</w:t>
            </w:r>
          </w:p>
        </w:tc>
        <w:tc>
          <w:tcPr>
            <w:tcW w:w="1038" w:type="dxa"/>
            <w:vAlign w:val="center"/>
          </w:tcPr>
          <w:p w14:paraId="5FD7C704">
            <w:pPr>
              <w:jc w:val="right"/>
            </w:pPr>
            <w:r>
              <w:rPr>
                <w:rFonts w:hint="eastAsia"/>
              </w:rPr>
              <w:t>37,303,186.19</w:t>
            </w:r>
          </w:p>
        </w:tc>
        <w:tc>
          <w:tcPr>
            <w:tcW w:w="1038" w:type="dxa"/>
            <w:vAlign w:val="center"/>
          </w:tcPr>
          <w:p w14:paraId="4768C777">
            <w:pPr>
              <w:jc w:val="right"/>
            </w:pPr>
            <w:r>
              <w:rPr>
                <w:rFonts w:hint="eastAsia"/>
              </w:rPr>
              <w:t>2.36</w:t>
            </w:r>
          </w:p>
        </w:tc>
        <w:tc>
          <w:tcPr>
            <w:tcW w:w="1038" w:type="dxa"/>
            <w:vAlign w:val="center"/>
          </w:tcPr>
          <w:p w14:paraId="28098BAA">
            <w:r>
              <w:rPr>
                <w:rFonts w:hint="eastAsia"/>
              </w:rPr>
              <w:t>是</w:t>
            </w:r>
          </w:p>
        </w:tc>
      </w:tr>
      <w:tr w14:paraId="6781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91BAB1">
            <w:pPr>
              <w:jc w:val="center"/>
            </w:pPr>
            <w:r>
              <w:rPr>
                <w:rFonts w:hint="eastAsia"/>
              </w:rPr>
              <w:t>14</w:t>
            </w:r>
          </w:p>
        </w:tc>
        <w:tc>
          <w:tcPr>
            <w:tcW w:w="1038" w:type="dxa"/>
            <w:vAlign w:val="center"/>
          </w:tcPr>
          <w:p w14:paraId="023D4155">
            <w:r>
              <w:rPr>
                <w:rFonts w:hint="eastAsia"/>
              </w:rPr>
              <w:t>159834</w:t>
            </w:r>
          </w:p>
        </w:tc>
        <w:tc>
          <w:tcPr>
            <w:tcW w:w="1038" w:type="dxa"/>
            <w:vAlign w:val="center"/>
          </w:tcPr>
          <w:p w14:paraId="0E1398F1">
            <w:r>
              <w:rPr>
                <w:rFonts w:hint="eastAsia"/>
              </w:rPr>
              <w:t>南方上海金ETF</w:t>
            </w:r>
          </w:p>
        </w:tc>
        <w:tc>
          <w:tcPr>
            <w:tcW w:w="1038" w:type="dxa"/>
            <w:vAlign w:val="center"/>
          </w:tcPr>
          <w:p w14:paraId="5ADA6741">
            <w:r>
              <w:rPr>
                <w:rFonts w:hint="eastAsia"/>
              </w:rPr>
              <w:t>契约型开放式</w:t>
            </w:r>
          </w:p>
        </w:tc>
        <w:tc>
          <w:tcPr>
            <w:tcW w:w="1038" w:type="dxa"/>
            <w:vAlign w:val="center"/>
          </w:tcPr>
          <w:p w14:paraId="0DC54A60">
            <w:pPr>
              <w:jc w:val="right"/>
            </w:pPr>
            <w:r>
              <w:rPr>
                <w:rFonts w:hint="eastAsia"/>
              </w:rPr>
              <w:t>3,790,100.00</w:t>
            </w:r>
          </w:p>
        </w:tc>
        <w:tc>
          <w:tcPr>
            <w:tcW w:w="1038" w:type="dxa"/>
            <w:vAlign w:val="center"/>
          </w:tcPr>
          <w:p w14:paraId="3E24E134">
            <w:pPr>
              <w:jc w:val="right"/>
            </w:pPr>
            <w:r>
              <w:rPr>
                <w:rFonts w:hint="eastAsia"/>
              </w:rPr>
              <w:t>36,741,229.40</w:t>
            </w:r>
          </w:p>
        </w:tc>
        <w:tc>
          <w:tcPr>
            <w:tcW w:w="1038" w:type="dxa"/>
            <w:vAlign w:val="center"/>
          </w:tcPr>
          <w:p w14:paraId="22D3B9B2">
            <w:pPr>
              <w:jc w:val="right"/>
            </w:pPr>
            <w:r>
              <w:rPr>
                <w:rFonts w:hint="eastAsia"/>
              </w:rPr>
              <w:t>2.33</w:t>
            </w:r>
          </w:p>
        </w:tc>
        <w:tc>
          <w:tcPr>
            <w:tcW w:w="1038" w:type="dxa"/>
            <w:vAlign w:val="center"/>
          </w:tcPr>
          <w:p w14:paraId="00A30D03">
            <w:r>
              <w:rPr>
                <w:rFonts w:hint="eastAsia"/>
              </w:rPr>
              <w:t>是</w:t>
            </w:r>
          </w:p>
        </w:tc>
      </w:tr>
      <w:tr w14:paraId="185A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72159B">
            <w:pPr>
              <w:jc w:val="center"/>
            </w:pPr>
            <w:r>
              <w:rPr>
                <w:rFonts w:hint="eastAsia"/>
              </w:rPr>
              <w:t>15</w:t>
            </w:r>
          </w:p>
        </w:tc>
        <w:tc>
          <w:tcPr>
            <w:tcW w:w="1038" w:type="dxa"/>
            <w:vAlign w:val="center"/>
          </w:tcPr>
          <w:p w14:paraId="3CF00F8D">
            <w:r>
              <w:rPr>
                <w:rFonts w:hint="eastAsia"/>
              </w:rPr>
              <w:t>024704</w:t>
            </w:r>
          </w:p>
        </w:tc>
        <w:tc>
          <w:tcPr>
            <w:tcW w:w="1038" w:type="dxa"/>
            <w:vAlign w:val="center"/>
          </w:tcPr>
          <w:p w14:paraId="549A4AC2">
            <w:r>
              <w:rPr>
                <w:rFonts w:hint="eastAsia"/>
              </w:rPr>
              <w:t>中银增利债券D</w:t>
            </w:r>
          </w:p>
        </w:tc>
        <w:tc>
          <w:tcPr>
            <w:tcW w:w="1038" w:type="dxa"/>
            <w:vAlign w:val="center"/>
          </w:tcPr>
          <w:p w14:paraId="783BCB41">
            <w:r>
              <w:rPr>
                <w:rFonts w:hint="eastAsia"/>
              </w:rPr>
              <w:t>契约型开放式</w:t>
            </w:r>
          </w:p>
        </w:tc>
        <w:tc>
          <w:tcPr>
            <w:tcW w:w="1038" w:type="dxa"/>
            <w:vAlign w:val="center"/>
          </w:tcPr>
          <w:p w14:paraId="7BE93F2A">
            <w:pPr>
              <w:jc w:val="right"/>
            </w:pPr>
            <w:r>
              <w:rPr>
                <w:rFonts w:hint="eastAsia"/>
              </w:rPr>
              <w:t>29,664,803.99</w:t>
            </w:r>
          </w:p>
        </w:tc>
        <w:tc>
          <w:tcPr>
            <w:tcW w:w="1038" w:type="dxa"/>
            <w:vAlign w:val="center"/>
          </w:tcPr>
          <w:p w14:paraId="2B7728EB">
            <w:pPr>
              <w:jc w:val="right"/>
            </w:pPr>
            <w:r>
              <w:rPr>
                <w:rFonts w:hint="eastAsia"/>
              </w:rPr>
              <w:t>36,191,060.87</w:t>
            </w:r>
          </w:p>
        </w:tc>
        <w:tc>
          <w:tcPr>
            <w:tcW w:w="1038" w:type="dxa"/>
            <w:vAlign w:val="center"/>
          </w:tcPr>
          <w:p w14:paraId="1BD8C926">
            <w:pPr>
              <w:jc w:val="right"/>
            </w:pPr>
            <w:r>
              <w:rPr>
                <w:rFonts w:hint="eastAsia"/>
              </w:rPr>
              <w:t>2.29</w:t>
            </w:r>
          </w:p>
        </w:tc>
        <w:tc>
          <w:tcPr>
            <w:tcW w:w="1038" w:type="dxa"/>
            <w:vAlign w:val="center"/>
          </w:tcPr>
          <w:p w14:paraId="60E5ADB2">
            <w:r>
              <w:rPr>
                <w:rFonts w:hint="eastAsia"/>
              </w:rPr>
              <w:t>否</w:t>
            </w:r>
          </w:p>
        </w:tc>
      </w:tr>
      <w:tr w14:paraId="2B0A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6FB0FE">
            <w:pPr>
              <w:jc w:val="center"/>
            </w:pPr>
            <w:r>
              <w:rPr>
                <w:rFonts w:hint="eastAsia"/>
              </w:rPr>
              <w:t>16</w:t>
            </w:r>
          </w:p>
        </w:tc>
        <w:tc>
          <w:tcPr>
            <w:tcW w:w="1038" w:type="dxa"/>
            <w:vAlign w:val="center"/>
          </w:tcPr>
          <w:p w14:paraId="19562320">
            <w:r>
              <w:rPr>
                <w:rFonts w:hint="eastAsia"/>
              </w:rPr>
              <w:t>006210</w:t>
            </w:r>
          </w:p>
        </w:tc>
        <w:tc>
          <w:tcPr>
            <w:tcW w:w="1038" w:type="dxa"/>
            <w:vAlign w:val="center"/>
          </w:tcPr>
          <w:p w14:paraId="557D32F7">
            <w:r>
              <w:rPr>
                <w:rFonts w:hint="eastAsia"/>
              </w:rPr>
              <w:t>东方臻宝纯债债券A</w:t>
            </w:r>
          </w:p>
        </w:tc>
        <w:tc>
          <w:tcPr>
            <w:tcW w:w="1038" w:type="dxa"/>
            <w:vAlign w:val="center"/>
          </w:tcPr>
          <w:p w14:paraId="49D6F310">
            <w:r>
              <w:rPr>
                <w:rFonts w:hint="eastAsia"/>
              </w:rPr>
              <w:t>契约型开放式</w:t>
            </w:r>
          </w:p>
        </w:tc>
        <w:tc>
          <w:tcPr>
            <w:tcW w:w="1038" w:type="dxa"/>
            <w:vAlign w:val="center"/>
          </w:tcPr>
          <w:p w14:paraId="32A22059">
            <w:pPr>
              <w:jc w:val="right"/>
            </w:pPr>
            <w:r>
              <w:rPr>
                <w:rFonts w:hint="eastAsia"/>
              </w:rPr>
              <w:t>9,505,689.60</w:t>
            </w:r>
          </w:p>
        </w:tc>
        <w:tc>
          <w:tcPr>
            <w:tcW w:w="1038" w:type="dxa"/>
            <w:vAlign w:val="center"/>
          </w:tcPr>
          <w:p w14:paraId="1381A8B5">
            <w:pPr>
              <w:jc w:val="right"/>
            </w:pPr>
            <w:r>
              <w:rPr>
                <w:rFonts w:hint="eastAsia"/>
              </w:rPr>
              <w:t>34,049,380.15</w:t>
            </w:r>
          </w:p>
        </w:tc>
        <w:tc>
          <w:tcPr>
            <w:tcW w:w="1038" w:type="dxa"/>
            <w:vAlign w:val="center"/>
          </w:tcPr>
          <w:p w14:paraId="4A65DB94">
            <w:pPr>
              <w:jc w:val="right"/>
            </w:pPr>
            <w:r>
              <w:rPr>
                <w:rFonts w:hint="eastAsia"/>
              </w:rPr>
              <w:t>2.16</w:t>
            </w:r>
          </w:p>
        </w:tc>
        <w:tc>
          <w:tcPr>
            <w:tcW w:w="1038" w:type="dxa"/>
            <w:vAlign w:val="center"/>
          </w:tcPr>
          <w:p w14:paraId="080FA5C8">
            <w:r>
              <w:rPr>
                <w:rFonts w:hint="eastAsia"/>
              </w:rPr>
              <w:t>否</w:t>
            </w:r>
          </w:p>
        </w:tc>
      </w:tr>
      <w:tr w14:paraId="5804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FE6739">
            <w:pPr>
              <w:jc w:val="center"/>
            </w:pPr>
            <w:r>
              <w:rPr>
                <w:rFonts w:hint="eastAsia"/>
              </w:rPr>
              <w:t>17</w:t>
            </w:r>
          </w:p>
        </w:tc>
        <w:tc>
          <w:tcPr>
            <w:tcW w:w="1038" w:type="dxa"/>
            <w:vAlign w:val="center"/>
          </w:tcPr>
          <w:p w14:paraId="13586D46">
            <w:r>
              <w:rPr>
                <w:rFonts w:hint="eastAsia"/>
              </w:rPr>
              <w:t>020326</w:t>
            </w:r>
          </w:p>
        </w:tc>
        <w:tc>
          <w:tcPr>
            <w:tcW w:w="1038" w:type="dxa"/>
            <w:vAlign w:val="center"/>
          </w:tcPr>
          <w:p w14:paraId="7A15F821">
            <w:r>
              <w:rPr>
                <w:rFonts w:hint="eastAsia"/>
              </w:rPr>
              <w:t>南方安裕混合E</w:t>
            </w:r>
          </w:p>
        </w:tc>
        <w:tc>
          <w:tcPr>
            <w:tcW w:w="1038" w:type="dxa"/>
            <w:vAlign w:val="center"/>
          </w:tcPr>
          <w:p w14:paraId="244F2929">
            <w:r>
              <w:rPr>
                <w:rFonts w:hint="eastAsia"/>
              </w:rPr>
              <w:t>契约型开放式</w:t>
            </w:r>
          </w:p>
        </w:tc>
        <w:tc>
          <w:tcPr>
            <w:tcW w:w="1038" w:type="dxa"/>
            <w:vAlign w:val="center"/>
          </w:tcPr>
          <w:p w14:paraId="09F0FA73">
            <w:pPr>
              <w:jc w:val="right"/>
            </w:pPr>
            <w:r>
              <w:rPr>
                <w:rFonts w:hint="eastAsia"/>
              </w:rPr>
              <w:t>28,282,582.65</w:t>
            </w:r>
          </w:p>
        </w:tc>
        <w:tc>
          <w:tcPr>
            <w:tcW w:w="1038" w:type="dxa"/>
            <w:vAlign w:val="center"/>
          </w:tcPr>
          <w:p w14:paraId="61F99B64">
            <w:pPr>
              <w:jc w:val="right"/>
            </w:pPr>
            <w:r>
              <w:rPr>
                <w:rFonts w:hint="eastAsia"/>
              </w:rPr>
              <w:t>31,829,218.51</w:t>
            </w:r>
          </w:p>
        </w:tc>
        <w:tc>
          <w:tcPr>
            <w:tcW w:w="1038" w:type="dxa"/>
            <w:vAlign w:val="center"/>
          </w:tcPr>
          <w:p w14:paraId="2413BBF7">
            <w:pPr>
              <w:jc w:val="right"/>
            </w:pPr>
            <w:r>
              <w:rPr>
                <w:rFonts w:hint="eastAsia"/>
              </w:rPr>
              <w:t>2.02</w:t>
            </w:r>
          </w:p>
        </w:tc>
        <w:tc>
          <w:tcPr>
            <w:tcW w:w="1038" w:type="dxa"/>
            <w:vAlign w:val="center"/>
          </w:tcPr>
          <w:p w14:paraId="47064C6C">
            <w:r>
              <w:rPr>
                <w:rFonts w:hint="eastAsia"/>
              </w:rPr>
              <w:t>是</w:t>
            </w:r>
          </w:p>
        </w:tc>
      </w:tr>
      <w:tr w14:paraId="4AE1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21B042">
            <w:pPr>
              <w:jc w:val="center"/>
            </w:pPr>
            <w:r>
              <w:rPr>
                <w:rFonts w:hint="eastAsia"/>
              </w:rPr>
              <w:t>18</w:t>
            </w:r>
          </w:p>
        </w:tc>
        <w:tc>
          <w:tcPr>
            <w:tcW w:w="1038" w:type="dxa"/>
            <w:vAlign w:val="center"/>
          </w:tcPr>
          <w:p w14:paraId="1DB8E85C">
            <w:r>
              <w:rPr>
                <w:rFonts w:hint="eastAsia"/>
              </w:rPr>
              <w:t>017053</w:t>
            </w:r>
          </w:p>
        </w:tc>
        <w:tc>
          <w:tcPr>
            <w:tcW w:w="1038" w:type="dxa"/>
            <w:vAlign w:val="center"/>
          </w:tcPr>
          <w:p w14:paraId="243DE313">
            <w:r>
              <w:rPr>
                <w:rFonts w:hint="eastAsia"/>
              </w:rPr>
              <w:t>南方ESG纯债债券发起A</w:t>
            </w:r>
          </w:p>
        </w:tc>
        <w:tc>
          <w:tcPr>
            <w:tcW w:w="1038" w:type="dxa"/>
            <w:vAlign w:val="center"/>
          </w:tcPr>
          <w:p w14:paraId="21ADCFE5">
            <w:r>
              <w:rPr>
                <w:rFonts w:hint="eastAsia"/>
              </w:rPr>
              <w:t>契约型开放式</w:t>
            </w:r>
          </w:p>
        </w:tc>
        <w:tc>
          <w:tcPr>
            <w:tcW w:w="1038" w:type="dxa"/>
            <w:vAlign w:val="center"/>
          </w:tcPr>
          <w:p w14:paraId="2EB52FCD">
            <w:pPr>
              <w:jc w:val="right"/>
            </w:pPr>
            <w:r>
              <w:rPr>
                <w:rFonts w:hint="eastAsia"/>
              </w:rPr>
              <w:t>28,070,218.42</w:t>
            </w:r>
          </w:p>
        </w:tc>
        <w:tc>
          <w:tcPr>
            <w:tcW w:w="1038" w:type="dxa"/>
            <w:vAlign w:val="center"/>
          </w:tcPr>
          <w:p w14:paraId="4FDD5DB5">
            <w:pPr>
              <w:jc w:val="right"/>
            </w:pPr>
            <w:r>
              <w:rPr>
                <w:rFonts w:hint="eastAsia"/>
              </w:rPr>
              <w:t>30,133,379.47</w:t>
            </w:r>
          </w:p>
        </w:tc>
        <w:tc>
          <w:tcPr>
            <w:tcW w:w="1038" w:type="dxa"/>
            <w:vAlign w:val="center"/>
          </w:tcPr>
          <w:p w14:paraId="6D6D4234">
            <w:pPr>
              <w:jc w:val="right"/>
            </w:pPr>
            <w:r>
              <w:rPr>
                <w:rFonts w:hint="eastAsia"/>
              </w:rPr>
              <w:t>1.91</w:t>
            </w:r>
          </w:p>
        </w:tc>
        <w:tc>
          <w:tcPr>
            <w:tcW w:w="1038" w:type="dxa"/>
            <w:vAlign w:val="center"/>
          </w:tcPr>
          <w:p w14:paraId="53235E9A">
            <w:r>
              <w:rPr>
                <w:rFonts w:hint="eastAsia"/>
              </w:rPr>
              <w:t>是</w:t>
            </w:r>
          </w:p>
        </w:tc>
      </w:tr>
      <w:tr w14:paraId="3858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1B6CD0">
            <w:pPr>
              <w:jc w:val="center"/>
            </w:pPr>
            <w:r>
              <w:rPr>
                <w:rFonts w:hint="eastAsia"/>
              </w:rPr>
              <w:t>19</w:t>
            </w:r>
          </w:p>
        </w:tc>
        <w:tc>
          <w:tcPr>
            <w:tcW w:w="1038" w:type="dxa"/>
            <w:vAlign w:val="center"/>
          </w:tcPr>
          <w:p w14:paraId="19276131">
            <w:r>
              <w:rPr>
                <w:rFonts w:hint="eastAsia"/>
              </w:rPr>
              <w:t>159980</w:t>
            </w:r>
          </w:p>
        </w:tc>
        <w:tc>
          <w:tcPr>
            <w:tcW w:w="1038" w:type="dxa"/>
            <w:vAlign w:val="center"/>
          </w:tcPr>
          <w:p w14:paraId="14CF7B6F">
            <w:r>
              <w:rPr>
                <w:rFonts w:hint="eastAsia"/>
              </w:rPr>
              <w:t>大成有色金属期货ETF</w:t>
            </w:r>
          </w:p>
        </w:tc>
        <w:tc>
          <w:tcPr>
            <w:tcW w:w="1038" w:type="dxa"/>
            <w:vAlign w:val="center"/>
          </w:tcPr>
          <w:p w14:paraId="5EB35589">
            <w:r>
              <w:rPr>
                <w:rFonts w:hint="eastAsia"/>
              </w:rPr>
              <w:t>契约型开放式</w:t>
            </w:r>
          </w:p>
        </w:tc>
        <w:tc>
          <w:tcPr>
            <w:tcW w:w="1038" w:type="dxa"/>
            <w:vAlign w:val="center"/>
          </w:tcPr>
          <w:p w14:paraId="3707D842">
            <w:pPr>
              <w:jc w:val="right"/>
            </w:pPr>
            <w:r>
              <w:rPr>
                <w:rFonts w:hint="eastAsia"/>
              </w:rPr>
              <w:t>12,231,400.00</w:t>
            </w:r>
          </w:p>
        </w:tc>
        <w:tc>
          <w:tcPr>
            <w:tcW w:w="1038" w:type="dxa"/>
            <w:vAlign w:val="center"/>
          </w:tcPr>
          <w:p w14:paraId="4C92E3D2">
            <w:pPr>
              <w:jc w:val="right"/>
            </w:pPr>
            <w:r>
              <w:rPr>
                <w:rFonts w:hint="eastAsia"/>
              </w:rPr>
              <w:t>24,413,874.40</w:t>
            </w:r>
          </w:p>
        </w:tc>
        <w:tc>
          <w:tcPr>
            <w:tcW w:w="1038" w:type="dxa"/>
            <w:vAlign w:val="center"/>
          </w:tcPr>
          <w:p w14:paraId="01D41D0F">
            <w:pPr>
              <w:jc w:val="right"/>
            </w:pPr>
            <w:r>
              <w:rPr>
                <w:rFonts w:hint="eastAsia"/>
              </w:rPr>
              <w:t>1.55</w:t>
            </w:r>
          </w:p>
        </w:tc>
        <w:tc>
          <w:tcPr>
            <w:tcW w:w="1038" w:type="dxa"/>
            <w:vAlign w:val="center"/>
          </w:tcPr>
          <w:p w14:paraId="16D16731">
            <w:r>
              <w:rPr>
                <w:rFonts w:hint="eastAsia"/>
              </w:rPr>
              <w:t>否</w:t>
            </w:r>
          </w:p>
        </w:tc>
      </w:tr>
      <w:tr w14:paraId="1B45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67778C">
            <w:pPr>
              <w:jc w:val="center"/>
            </w:pPr>
            <w:r>
              <w:rPr>
                <w:rFonts w:hint="eastAsia"/>
              </w:rPr>
              <w:t>20</w:t>
            </w:r>
          </w:p>
        </w:tc>
        <w:tc>
          <w:tcPr>
            <w:tcW w:w="1038" w:type="dxa"/>
            <w:vAlign w:val="center"/>
          </w:tcPr>
          <w:p w14:paraId="7F7ED3E9">
            <w:r>
              <w:rPr>
                <w:rFonts w:hint="eastAsia"/>
              </w:rPr>
              <w:t>010880</w:t>
            </w:r>
          </w:p>
        </w:tc>
        <w:tc>
          <w:tcPr>
            <w:tcW w:w="1038" w:type="dxa"/>
            <w:vAlign w:val="center"/>
          </w:tcPr>
          <w:p w14:paraId="79C52E9D">
            <w:r>
              <w:rPr>
                <w:rFonts w:hint="eastAsia"/>
              </w:rPr>
              <w:t>南方宝升混合C</w:t>
            </w:r>
          </w:p>
        </w:tc>
        <w:tc>
          <w:tcPr>
            <w:tcW w:w="1038" w:type="dxa"/>
            <w:vAlign w:val="center"/>
          </w:tcPr>
          <w:p w14:paraId="2183E3EA">
            <w:r>
              <w:rPr>
                <w:rFonts w:hint="eastAsia"/>
              </w:rPr>
              <w:t>契约型开放式</w:t>
            </w:r>
          </w:p>
        </w:tc>
        <w:tc>
          <w:tcPr>
            <w:tcW w:w="1038" w:type="dxa"/>
            <w:vAlign w:val="center"/>
          </w:tcPr>
          <w:p w14:paraId="57D55651">
            <w:pPr>
              <w:jc w:val="right"/>
            </w:pPr>
            <w:r>
              <w:rPr>
                <w:rFonts w:hint="eastAsia"/>
              </w:rPr>
              <w:t>22,209,787.36</w:t>
            </w:r>
          </w:p>
        </w:tc>
        <w:tc>
          <w:tcPr>
            <w:tcW w:w="1038" w:type="dxa"/>
            <w:vAlign w:val="center"/>
          </w:tcPr>
          <w:p w14:paraId="33998686">
            <w:pPr>
              <w:jc w:val="right"/>
            </w:pPr>
            <w:r>
              <w:rPr>
                <w:rFonts w:hint="eastAsia"/>
              </w:rPr>
              <w:t>21,974,363.61</w:t>
            </w:r>
          </w:p>
        </w:tc>
        <w:tc>
          <w:tcPr>
            <w:tcW w:w="1038" w:type="dxa"/>
            <w:vAlign w:val="center"/>
          </w:tcPr>
          <w:p w14:paraId="755C2090">
            <w:pPr>
              <w:jc w:val="right"/>
            </w:pPr>
            <w:r>
              <w:rPr>
                <w:rFonts w:hint="eastAsia"/>
              </w:rPr>
              <w:t>1.39</w:t>
            </w:r>
          </w:p>
        </w:tc>
        <w:tc>
          <w:tcPr>
            <w:tcW w:w="1038" w:type="dxa"/>
            <w:vAlign w:val="center"/>
          </w:tcPr>
          <w:p w14:paraId="15693A16">
            <w:r>
              <w:rPr>
                <w:rFonts w:hint="eastAsia"/>
              </w:rPr>
              <w:t>是</w:t>
            </w:r>
          </w:p>
        </w:tc>
      </w:tr>
      <w:tr w14:paraId="42AB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5021F6">
            <w:pPr>
              <w:jc w:val="center"/>
            </w:pPr>
            <w:r>
              <w:rPr>
                <w:rFonts w:hint="eastAsia"/>
              </w:rPr>
              <w:t>21</w:t>
            </w:r>
          </w:p>
        </w:tc>
        <w:tc>
          <w:tcPr>
            <w:tcW w:w="1038" w:type="dxa"/>
            <w:vAlign w:val="center"/>
          </w:tcPr>
          <w:p w14:paraId="557AE37A">
            <w:r>
              <w:rPr>
                <w:rFonts w:hint="eastAsia"/>
              </w:rPr>
              <w:t>012946</w:t>
            </w:r>
          </w:p>
        </w:tc>
        <w:tc>
          <w:tcPr>
            <w:tcW w:w="1038" w:type="dxa"/>
            <w:vAlign w:val="center"/>
          </w:tcPr>
          <w:p w14:paraId="47BC690B">
            <w:r>
              <w:rPr>
                <w:rFonts w:hint="eastAsia"/>
              </w:rPr>
              <w:t>南方宝裕混合C</w:t>
            </w:r>
          </w:p>
        </w:tc>
        <w:tc>
          <w:tcPr>
            <w:tcW w:w="1038" w:type="dxa"/>
            <w:vAlign w:val="center"/>
          </w:tcPr>
          <w:p w14:paraId="598F8579">
            <w:r>
              <w:rPr>
                <w:rFonts w:hint="eastAsia"/>
              </w:rPr>
              <w:t>契约型开放式</w:t>
            </w:r>
          </w:p>
        </w:tc>
        <w:tc>
          <w:tcPr>
            <w:tcW w:w="1038" w:type="dxa"/>
            <w:vAlign w:val="center"/>
          </w:tcPr>
          <w:p w14:paraId="7A64B5A7">
            <w:pPr>
              <w:jc w:val="right"/>
            </w:pPr>
            <w:r>
              <w:rPr>
                <w:rFonts w:hint="eastAsia"/>
              </w:rPr>
              <w:t>18,143,880.98</w:t>
            </w:r>
          </w:p>
        </w:tc>
        <w:tc>
          <w:tcPr>
            <w:tcW w:w="1038" w:type="dxa"/>
            <w:vAlign w:val="center"/>
          </w:tcPr>
          <w:p w14:paraId="40CB8193">
            <w:pPr>
              <w:jc w:val="right"/>
            </w:pPr>
            <w:r>
              <w:rPr>
                <w:rFonts w:hint="eastAsia"/>
              </w:rPr>
              <w:t>20,807,402.71</w:t>
            </w:r>
          </w:p>
        </w:tc>
        <w:tc>
          <w:tcPr>
            <w:tcW w:w="1038" w:type="dxa"/>
            <w:vAlign w:val="center"/>
          </w:tcPr>
          <w:p w14:paraId="0EFBEB08">
            <w:pPr>
              <w:jc w:val="right"/>
            </w:pPr>
            <w:r>
              <w:rPr>
                <w:rFonts w:hint="eastAsia"/>
              </w:rPr>
              <w:t>1.32</w:t>
            </w:r>
          </w:p>
        </w:tc>
        <w:tc>
          <w:tcPr>
            <w:tcW w:w="1038" w:type="dxa"/>
            <w:vAlign w:val="center"/>
          </w:tcPr>
          <w:p w14:paraId="085CDAE1">
            <w:r>
              <w:rPr>
                <w:rFonts w:hint="eastAsia"/>
              </w:rPr>
              <w:t>是</w:t>
            </w:r>
          </w:p>
        </w:tc>
      </w:tr>
      <w:tr w14:paraId="157E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CE2FF5">
            <w:pPr>
              <w:jc w:val="center"/>
            </w:pPr>
            <w:r>
              <w:rPr>
                <w:rFonts w:hint="eastAsia"/>
              </w:rPr>
              <w:t>22</w:t>
            </w:r>
          </w:p>
        </w:tc>
        <w:tc>
          <w:tcPr>
            <w:tcW w:w="1038" w:type="dxa"/>
            <w:vAlign w:val="center"/>
          </w:tcPr>
          <w:p w14:paraId="01115697">
            <w:r>
              <w:rPr>
                <w:rFonts w:hint="eastAsia"/>
              </w:rPr>
              <w:t>010879</w:t>
            </w:r>
          </w:p>
        </w:tc>
        <w:tc>
          <w:tcPr>
            <w:tcW w:w="1038" w:type="dxa"/>
            <w:vAlign w:val="center"/>
          </w:tcPr>
          <w:p w14:paraId="2B0E24AF">
            <w:r>
              <w:rPr>
                <w:rFonts w:hint="eastAsia"/>
              </w:rPr>
              <w:t>南方宝升混合A</w:t>
            </w:r>
          </w:p>
        </w:tc>
        <w:tc>
          <w:tcPr>
            <w:tcW w:w="1038" w:type="dxa"/>
            <w:vAlign w:val="center"/>
          </w:tcPr>
          <w:p w14:paraId="71582A35">
            <w:r>
              <w:rPr>
                <w:rFonts w:hint="eastAsia"/>
              </w:rPr>
              <w:t>契约型开放式</w:t>
            </w:r>
          </w:p>
        </w:tc>
        <w:tc>
          <w:tcPr>
            <w:tcW w:w="1038" w:type="dxa"/>
            <w:vAlign w:val="center"/>
          </w:tcPr>
          <w:p w14:paraId="4398E4E3">
            <w:pPr>
              <w:jc w:val="right"/>
            </w:pPr>
            <w:r>
              <w:rPr>
                <w:rFonts w:hint="eastAsia"/>
              </w:rPr>
              <w:t>19,754,896.30</w:t>
            </w:r>
          </w:p>
        </w:tc>
        <w:tc>
          <w:tcPr>
            <w:tcW w:w="1038" w:type="dxa"/>
            <w:vAlign w:val="center"/>
          </w:tcPr>
          <w:p w14:paraId="560596CE">
            <w:pPr>
              <w:jc w:val="right"/>
            </w:pPr>
            <w:r>
              <w:rPr>
                <w:rFonts w:hint="eastAsia"/>
              </w:rPr>
              <w:t>20,138,141.29</w:t>
            </w:r>
          </w:p>
        </w:tc>
        <w:tc>
          <w:tcPr>
            <w:tcW w:w="1038" w:type="dxa"/>
            <w:vAlign w:val="center"/>
          </w:tcPr>
          <w:p w14:paraId="35054FD3">
            <w:pPr>
              <w:jc w:val="right"/>
            </w:pPr>
            <w:r>
              <w:rPr>
                <w:rFonts w:hint="eastAsia"/>
              </w:rPr>
              <w:t>1.28</w:t>
            </w:r>
          </w:p>
        </w:tc>
        <w:tc>
          <w:tcPr>
            <w:tcW w:w="1038" w:type="dxa"/>
            <w:vAlign w:val="center"/>
          </w:tcPr>
          <w:p w14:paraId="4F7FF205">
            <w:r>
              <w:rPr>
                <w:rFonts w:hint="eastAsia"/>
              </w:rPr>
              <w:t>是</w:t>
            </w:r>
          </w:p>
        </w:tc>
      </w:tr>
      <w:tr w14:paraId="210B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936EDE">
            <w:pPr>
              <w:jc w:val="center"/>
            </w:pPr>
            <w:r>
              <w:rPr>
                <w:rFonts w:hint="eastAsia"/>
              </w:rPr>
              <w:t>23</w:t>
            </w:r>
          </w:p>
        </w:tc>
        <w:tc>
          <w:tcPr>
            <w:tcW w:w="1038" w:type="dxa"/>
            <w:vAlign w:val="center"/>
          </w:tcPr>
          <w:p w14:paraId="7500BFAC">
            <w:r>
              <w:rPr>
                <w:rFonts w:hint="eastAsia"/>
              </w:rPr>
              <w:t>008367</w:t>
            </w:r>
          </w:p>
        </w:tc>
        <w:tc>
          <w:tcPr>
            <w:tcW w:w="1038" w:type="dxa"/>
            <w:vAlign w:val="center"/>
          </w:tcPr>
          <w:p w14:paraId="7EF85C9B">
            <w:r>
              <w:rPr>
                <w:rFonts w:hint="eastAsia"/>
              </w:rPr>
              <w:t>富国亚洲收益债券(QDII)A</w:t>
            </w:r>
          </w:p>
        </w:tc>
        <w:tc>
          <w:tcPr>
            <w:tcW w:w="1038" w:type="dxa"/>
            <w:vAlign w:val="center"/>
          </w:tcPr>
          <w:p w14:paraId="046CA132">
            <w:r>
              <w:rPr>
                <w:rFonts w:hint="eastAsia"/>
              </w:rPr>
              <w:t>契约型开放式</w:t>
            </w:r>
          </w:p>
        </w:tc>
        <w:tc>
          <w:tcPr>
            <w:tcW w:w="1038" w:type="dxa"/>
            <w:vAlign w:val="center"/>
          </w:tcPr>
          <w:p w14:paraId="626E85EC">
            <w:pPr>
              <w:jc w:val="right"/>
            </w:pPr>
            <w:r>
              <w:rPr>
                <w:rFonts w:hint="eastAsia"/>
              </w:rPr>
              <w:t>18,394,959.53</w:t>
            </w:r>
          </w:p>
        </w:tc>
        <w:tc>
          <w:tcPr>
            <w:tcW w:w="1038" w:type="dxa"/>
            <w:vAlign w:val="center"/>
          </w:tcPr>
          <w:p w14:paraId="655A72C0">
            <w:pPr>
              <w:jc w:val="right"/>
            </w:pPr>
            <w:r>
              <w:rPr>
                <w:rFonts w:hint="eastAsia"/>
              </w:rPr>
              <w:t>19,774,581.49</w:t>
            </w:r>
          </w:p>
        </w:tc>
        <w:tc>
          <w:tcPr>
            <w:tcW w:w="1038" w:type="dxa"/>
            <w:vAlign w:val="center"/>
          </w:tcPr>
          <w:p w14:paraId="5E356F0F">
            <w:pPr>
              <w:jc w:val="right"/>
            </w:pPr>
            <w:r>
              <w:rPr>
                <w:rFonts w:hint="eastAsia"/>
              </w:rPr>
              <w:t>1.25</w:t>
            </w:r>
          </w:p>
        </w:tc>
        <w:tc>
          <w:tcPr>
            <w:tcW w:w="1038" w:type="dxa"/>
            <w:vAlign w:val="center"/>
          </w:tcPr>
          <w:p w14:paraId="0C54350F">
            <w:r>
              <w:rPr>
                <w:rFonts w:hint="eastAsia"/>
              </w:rPr>
              <w:t>否</w:t>
            </w:r>
          </w:p>
        </w:tc>
      </w:tr>
      <w:tr w14:paraId="2866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424D83">
            <w:pPr>
              <w:jc w:val="center"/>
            </w:pPr>
            <w:r>
              <w:rPr>
                <w:rFonts w:hint="eastAsia"/>
              </w:rPr>
              <w:t>24</w:t>
            </w:r>
          </w:p>
        </w:tc>
        <w:tc>
          <w:tcPr>
            <w:tcW w:w="1038" w:type="dxa"/>
            <w:vAlign w:val="center"/>
          </w:tcPr>
          <w:p w14:paraId="5B464A18">
            <w:r>
              <w:rPr>
                <w:rFonts w:hint="eastAsia"/>
              </w:rPr>
              <w:t>006105</w:t>
            </w:r>
          </w:p>
        </w:tc>
        <w:tc>
          <w:tcPr>
            <w:tcW w:w="1038" w:type="dxa"/>
            <w:vAlign w:val="center"/>
          </w:tcPr>
          <w:p w14:paraId="42C4F760">
            <w:r>
              <w:rPr>
                <w:rFonts w:hint="eastAsia"/>
              </w:rPr>
              <w:t>宏利印度股票(QDII)A</w:t>
            </w:r>
          </w:p>
        </w:tc>
        <w:tc>
          <w:tcPr>
            <w:tcW w:w="1038" w:type="dxa"/>
            <w:vAlign w:val="center"/>
          </w:tcPr>
          <w:p w14:paraId="1D5398B3">
            <w:r>
              <w:rPr>
                <w:rFonts w:hint="eastAsia"/>
              </w:rPr>
              <w:t>契约型开放式</w:t>
            </w:r>
          </w:p>
        </w:tc>
        <w:tc>
          <w:tcPr>
            <w:tcW w:w="1038" w:type="dxa"/>
            <w:vAlign w:val="center"/>
          </w:tcPr>
          <w:p w14:paraId="577A2F96">
            <w:pPr>
              <w:jc w:val="right"/>
            </w:pPr>
            <w:r>
              <w:rPr>
                <w:rFonts w:hint="eastAsia"/>
              </w:rPr>
              <w:t>12,728,568.98</w:t>
            </w:r>
          </w:p>
        </w:tc>
        <w:tc>
          <w:tcPr>
            <w:tcW w:w="1038" w:type="dxa"/>
            <w:vAlign w:val="center"/>
          </w:tcPr>
          <w:p w14:paraId="5AA2A9A1">
            <w:pPr>
              <w:jc w:val="right"/>
            </w:pPr>
            <w:r>
              <w:rPr>
                <w:rFonts w:hint="eastAsia"/>
              </w:rPr>
              <w:t>18,420,785.03</w:t>
            </w:r>
          </w:p>
        </w:tc>
        <w:tc>
          <w:tcPr>
            <w:tcW w:w="1038" w:type="dxa"/>
            <w:vAlign w:val="center"/>
          </w:tcPr>
          <w:p w14:paraId="433FD5AC">
            <w:pPr>
              <w:jc w:val="right"/>
            </w:pPr>
            <w:r>
              <w:rPr>
                <w:rFonts w:hint="eastAsia"/>
              </w:rPr>
              <w:t>1.17</w:t>
            </w:r>
          </w:p>
        </w:tc>
        <w:tc>
          <w:tcPr>
            <w:tcW w:w="1038" w:type="dxa"/>
            <w:vAlign w:val="center"/>
          </w:tcPr>
          <w:p w14:paraId="7017F4C6">
            <w:r>
              <w:rPr>
                <w:rFonts w:hint="eastAsia"/>
              </w:rPr>
              <w:t>否</w:t>
            </w:r>
          </w:p>
        </w:tc>
      </w:tr>
      <w:tr w14:paraId="305B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AC0907">
            <w:pPr>
              <w:jc w:val="center"/>
            </w:pPr>
            <w:r>
              <w:rPr>
                <w:rFonts w:hint="eastAsia"/>
              </w:rPr>
              <w:t>25</w:t>
            </w:r>
          </w:p>
        </w:tc>
        <w:tc>
          <w:tcPr>
            <w:tcW w:w="1038" w:type="dxa"/>
            <w:vAlign w:val="center"/>
          </w:tcPr>
          <w:p w14:paraId="687C3A0F">
            <w:r>
              <w:rPr>
                <w:rFonts w:hint="eastAsia"/>
              </w:rPr>
              <w:t>023014</w:t>
            </w:r>
          </w:p>
        </w:tc>
        <w:tc>
          <w:tcPr>
            <w:tcW w:w="1038" w:type="dxa"/>
            <w:vAlign w:val="center"/>
          </w:tcPr>
          <w:p w14:paraId="470C9843">
            <w:r>
              <w:rPr>
                <w:rFonts w:hint="eastAsia"/>
              </w:rPr>
              <w:t>南方安康混合C</w:t>
            </w:r>
          </w:p>
        </w:tc>
        <w:tc>
          <w:tcPr>
            <w:tcW w:w="1038" w:type="dxa"/>
            <w:vAlign w:val="center"/>
          </w:tcPr>
          <w:p w14:paraId="7200FDB8">
            <w:r>
              <w:rPr>
                <w:rFonts w:hint="eastAsia"/>
              </w:rPr>
              <w:t>契约型开放式</w:t>
            </w:r>
          </w:p>
        </w:tc>
        <w:tc>
          <w:tcPr>
            <w:tcW w:w="1038" w:type="dxa"/>
            <w:vAlign w:val="center"/>
          </w:tcPr>
          <w:p w14:paraId="16B7E50D">
            <w:pPr>
              <w:jc w:val="right"/>
            </w:pPr>
            <w:r>
              <w:rPr>
                <w:rFonts w:hint="eastAsia"/>
              </w:rPr>
              <w:t>14,841,976.60</w:t>
            </w:r>
          </w:p>
        </w:tc>
        <w:tc>
          <w:tcPr>
            <w:tcW w:w="1038" w:type="dxa"/>
            <w:vAlign w:val="center"/>
          </w:tcPr>
          <w:p w14:paraId="432FF6AE">
            <w:pPr>
              <w:jc w:val="right"/>
            </w:pPr>
            <w:r>
              <w:rPr>
                <w:rFonts w:hint="eastAsia"/>
              </w:rPr>
              <w:t>17,084,599.26</w:t>
            </w:r>
          </w:p>
        </w:tc>
        <w:tc>
          <w:tcPr>
            <w:tcW w:w="1038" w:type="dxa"/>
            <w:vAlign w:val="center"/>
          </w:tcPr>
          <w:p w14:paraId="7DDB9ADB">
            <w:pPr>
              <w:jc w:val="right"/>
            </w:pPr>
            <w:r>
              <w:rPr>
                <w:rFonts w:hint="eastAsia"/>
              </w:rPr>
              <w:t>1.08</w:t>
            </w:r>
          </w:p>
        </w:tc>
        <w:tc>
          <w:tcPr>
            <w:tcW w:w="1038" w:type="dxa"/>
            <w:vAlign w:val="center"/>
          </w:tcPr>
          <w:p w14:paraId="13D778D1">
            <w:r>
              <w:rPr>
                <w:rFonts w:hint="eastAsia"/>
              </w:rPr>
              <w:t>是</w:t>
            </w:r>
          </w:p>
        </w:tc>
      </w:tr>
      <w:tr w14:paraId="44E7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DE33AB">
            <w:pPr>
              <w:jc w:val="center"/>
            </w:pPr>
            <w:r>
              <w:rPr>
                <w:rFonts w:hint="eastAsia"/>
              </w:rPr>
              <w:t>26</w:t>
            </w:r>
          </w:p>
        </w:tc>
        <w:tc>
          <w:tcPr>
            <w:tcW w:w="1038" w:type="dxa"/>
            <w:vAlign w:val="center"/>
          </w:tcPr>
          <w:p w14:paraId="31844889">
            <w:r>
              <w:rPr>
                <w:rFonts w:hint="eastAsia"/>
              </w:rPr>
              <w:t>159352</w:t>
            </w:r>
          </w:p>
        </w:tc>
        <w:tc>
          <w:tcPr>
            <w:tcW w:w="1038" w:type="dxa"/>
            <w:vAlign w:val="center"/>
          </w:tcPr>
          <w:p w14:paraId="4B7ED544">
            <w:r>
              <w:rPr>
                <w:rFonts w:hint="eastAsia"/>
              </w:rPr>
              <w:t>南方中证A500ETF</w:t>
            </w:r>
          </w:p>
        </w:tc>
        <w:tc>
          <w:tcPr>
            <w:tcW w:w="1038" w:type="dxa"/>
            <w:vAlign w:val="center"/>
          </w:tcPr>
          <w:p w14:paraId="60E1E4D8">
            <w:r>
              <w:rPr>
                <w:rFonts w:hint="eastAsia"/>
              </w:rPr>
              <w:t>契约型开放式</w:t>
            </w:r>
          </w:p>
        </w:tc>
        <w:tc>
          <w:tcPr>
            <w:tcW w:w="1038" w:type="dxa"/>
            <w:vAlign w:val="center"/>
          </w:tcPr>
          <w:p w14:paraId="082A2E48">
            <w:pPr>
              <w:jc w:val="right"/>
            </w:pPr>
            <w:r>
              <w:rPr>
                <w:rFonts w:hint="eastAsia"/>
              </w:rPr>
              <w:t>13,698,000.00</w:t>
            </w:r>
          </w:p>
        </w:tc>
        <w:tc>
          <w:tcPr>
            <w:tcW w:w="1038" w:type="dxa"/>
            <w:vAlign w:val="center"/>
          </w:tcPr>
          <w:p w14:paraId="52DA8599">
            <w:pPr>
              <w:jc w:val="right"/>
            </w:pPr>
            <w:r>
              <w:rPr>
                <w:rFonts w:hint="eastAsia"/>
              </w:rPr>
              <w:t>17,026,614.00</w:t>
            </w:r>
          </w:p>
        </w:tc>
        <w:tc>
          <w:tcPr>
            <w:tcW w:w="1038" w:type="dxa"/>
            <w:vAlign w:val="center"/>
          </w:tcPr>
          <w:p w14:paraId="0840D909">
            <w:pPr>
              <w:jc w:val="right"/>
            </w:pPr>
            <w:r>
              <w:rPr>
                <w:rFonts w:hint="eastAsia"/>
              </w:rPr>
              <w:t>1.08</w:t>
            </w:r>
          </w:p>
        </w:tc>
        <w:tc>
          <w:tcPr>
            <w:tcW w:w="1038" w:type="dxa"/>
            <w:vAlign w:val="center"/>
          </w:tcPr>
          <w:p w14:paraId="1B713528">
            <w:r>
              <w:rPr>
                <w:rFonts w:hint="eastAsia"/>
              </w:rPr>
              <w:t>是</w:t>
            </w:r>
          </w:p>
        </w:tc>
      </w:tr>
      <w:tr w14:paraId="247C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EA1240">
            <w:pPr>
              <w:jc w:val="center"/>
            </w:pPr>
            <w:r>
              <w:rPr>
                <w:rFonts w:hint="eastAsia"/>
              </w:rPr>
              <w:t>27</w:t>
            </w:r>
          </w:p>
        </w:tc>
        <w:tc>
          <w:tcPr>
            <w:tcW w:w="1038" w:type="dxa"/>
            <w:vAlign w:val="center"/>
          </w:tcPr>
          <w:p w14:paraId="5987AF3B">
            <w:r>
              <w:rPr>
                <w:rFonts w:hint="eastAsia"/>
              </w:rPr>
              <w:t>002925</w:t>
            </w:r>
          </w:p>
        </w:tc>
        <w:tc>
          <w:tcPr>
            <w:tcW w:w="1038" w:type="dxa"/>
            <w:vAlign w:val="center"/>
          </w:tcPr>
          <w:p w14:paraId="5B277D5F">
            <w:r>
              <w:rPr>
                <w:rFonts w:hint="eastAsia"/>
              </w:rPr>
              <w:t>广发集源债券A</w:t>
            </w:r>
          </w:p>
        </w:tc>
        <w:tc>
          <w:tcPr>
            <w:tcW w:w="1038" w:type="dxa"/>
            <w:vAlign w:val="center"/>
          </w:tcPr>
          <w:p w14:paraId="7AFED16D">
            <w:r>
              <w:rPr>
                <w:rFonts w:hint="eastAsia"/>
              </w:rPr>
              <w:t>契约型开放式</w:t>
            </w:r>
          </w:p>
        </w:tc>
        <w:tc>
          <w:tcPr>
            <w:tcW w:w="1038" w:type="dxa"/>
            <w:vAlign w:val="center"/>
          </w:tcPr>
          <w:p w14:paraId="3421BEB2">
            <w:pPr>
              <w:jc w:val="right"/>
            </w:pPr>
            <w:r>
              <w:rPr>
                <w:rFonts w:hint="eastAsia"/>
              </w:rPr>
              <w:t>14,076,716.61</w:t>
            </w:r>
          </w:p>
        </w:tc>
        <w:tc>
          <w:tcPr>
            <w:tcW w:w="1038" w:type="dxa"/>
            <w:vAlign w:val="center"/>
          </w:tcPr>
          <w:p w14:paraId="20D3E3CD">
            <w:pPr>
              <w:jc w:val="right"/>
            </w:pPr>
            <w:r>
              <w:rPr>
                <w:rFonts w:hint="eastAsia"/>
              </w:rPr>
              <w:t>16,435,974.31</w:t>
            </w:r>
          </w:p>
        </w:tc>
        <w:tc>
          <w:tcPr>
            <w:tcW w:w="1038" w:type="dxa"/>
            <w:vAlign w:val="center"/>
          </w:tcPr>
          <w:p w14:paraId="4F8312AC">
            <w:pPr>
              <w:jc w:val="right"/>
            </w:pPr>
            <w:r>
              <w:rPr>
                <w:rFonts w:hint="eastAsia"/>
              </w:rPr>
              <w:t>1.04</w:t>
            </w:r>
          </w:p>
        </w:tc>
        <w:tc>
          <w:tcPr>
            <w:tcW w:w="1038" w:type="dxa"/>
            <w:vAlign w:val="center"/>
          </w:tcPr>
          <w:p w14:paraId="275427C8">
            <w:r>
              <w:rPr>
                <w:rFonts w:hint="eastAsia"/>
              </w:rPr>
              <w:t>否</w:t>
            </w:r>
          </w:p>
        </w:tc>
      </w:tr>
      <w:tr w14:paraId="6071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5596EE">
            <w:pPr>
              <w:jc w:val="center"/>
            </w:pPr>
            <w:r>
              <w:rPr>
                <w:rFonts w:hint="eastAsia"/>
              </w:rPr>
              <w:t>28</w:t>
            </w:r>
          </w:p>
        </w:tc>
        <w:tc>
          <w:tcPr>
            <w:tcW w:w="1038" w:type="dxa"/>
            <w:vAlign w:val="center"/>
          </w:tcPr>
          <w:p w14:paraId="6CB37374">
            <w:r>
              <w:rPr>
                <w:rFonts w:hint="eastAsia"/>
              </w:rPr>
              <w:t>002118</w:t>
            </w:r>
          </w:p>
        </w:tc>
        <w:tc>
          <w:tcPr>
            <w:tcW w:w="1038" w:type="dxa"/>
            <w:vAlign w:val="center"/>
          </w:tcPr>
          <w:p w14:paraId="5606C045">
            <w:r>
              <w:rPr>
                <w:rFonts w:hint="eastAsia"/>
              </w:rPr>
              <w:t>广发安盈混合A</w:t>
            </w:r>
          </w:p>
        </w:tc>
        <w:tc>
          <w:tcPr>
            <w:tcW w:w="1038" w:type="dxa"/>
            <w:vAlign w:val="center"/>
          </w:tcPr>
          <w:p w14:paraId="6F3EC9DF">
            <w:r>
              <w:rPr>
                <w:rFonts w:hint="eastAsia"/>
              </w:rPr>
              <w:t>契约型开放式</w:t>
            </w:r>
          </w:p>
        </w:tc>
        <w:tc>
          <w:tcPr>
            <w:tcW w:w="1038" w:type="dxa"/>
            <w:vAlign w:val="center"/>
          </w:tcPr>
          <w:p w14:paraId="74E24B24">
            <w:pPr>
              <w:jc w:val="right"/>
            </w:pPr>
            <w:r>
              <w:rPr>
                <w:rFonts w:hint="eastAsia"/>
              </w:rPr>
              <w:t>10,042,459.08</w:t>
            </w:r>
          </w:p>
        </w:tc>
        <w:tc>
          <w:tcPr>
            <w:tcW w:w="1038" w:type="dxa"/>
            <w:vAlign w:val="center"/>
          </w:tcPr>
          <w:p w14:paraId="301C49E4">
            <w:pPr>
              <w:jc w:val="right"/>
            </w:pPr>
            <w:r>
              <w:rPr>
                <w:rFonts w:hint="eastAsia"/>
              </w:rPr>
              <w:t>15,745,571.59</w:t>
            </w:r>
          </w:p>
        </w:tc>
        <w:tc>
          <w:tcPr>
            <w:tcW w:w="1038" w:type="dxa"/>
            <w:vAlign w:val="center"/>
          </w:tcPr>
          <w:p w14:paraId="36A7832C">
            <w:pPr>
              <w:jc w:val="right"/>
            </w:pPr>
            <w:r>
              <w:rPr>
                <w:rFonts w:hint="eastAsia"/>
              </w:rPr>
              <w:t>1.00</w:t>
            </w:r>
          </w:p>
        </w:tc>
        <w:tc>
          <w:tcPr>
            <w:tcW w:w="1038" w:type="dxa"/>
            <w:vAlign w:val="center"/>
          </w:tcPr>
          <w:p w14:paraId="6EABC352">
            <w:r>
              <w:rPr>
                <w:rFonts w:hint="eastAsia"/>
              </w:rPr>
              <w:t>否</w:t>
            </w:r>
          </w:p>
        </w:tc>
      </w:tr>
      <w:tr w14:paraId="12E3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354377">
            <w:pPr>
              <w:jc w:val="center"/>
            </w:pPr>
            <w:r>
              <w:rPr>
                <w:rFonts w:hint="eastAsia"/>
              </w:rPr>
              <w:t>29</w:t>
            </w:r>
          </w:p>
        </w:tc>
        <w:tc>
          <w:tcPr>
            <w:tcW w:w="1038" w:type="dxa"/>
            <w:vAlign w:val="center"/>
          </w:tcPr>
          <w:p w14:paraId="49B04C8A">
            <w:r>
              <w:rPr>
                <w:rFonts w:hint="eastAsia"/>
              </w:rPr>
              <w:t>159632</w:t>
            </w:r>
          </w:p>
        </w:tc>
        <w:tc>
          <w:tcPr>
            <w:tcW w:w="1038" w:type="dxa"/>
            <w:vAlign w:val="center"/>
          </w:tcPr>
          <w:p w14:paraId="075DD40E">
            <w:r>
              <w:rPr>
                <w:rFonts w:hint="eastAsia"/>
              </w:rPr>
              <w:t>华安纳斯达克100ETF(QDII)</w:t>
            </w:r>
          </w:p>
        </w:tc>
        <w:tc>
          <w:tcPr>
            <w:tcW w:w="1038" w:type="dxa"/>
            <w:vAlign w:val="center"/>
          </w:tcPr>
          <w:p w14:paraId="53B91314">
            <w:r>
              <w:rPr>
                <w:rFonts w:hint="eastAsia"/>
              </w:rPr>
              <w:t>契约型开放式</w:t>
            </w:r>
          </w:p>
        </w:tc>
        <w:tc>
          <w:tcPr>
            <w:tcW w:w="1038" w:type="dxa"/>
            <w:vAlign w:val="center"/>
          </w:tcPr>
          <w:p w14:paraId="01F0FDC0">
            <w:pPr>
              <w:jc w:val="right"/>
            </w:pPr>
            <w:r>
              <w:rPr>
                <w:rFonts w:hint="eastAsia"/>
              </w:rPr>
              <w:t>5,807,100.00</w:t>
            </w:r>
          </w:p>
        </w:tc>
        <w:tc>
          <w:tcPr>
            <w:tcW w:w="1038" w:type="dxa"/>
            <w:vAlign w:val="center"/>
          </w:tcPr>
          <w:p w14:paraId="4C6BF991">
            <w:pPr>
              <w:jc w:val="right"/>
            </w:pPr>
            <w:r>
              <w:rPr>
                <w:rFonts w:hint="eastAsia"/>
              </w:rPr>
              <w:t>12,183,295.80</w:t>
            </w:r>
          </w:p>
        </w:tc>
        <w:tc>
          <w:tcPr>
            <w:tcW w:w="1038" w:type="dxa"/>
            <w:vAlign w:val="center"/>
          </w:tcPr>
          <w:p w14:paraId="227E32C4">
            <w:pPr>
              <w:jc w:val="right"/>
            </w:pPr>
            <w:r>
              <w:rPr>
                <w:rFonts w:hint="eastAsia"/>
              </w:rPr>
              <w:t>0.77</w:t>
            </w:r>
          </w:p>
        </w:tc>
        <w:tc>
          <w:tcPr>
            <w:tcW w:w="1038" w:type="dxa"/>
            <w:vAlign w:val="center"/>
          </w:tcPr>
          <w:p w14:paraId="3BE209A8">
            <w:r>
              <w:rPr>
                <w:rFonts w:hint="eastAsia"/>
              </w:rPr>
              <w:t>否</w:t>
            </w:r>
          </w:p>
        </w:tc>
      </w:tr>
      <w:tr w14:paraId="2FA1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DB5802">
            <w:pPr>
              <w:jc w:val="center"/>
            </w:pPr>
            <w:r>
              <w:rPr>
                <w:rFonts w:hint="eastAsia"/>
              </w:rPr>
              <w:t>30</w:t>
            </w:r>
          </w:p>
        </w:tc>
        <w:tc>
          <w:tcPr>
            <w:tcW w:w="1038" w:type="dxa"/>
            <w:vAlign w:val="center"/>
          </w:tcPr>
          <w:p w14:paraId="142A537D">
            <w:r>
              <w:rPr>
                <w:rFonts w:hint="eastAsia"/>
              </w:rPr>
              <w:t>513650</w:t>
            </w:r>
          </w:p>
        </w:tc>
        <w:tc>
          <w:tcPr>
            <w:tcW w:w="1038" w:type="dxa"/>
            <w:vAlign w:val="center"/>
          </w:tcPr>
          <w:p w14:paraId="2063037A">
            <w:r>
              <w:rPr>
                <w:rFonts w:hint="eastAsia"/>
              </w:rPr>
              <w:t>南方标普500ETF(QDII)</w:t>
            </w:r>
          </w:p>
        </w:tc>
        <w:tc>
          <w:tcPr>
            <w:tcW w:w="1038" w:type="dxa"/>
            <w:vAlign w:val="center"/>
          </w:tcPr>
          <w:p w14:paraId="6621AF34">
            <w:r>
              <w:rPr>
                <w:rFonts w:hint="eastAsia"/>
              </w:rPr>
              <w:t>契约型开放式</w:t>
            </w:r>
          </w:p>
        </w:tc>
        <w:tc>
          <w:tcPr>
            <w:tcW w:w="1038" w:type="dxa"/>
            <w:vAlign w:val="center"/>
          </w:tcPr>
          <w:p w14:paraId="0211180C">
            <w:pPr>
              <w:jc w:val="right"/>
            </w:pPr>
            <w:r>
              <w:rPr>
                <w:rFonts w:hint="eastAsia"/>
              </w:rPr>
              <w:t>6,468,000.00</w:t>
            </w:r>
          </w:p>
        </w:tc>
        <w:tc>
          <w:tcPr>
            <w:tcW w:w="1038" w:type="dxa"/>
            <w:vAlign w:val="center"/>
          </w:tcPr>
          <w:p w14:paraId="3AD1DEC3">
            <w:pPr>
              <w:jc w:val="right"/>
            </w:pPr>
            <w:r>
              <w:rPr>
                <w:rFonts w:hint="eastAsia"/>
              </w:rPr>
              <w:t>11,694,144.00</w:t>
            </w:r>
          </w:p>
        </w:tc>
        <w:tc>
          <w:tcPr>
            <w:tcW w:w="1038" w:type="dxa"/>
            <w:vAlign w:val="center"/>
          </w:tcPr>
          <w:p w14:paraId="16C96A68">
            <w:pPr>
              <w:jc w:val="right"/>
            </w:pPr>
            <w:r>
              <w:rPr>
                <w:rFonts w:hint="eastAsia"/>
              </w:rPr>
              <w:t>0.74</w:t>
            </w:r>
          </w:p>
        </w:tc>
        <w:tc>
          <w:tcPr>
            <w:tcW w:w="1038" w:type="dxa"/>
            <w:vAlign w:val="center"/>
          </w:tcPr>
          <w:p w14:paraId="1A34AEEB">
            <w:r>
              <w:rPr>
                <w:rFonts w:hint="eastAsia"/>
              </w:rPr>
              <w:t>是</w:t>
            </w:r>
          </w:p>
        </w:tc>
      </w:tr>
      <w:tr w14:paraId="7B64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D8A206">
            <w:pPr>
              <w:jc w:val="center"/>
            </w:pPr>
            <w:r>
              <w:rPr>
                <w:rFonts w:hint="eastAsia"/>
              </w:rPr>
              <w:t>31</w:t>
            </w:r>
          </w:p>
        </w:tc>
        <w:tc>
          <w:tcPr>
            <w:tcW w:w="1038" w:type="dxa"/>
            <w:vAlign w:val="center"/>
          </w:tcPr>
          <w:p w14:paraId="4B311303">
            <w:r>
              <w:rPr>
                <w:rFonts w:hint="eastAsia"/>
              </w:rPr>
              <w:t>022524</w:t>
            </w:r>
          </w:p>
        </w:tc>
        <w:tc>
          <w:tcPr>
            <w:tcW w:w="1038" w:type="dxa"/>
            <w:vAlign w:val="center"/>
          </w:tcPr>
          <w:p w14:paraId="7337CE88">
            <w:r>
              <w:rPr>
                <w:rFonts w:hint="eastAsia"/>
              </w:rPr>
              <w:t>天弘越南市场股票发起(QDII)D</w:t>
            </w:r>
          </w:p>
        </w:tc>
        <w:tc>
          <w:tcPr>
            <w:tcW w:w="1038" w:type="dxa"/>
            <w:vAlign w:val="center"/>
          </w:tcPr>
          <w:p w14:paraId="50D8D3F4">
            <w:r>
              <w:rPr>
                <w:rFonts w:hint="eastAsia"/>
              </w:rPr>
              <w:t>契约型开放式</w:t>
            </w:r>
          </w:p>
        </w:tc>
        <w:tc>
          <w:tcPr>
            <w:tcW w:w="1038" w:type="dxa"/>
            <w:vAlign w:val="center"/>
          </w:tcPr>
          <w:p w14:paraId="5854BE5B">
            <w:pPr>
              <w:jc w:val="right"/>
            </w:pPr>
            <w:r>
              <w:rPr>
                <w:rFonts w:hint="eastAsia"/>
              </w:rPr>
              <w:t>6,624,310.46</w:t>
            </w:r>
          </w:p>
        </w:tc>
        <w:tc>
          <w:tcPr>
            <w:tcW w:w="1038" w:type="dxa"/>
            <w:vAlign w:val="center"/>
          </w:tcPr>
          <w:p w14:paraId="7853A4E3">
            <w:pPr>
              <w:jc w:val="right"/>
            </w:pPr>
            <w:r>
              <w:rPr>
                <w:rFonts w:hint="eastAsia"/>
              </w:rPr>
              <w:t>11,379,902.94</w:t>
            </w:r>
          </w:p>
        </w:tc>
        <w:tc>
          <w:tcPr>
            <w:tcW w:w="1038" w:type="dxa"/>
            <w:vAlign w:val="center"/>
          </w:tcPr>
          <w:p w14:paraId="6CC6F9F5">
            <w:pPr>
              <w:jc w:val="right"/>
            </w:pPr>
            <w:r>
              <w:rPr>
                <w:rFonts w:hint="eastAsia"/>
              </w:rPr>
              <w:t>0.72</w:t>
            </w:r>
          </w:p>
        </w:tc>
        <w:tc>
          <w:tcPr>
            <w:tcW w:w="1038" w:type="dxa"/>
            <w:vAlign w:val="center"/>
          </w:tcPr>
          <w:p w14:paraId="6EDD0C41">
            <w:r>
              <w:rPr>
                <w:rFonts w:hint="eastAsia"/>
              </w:rPr>
              <w:t>否</w:t>
            </w:r>
          </w:p>
        </w:tc>
      </w:tr>
      <w:tr w14:paraId="6248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10E666">
            <w:pPr>
              <w:jc w:val="center"/>
            </w:pPr>
            <w:r>
              <w:rPr>
                <w:rFonts w:hint="eastAsia"/>
              </w:rPr>
              <w:t>32</w:t>
            </w:r>
          </w:p>
        </w:tc>
        <w:tc>
          <w:tcPr>
            <w:tcW w:w="1038" w:type="dxa"/>
            <w:vAlign w:val="center"/>
          </w:tcPr>
          <w:p w14:paraId="64342EAD">
            <w:r>
              <w:rPr>
                <w:rFonts w:hint="eastAsia"/>
              </w:rPr>
              <w:t>515450</w:t>
            </w:r>
          </w:p>
        </w:tc>
        <w:tc>
          <w:tcPr>
            <w:tcW w:w="1038" w:type="dxa"/>
            <w:vAlign w:val="center"/>
          </w:tcPr>
          <w:p w14:paraId="70272524">
            <w:r>
              <w:rPr>
                <w:rFonts w:hint="eastAsia"/>
              </w:rPr>
              <w:t>南方标普中国A股大盘红利低波50ETF</w:t>
            </w:r>
          </w:p>
        </w:tc>
        <w:tc>
          <w:tcPr>
            <w:tcW w:w="1038" w:type="dxa"/>
            <w:vAlign w:val="center"/>
          </w:tcPr>
          <w:p w14:paraId="5B285C96">
            <w:r>
              <w:rPr>
                <w:rFonts w:hint="eastAsia"/>
              </w:rPr>
              <w:t>契约型开放式</w:t>
            </w:r>
          </w:p>
        </w:tc>
        <w:tc>
          <w:tcPr>
            <w:tcW w:w="1038" w:type="dxa"/>
            <w:vAlign w:val="center"/>
          </w:tcPr>
          <w:p w14:paraId="3BE87F9B">
            <w:pPr>
              <w:jc w:val="right"/>
            </w:pPr>
            <w:r>
              <w:rPr>
                <w:rFonts w:hint="eastAsia"/>
              </w:rPr>
              <w:t>7,818,700.00</w:t>
            </w:r>
          </w:p>
        </w:tc>
        <w:tc>
          <w:tcPr>
            <w:tcW w:w="1038" w:type="dxa"/>
            <w:vAlign w:val="center"/>
          </w:tcPr>
          <w:p w14:paraId="0D903A1C">
            <w:pPr>
              <w:jc w:val="right"/>
            </w:pPr>
            <w:r>
              <w:rPr>
                <w:rFonts w:hint="eastAsia"/>
              </w:rPr>
              <w:t>10,953,998.70</w:t>
            </w:r>
          </w:p>
        </w:tc>
        <w:tc>
          <w:tcPr>
            <w:tcW w:w="1038" w:type="dxa"/>
            <w:vAlign w:val="center"/>
          </w:tcPr>
          <w:p w14:paraId="13841D75">
            <w:pPr>
              <w:jc w:val="right"/>
            </w:pPr>
            <w:r>
              <w:rPr>
                <w:rFonts w:hint="eastAsia"/>
              </w:rPr>
              <w:t>0.69</w:t>
            </w:r>
          </w:p>
        </w:tc>
        <w:tc>
          <w:tcPr>
            <w:tcW w:w="1038" w:type="dxa"/>
            <w:vAlign w:val="center"/>
          </w:tcPr>
          <w:p w14:paraId="3A1DD398">
            <w:r>
              <w:rPr>
                <w:rFonts w:hint="eastAsia"/>
              </w:rPr>
              <w:t>是</w:t>
            </w:r>
          </w:p>
        </w:tc>
      </w:tr>
      <w:tr w14:paraId="36D5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F3293F">
            <w:pPr>
              <w:jc w:val="center"/>
            </w:pPr>
            <w:r>
              <w:rPr>
                <w:rFonts w:hint="eastAsia"/>
              </w:rPr>
              <w:t>33</w:t>
            </w:r>
          </w:p>
        </w:tc>
        <w:tc>
          <w:tcPr>
            <w:tcW w:w="1038" w:type="dxa"/>
            <w:vAlign w:val="center"/>
          </w:tcPr>
          <w:p w14:paraId="130EE473">
            <w:r>
              <w:rPr>
                <w:rFonts w:hint="eastAsia"/>
              </w:rPr>
              <w:t>010150</w:t>
            </w:r>
          </w:p>
        </w:tc>
        <w:tc>
          <w:tcPr>
            <w:tcW w:w="1038" w:type="dxa"/>
            <w:vAlign w:val="center"/>
          </w:tcPr>
          <w:p w14:paraId="2432130C">
            <w:r>
              <w:rPr>
                <w:rFonts w:hint="eastAsia"/>
              </w:rPr>
              <w:t>南方君信灵活配置混合C</w:t>
            </w:r>
          </w:p>
        </w:tc>
        <w:tc>
          <w:tcPr>
            <w:tcW w:w="1038" w:type="dxa"/>
            <w:vAlign w:val="center"/>
          </w:tcPr>
          <w:p w14:paraId="1B5FD262">
            <w:r>
              <w:rPr>
                <w:rFonts w:hint="eastAsia"/>
              </w:rPr>
              <w:t>契约型开放式</w:t>
            </w:r>
          </w:p>
        </w:tc>
        <w:tc>
          <w:tcPr>
            <w:tcW w:w="1038" w:type="dxa"/>
            <w:vAlign w:val="center"/>
          </w:tcPr>
          <w:p w14:paraId="6B4AEF3B">
            <w:pPr>
              <w:jc w:val="right"/>
            </w:pPr>
            <w:r>
              <w:rPr>
                <w:rFonts w:hint="eastAsia"/>
              </w:rPr>
              <w:t>4,151,163.91</w:t>
            </w:r>
          </w:p>
        </w:tc>
        <w:tc>
          <w:tcPr>
            <w:tcW w:w="1038" w:type="dxa"/>
            <w:vAlign w:val="center"/>
          </w:tcPr>
          <w:p w14:paraId="3AE5C0AC">
            <w:pPr>
              <w:jc w:val="right"/>
            </w:pPr>
            <w:r>
              <w:rPr>
                <w:rFonts w:hint="eastAsia"/>
              </w:rPr>
              <w:t>10,152,916.69</w:t>
            </w:r>
          </w:p>
        </w:tc>
        <w:tc>
          <w:tcPr>
            <w:tcW w:w="1038" w:type="dxa"/>
            <w:vAlign w:val="center"/>
          </w:tcPr>
          <w:p w14:paraId="7EA1ABC1">
            <w:pPr>
              <w:jc w:val="right"/>
            </w:pPr>
            <w:r>
              <w:rPr>
                <w:rFonts w:hint="eastAsia"/>
              </w:rPr>
              <w:t>0.64</w:t>
            </w:r>
          </w:p>
        </w:tc>
        <w:tc>
          <w:tcPr>
            <w:tcW w:w="1038" w:type="dxa"/>
            <w:vAlign w:val="center"/>
          </w:tcPr>
          <w:p w14:paraId="65B1CBB0">
            <w:r>
              <w:rPr>
                <w:rFonts w:hint="eastAsia"/>
              </w:rPr>
              <w:t>是</w:t>
            </w:r>
          </w:p>
        </w:tc>
      </w:tr>
      <w:tr w14:paraId="4CFA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AD7458">
            <w:pPr>
              <w:jc w:val="center"/>
            </w:pPr>
            <w:r>
              <w:rPr>
                <w:rFonts w:hint="eastAsia"/>
              </w:rPr>
              <w:t>34</w:t>
            </w:r>
          </w:p>
        </w:tc>
        <w:tc>
          <w:tcPr>
            <w:tcW w:w="1038" w:type="dxa"/>
            <w:vAlign w:val="center"/>
          </w:tcPr>
          <w:p w14:paraId="651442CB">
            <w:r>
              <w:rPr>
                <w:rFonts w:hint="eastAsia"/>
              </w:rPr>
              <w:t>003612</w:t>
            </w:r>
          </w:p>
        </w:tc>
        <w:tc>
          <w:tcPr>
            <w:tcW w:w="1038" w:type="dxa"/>
            <w:vAlign w:val="center"/>
          </w:tcPr>
          <w:p w14:paraId="6449E662">
            <w:r>
              <w:rPr>
                <w:rFonts w:hint="eastAsia"/>
              </w:rPr>
              <w:t>南方卓元债券A</w:t>
            </w:r>
          </w:p>
        </w:tc>
        <w:tc>
          <w:tcPr>
            <w:tcW w:w="1038" w:type="dxa"/>
            <w:vAlign w:val="center"/>
          </w:tcPr>
          <w:p w14:paraId="7092D335">
            <w:r>
              <w:rPr>
                <w:rFonts w:hint="eastAsia"/>
              </w:rPr>
              <w:t>契约型开放式</w:t>
            </w:r>
          </w:p>
        </w:tc>
        <w:tc>
          <w:tcPr>
            <w:tcW w:w="1038" w:type="dxa"/>
            <w:vAlign w:val="center"/>
          </w:tcPr>
          <w:p w14:paraId="25576954">
            <w:pPr>
              <w:jc w:val="right"/>
            </w:pPr>
            <w:r>
              <w:rPr>
                <w:rFonts w:hint="eastAsia"/>
              </w:rPr>
              <w:t>8,858,180.53</w:t>
            </w:r>
          </w:p>
        </w:tc>
        <w:tc>
          <w:tcPr>
            <w:tcW w:w="1038" w:type="dxa"/>
            <w:vAlign w:val="center"/>
          </w:tcPr>
          <w:p w14:paraId="06754BEE">
            <w:pPr>
              <w:jc w:val="right"/>
            </w:pPr>
            <w:r>
              <w:rPr>
                <w:rFonts w:hint="eastAsia"/>
              </w:rPr>
              <w:t>10,092,125.08</w:t>
            </w:r>
          </w:p>
        </w:tc>
        <w:tc>
          <w:tcPr>
            <w:tcW w:w="1038" w:type="dxa"/>
            <w:vAlign w:val="center"/>
          </w:tcPr>
          <w:p w14:paraId="583BAB73">
            <w:pPr>
              <w:jc w:val="right"/>
            </w:pPr>
            <w:r>
              <w:rPr>
                <w:rFonts w:hint="eastAsia"/>
              </w:rPr>
              <w:t>0.64</w:t>
            </w:r>
          </w:p>
        </w:tc>
        <w:tc>
          <w:tcPr>
            <w:tcW w:w="1038" w:type="dxa"/>
            <w:vAlign w:val="center"/>
          </w:tcPr>
          <w:p w14:paraId="11709774">
            <w:r>
              <w:rPr>
                <w:rFonts w:hint="eastAsia"/>
              </w:rPr>
              <w:t>是</w:t>
            </w:r>
          </w:p>
        </w:tc>
      </w:tr>
      <w:tr w14:paraId="2459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FA998C">
            <w:pPr>
              <w:jc w:val="center"/>
            </w:pPr>
            <w:r>
              <w:rPr>
                <w:rFonts w:hint="eastAsia"/>
              </w:rPr>
              <w:t>35</w:t>
            </w:r>
          </w:p>
        </w:tc>
        <w:tc>
          <w:tcPr>
            <w:tcW w:w="1038" w:type="dxa"/>
            <w:vAlign w:val="center"/>
          </w:tcPr>
          <w:p w14:paraId="7EBB0B8C">
            <w:r>
              <w:rPr>
                <w:rFonts w:hint="eastAsia"/>
              </w:rPr>
              <w:t>100050</w:t>
            </w:r>
          </w:p>
        </w:tc>
        <w:tc>
          <w:tcPr>
            <w:tcW w:w="1038" w:type="dxa"/>
            <w:vAlign w:val="center"/>
          </w:tcPr>
          <w:p w14:paraId="64BACC0E">
            <w:r>
              <w:rPr>
                <w:rFonts w:hint="eastAsia"/>
              </w:rPr>
              <w:t>富国全球债券(QDII)A</w:t>
            </w:r>
          </w:p>
        </w:tc>
        <w:tc>
          <w:tcPr>
            <w:tcW w:w="1038" w:type="dxa"/>
            <w:vAlign w:val="center"/>
          </w:tcPr>
          <w:p w14:paraId="6FF25013">
            <w:r>
              <w:rPr>
                <w:rFonts w:hint="eastAsia"/>
              </w:rPr>
              <w:t>契约型开放式</w:t>
            </w:r>
          </w:p>
        </w:tc>
        <w:tc>
          <w:tcPr>
            <w:tcW w:w="1038" w:type="dxa"/>
            <w:vAlign w:val="center"/>
          </w:tcPr>
          <w:p w14:paraId="54FD6320">
            <w:pPr>
              <w:jc w:val="right"/>
            </w:pPr>
            <w:r>
              <w:rPr>
                <w:rFonts w:hint="eastAsia"/>
              </w:rPr>
              <w:t>7,682,083.59</w:t>
            </w:r>
          </w:p>
        </w:tc>
        <w:tc>
          <w:tcPr>
            <w:tcW w:w="1038" w:type="dxa"/>
            <w:vAlign w:val="center"/>
          </w:tcPr>
          <w:p w14:paraId="68165A22">
            <w:pPr>
              <w:jc w:val="right"/>
            </w:pPr>
            <w:r>
              <w:rPr>
                <w:rFonts w:hint="eastAsia"/>
              </w:rPr>
              <w:t>10,028,191.92</w:t>
            </w:r>
          </w:p>
        </w:tc>
        <w:tc>
          <w:tcPr>
            <w:tcW w:w="1038" w:type="dxa"/>
            <w:vAlign w:val="center"/>
          </w:tcPr>
          <w:p w14:paraId="0C0A9E70">
            <w:pPr>
              <w:jc w:val="right"/>
            </w:pPr>
            <w:r>
              <w:rPr>
                <w:rFonts w:hint="eastAsia"/>
              </w:rPr>
              <w:t>0.64</w:t>
            </w:r>
          </w:p>
        </w:tc>
        <w:tc>
          <w:tcPr>
            <w:tcW w:w="1038" w:type="dxa"/>
            <w:vAlign w:val="center"/>
          </w:tcPr>
          <w:p w14:paraId="796D8529">
            <w:r>
              <w:rPr>
                <w:rFonts w:hint="eastAsia"/>
              </w:rPr>
              <w:t>否</w:t>
            </w:r>
          </w:p>
        </w:tc>
      </w:tr>
      <w:tr w14:paraId="666B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A489CD">
            <w:pPr>
              <w:jc w:val="center"/>
            </w:pPr>
            <w:r>
              <w:rPr>
                <w:rFonts w:hint="eastAsia"/>
              </w:rPr>
              <w:t>36</w:t>
            </w:r>
          </w:p>
        </w:tc>
        <w:tc>
          <w:tcPr>
            <w:tcW w:w="1038" w:type="dxa"/>
            <w:vAlign w:val="center"/>
          </w:tcPr>
          <w:p w14:paraId="22350B64">
            <w:r>
              <w:rPr>
                <w:rFonts w:hint="eastAsia"/>
              </w:rPr>
              <w:t>539003</w:t>
            </w:r>
          </w:p>
        </w:tc>
        <w:tc>
          <w:tcPr>
            <w:tcW w:w="1038" w:type="dxa"/>
            <w:vAlign w:val="center"/>
          </w:tcPr>
          <w:p w14:paraId="21C850B5">
            <w:r>
              <w:rPr>
                <w:rFonts w:hint="eastAsia"/>
              </w:rPr>
              <w:t>建信富时100指数(QDII)A(人民币)</w:t>
            </w:r>
          </w:p>
        </w:tc>
        <w:tc>
          <w:tcPr>
            <w:tcW w:w="1038" w:type="dxa"/>
            <w:vAlign w:val="center"/>
          </w:tcPr>
          <w:p w14:paraId="03D6FCF8">
            <w:r>
              <w:rPr>
                <w:rFonts w:hint="eastAsia"/>
              </w:rPr>
              <w:t>契约型开放式</w:t>
            </w:r>
          </w:p>
        </w:tc>
        <w:tc>
          <w:tcPr>
            <w:tcW w:w="1038" w:type="dxa"/>
            <w:vAlign w:val="center"/>
          </w:tcPr>
          <w:p w14:paraId="55BDA1B4">
            <w:pPr>
              <w:jc w:val="right"/>
            </w:pPr>
            <w:r>
              <w:rPr>
                <w:rFonts w:hint="eastAsia"/>
              </w:rPr>
              <w:t>6,192,535.77</w:t>
            </w:r>
          </w:p>
        </w:tc>
        <w:tc>
          <w:tcPr>
            <w:tcW w:w="1038" w:type="dxa"/>
            <w:vAlign w:val="center"/>
          </w:tcPr>
          <w:p w14:paraId="7E045649">
            <w:pPr>
              <w:jc w:val="right"/>
            </w:pPr>
            <w:r>
              <w:rPr>
                <w:rFonts w:hint="eastAsia"/>
              </w:rPr>
              <w:t>8,849,133.62</w:t>
            </w:r>
          </w:p>
        </w:tc>
        <w:tc>
          <w:tcPr>
            <w:tcW w:w="1038" w:type="dxa"/>
            <w:vAlign w:val="center"/>
          </w:tcPr>
          <w:p w14:paraId="11A76925">
            <w:pPr>
              <w:jc w:val="right"/>
            </w:pPr>
            <w:r>
              <w:rPr>
                <w:rFonts w:hint="eastAsia"/>
              </w:rPr>
              <w:t>0.56</w:t>
            </w:r>
          </w:p>
        </w:tc>
        <w:tc>
          <w:tcPr>
            <w:tcW w:w="1038" w:type="dxa"/>
            <w:vAlign w:val="center"/>
          </w:tcPr>
          <w:p w14:paraId="6C7CCD23">
            <w:r>
              <w:rPr>
                <w:rFonts w:hint="eastAsia"/>
              </w:rPr>
              <w:t>否</w:t>
            </w:r>
          </w:p>
        </w:tc>
      </w:tr>
      <w:tr w14:paraId="1EA7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CB665E">
            <w:pPr>
              <w:jc w:val="center"/>
            </w:pPr>
            <w:r>
              <w:rPr>
                <w:rFonts w:hint="eastAsia"/>
              </w:rPr>
              <w:t>37</w:t>
            </w:r>
          </w:p>
        </w:tc>
        <w:tc>
          <w:tcPr>
            <w:tcW w:w="1038" w:type="dxa"/>
            <w:vAlign w:val="center"/>
          </w:tcPr>
          <w:p w14:paraId="1ACA6B69">
            <w:r>
              <w:rPr>
                <w:rFonts w:hint="eastAsia"/>
              </w:rPr>
              <w:t>240011</w:t>
            </w:r>
          </w:p>
        </w:tc>
        <w:tc>
          <w:tcPr>
            <w:tcW w:w="1038" w:type="dxa"/>
            <w:vAlign w:val="center"/>
          </w:tcPr>
          <w:p w14:paraId="4CA28C89">
            <w:r>
              <w:rPr>
                <w:rFonts w:hint="eastAsia"/>
              </w:rPr>
              <w:t>华宝大盘精选混合</w:t>
            </w:r>
          </w:p>
        </w:tc>
        <w:tc>
          <w:tcPr>
            <w:tcW w:w="1038" w:type="dxa"/>
            <w:vAlign w:val="center"/>
          </w:tcPr>
          <w:p w14:paraId="3C55965F">
            <w:r>
              <w:rPr>
                <w:rFonts w:hint="eastAsia"/>
              </w:rPr>
              <w:t>契约型开放式</w:t>
            </w:r>
          </w:p>
        </w:tc>
        <w:tc>
          <w:tcPr>
            <w:tcW w:w="1038" w:type="dxa"/>
            <w:vAlign w:val="center"/>
          </w:tcPr>
          <w:p w14:paraId="3552FA64">
            <w:pPr>
              <w:jc w:val="right"/>
            </w:pPr>
            <w:r>
              <w:rPr>
                <w:rFonts w:hint="eastAsia"/>
              </w:rPr>
              <w:t>1,693,482.87</w:t>
            </w:r>
          </w:p>
        </w:tc>
        <w:tc>
          <w:tcPr>
            <w:tcW w:w="1038" w:type="dxa"/>
            <w:vAlign w:val="center"/>
          </w:tcPr>
          <w:p w14:paraId="1CAF51F9">
            <w:pPr>
              <w:jc w:val="right"/>
            </w:pPr>
            <w:r>
              <w:rPr>
                <w:rFonts w:hint="eastAsia"/>
              </w:rPr>
              <w:t>8,498,574.43</w:t>
            </w:r>
          </w:p>
        </w:tc>
        <w:tc>
          <w:tcPr>
            <w:tcW w:w="1038" w:type="dxa"/>
            <w:vAlign w:val="center"/>
          </w:tcPr>
          <w:p w14:paraId="400787D4">
            <w:pPr>
              <w:jc w:val="right"/>
            </w:pPr>
            <w:r>
              <w:rPr>
                <w:rFonts w:hint="eastAsia"/>
              </w:rPr>
              <w:t>0.54</w:t>
            </w:r>
          </w:p>
        </w:tc>
        <w:tc>
          <w:tcPr>
            <w:tcW w:w="1038" w:type="dxa"/>
            <w:vAlign w:val="center"/>
          </w:tcPr>
          <w:p w14:paraId="33718FB0">
            <w:r>
              <w:rPr>
                <w:rFonts w:hint="eastAsia"/>
              </w:rPr>
              <w:t>否</w:t>
            </w:r>
          </w:p>
        </w:tc>
      </w:tr>
      <w:tr w14:paraId="1B11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C7A9E0">
            <w:pPr>
              <w:jc w:val="center"/>
            </w:pPr>
            <w:r>
              <w:rPr>
                <w:rFonts w:hint="eastAsia"/>
              </w:rPr>
              <w:t>38</w:t>
            </w:r>
          </w:p>
        </w:tc>
        <w:tc>
          <w:tcPr>
            <w:tcW w:w="1038" w:type="dxa"/>
            <w:vAlign w:val="center"/>
          </w:tcPr>
          <w:p w14:paraId="1076FAD7">
            <w:r>
              <w:rPr>
                <w:rFonts w:hint="eastAsia"/>
              </w:rPr>
              <w:t>159925</w:t>
            </w:r>
          </w:p>
        </w:tc>
        <w:tc>
          <w:tcPr>
            <w:tcW w:w="1038" w:type="dxa"/>
            <w:vAlign w:val="center"/>
          </w:tcPr>
          <w:p w14:paraId="4FE630E3">
            <w:r>
              <w:rPr>
                <w:rFonts w:hint="eastAsia"/>
              </w:rPr>
              <w:t>南方沪深300ETF</w:t>
            </w:r>
          </w:p>
        </w:tc>
        <w:tc>
          <w:tcPr>
            <w:tcW w:w="1038" w:type="dxa"/>
            <w:vAlign w:val="center"/>
          </w:tcPr>
          <w:p w14:paraId="0BBD6CDD">
            <w:r>
              <w:rPr>
                <w:rFonts w:hint="eastAsia"/>
              </w:rPr>
              <w:t>契约型开放式</w:t>
            </w:r>
          </w:p>
        </w:tc>
        <w:tc>
          <w:tcPr>
            <w:tcW w:w="1038" w:type="dxa"/>
            <w:vAlign w:val="center"/>
          </w:tcPr>
          <w:p w14:paraId="7B2B0245">
            <w:pPr>
              <w:jc w:val="right"/>
            </w:pPr>
            <w:r>
              <w:rPr>
                <w:rFonts w:hint="eastAsia"/>
              </w:rPr>
              <w:t>1,382,800.00</w:t>
            </w:r>
          </w:p>
        </w:tc>
        <w:tc>
          <w:tcPr>
            <w:tcW w:w="1038" w:type="dxa"/>
            <w:vAlign w:val="center"/>
          </w:tcPr>
          <w:p w14:paraId="77192F22">
            <w:pPr>
              <w:jc w:val="right"/>
            </w:pPr>
            <w:r>
              <w:rPr>
                <w:rFonts w:hint="eastAsia"/>
              </w:rPr>
              <w:t>6,432,785.60</w:t>
            </w:r>
          </w:p>
        </w:tc>
        <w:tc>
          <w:tcPr>
            <w:tcW w:w="1038" w:type="dxa"/>
            <w:vAlign w:val="center"/>
          </w:tcPr>
          <w:p w14:paraId="4EAA71F0">
            <w:pPr>
              <w:jc w:val="right"/>
            </w:pPr>
            <w:r>
              <w:rPr>
                <w:rFonts w:hint="eastAsia"/>
              </w:rPr>
              <w:t>0.41</w:t>
            </w:r>
          </w:p>
        </w:tc>
        <w:tc>
          <w:tcPr>
            <w:tcW w:w="1038" w:type="dxa"/>
            <w:vAlign w:val="center"/>
          </w:tcPr>
          <w:p w14:paraId="500CAA6F">
            <w:r>
              <w:rPr>
                <w:rFonts w:hint="eastAsia"/>
              </w:rPr>
              <w:t>是</w:t>
            </w:r>
          </w:p>
        </w:tc>
      </w:tr>
      <w:tr w14:paraId="11F4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83A45F">
            <w:pPr>
              <w:jc w:val="center"/>
            </w:pPr>
            <w:r>
              <w:rPr>
                <w:rFonts w:hint="eastAsia"/>
              </w:rPr>
              <w:t>39</w:t>
            </w:r>
          </w:p>
        </w:tc>
        <w:tc>
          <w:tcPr>
            <w:tcW w:w="1038" w:type="dxa"/>
            <w:vAlign w:val="center"/>
          </w:tcPr>
          <w:p w14:paraId="696C3068">
            <w:r>
              <w:rPr>
                <w:rFonts w:hint="eastAsia"/>
              </w:rPr>
              <w:t>513080</w:t>
            </w:r>
          </w:p>
        </w:tc>
        <w:tc>
          <w:tcPr>
            <w:tcW w:w="1038" w:type="dxa"/>
            <w:vAlign w:val="center"/>
          </w:tcPr>
          <w:p w14:paraId="44F309D3">
            <w:r>
              <w:rPr>
                <w:rFonts w:hint="eastAsia"/>
              </w:rPr>
              <w:t>华安法国CAC40ETF</w:t>
            </w:r>
          </w:p>
        </w:tc>
        <w:tc>
          <w:tcPr>
            <w:tcW w:w="1038" w:type="dxa"/>
            <w:vAlign w:val="center"/>
          </w:tcPr>
          <w:p w14:paraId="6E96E23B">
            <w:r>
              <w:rPr>
                <w:rFonts w:hint="eastAsia"/>
              </w:rPr>
              <w:t>契约型开放式</w:t>
            </w:r>
          </w:p>
        </w:tc>
        <w:tc>
          <w:tcPr>
            <w:tcW w:w="1038" w:type="dxa"/>
            <w:vAlign w:val="center"/>
          </w:tcPr>
          <w:p w14:paraId="38A1F674">
            <w:pPr>
              <w:jc w:val="right"/>
            </w:pPr>
            <w:r>
              <w:rPr>
                <w:rFonts w:hint="eastAsia"/>
              </w:rPr>
              <w:t>3,162,600.00</w:t>
            </w:r>
          </w:p>
        </w:tc>
        <w:tc>
          <w:tcPr>
            <w:tcW w:w="1038" w:type="dxa"/>
            <w:vAlign w:val="center"/>
          </w:tcPr>
          <w:p w14:paraId="5CEE4531">
            <w:pPr>
              <w:jc w:val="right"/>
            </w:pPr>
            <w:r>
              <w:rPr>
                <w:rFonts w:hint="eastAsia"/>
              </w:rPr>
              <w:t>5,661,054.00</w:t>
            </w:r>
          </w:p>
        </w:tc>
        <w:tc>
          <w:tcPr>
            <w:tcW w:w="1038" w:type="dxa"/>
            <w:vAlign w:val="center"/>
          </w:tcPr>
          <w:p w14:paraId="1627CD8A">
            <w:pPr>
              <w:jc w:val="right"/>
            </w:pPr>
            <w:r>
              <w:rPr>
                <w:rFonts w:hint="eastAsia"/>
              </w:rPr>
              <w:t>0.36</w:t>
            </w:r>
          </w:p>
        </w:tc>
        <w:tc>
          <w:tcPr>
            <w:tcW w:w="1038" w:type="dxa"/>
            <w:vAlign w:val="center"/>
          </w:tcPr>
          <w:p w14:paraId="2E9443C7">
            <w:r>
              <w:rPr>
                <w:rFonts w:hint="eastAsia"/>
              </w:rPr>
              <w:t>否</w:t>
            </w:r>
          </w:p>
        </w:tc>
      </w:tr>
      <w:tr w14:paraId="4347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EF9C24">
            <w:pPr>
              <w:jc w:val="center"/>
            </w:pPr>
            <w:r>
              <w:rPr>
                <w:rFonts w:hint="eastAsia"/>
              </w:rPr>
              <w:t>40</w:t>
            </w:r>
          </w:p>
        </w:tc>
        <w:tc>
          <w:tcPr>
            <w:tcW w:w="1038" w:type="dxa"/>
            <w:vAlign w:val="center"/>
          </w:tcPr>
          <w:p w14:paraId="0D276C97">
            <w:r>
              <w:rPr>
                <w:rFonts w:hint="eastAsia"/>
              </w:rPr>
              <w:t>513520</w:t>
            </w:r>
          </w:p>
        </w:tc>
        <w:tc>
          <w:tcPr>
            <w:tcW w:w="1038" w:type="dxa"/>
            <w:vAlign w:val="center"/>
          </w:tcPr>
          <w:p w14:paraId="3C12548C">
            <w:r>
              <w:rPr>
                <w:rFonts w:hint="eastAsia"/>
              </w:rPr>
              <w:t>华夏野村日经225ETF</w:t>
            </w:r>
          </w:p>
        </w:tc>
        <w:tc>
          <w:tcPr>
            <w:tcW w:w="1038" w:type="dxa"/>
            <w:vAlign w:val="center"/>
          </w:tcPr>
          <w:p w14:paraId="2B816CAF">
            <w:r>
              <w:rPr>
                <w:rFonts w:hint="eastAsia"/>
              </w:rPr>
              <w:t>契约型开放式</w:t>
            </w:r>
          </w:p>
        </w:tc>
        <w:tc>
          <w:tcPr>
            <w:tcW w:w="1038" w:type="dxa"/>
            <w:vAlign w:val="center"/>
          </w:tcPr>
          <w:p w14:paraId="45F2A2AB">
            <w:pPr>
              <w:jc w:val="right"/>
            </w:pPr>
            <w:r>
              <w:rPr>
                <w:rFonts w:hint="eastAsia"/>
              </w:rPr>
              <w:t>2,892,700.00</w:t>
            </w:r>
          </w:p>
        </w:tc>
        <w:tc>
          <w:tcPr>
            <w:tcW w:w="1038" w:type="dxa"/>
            <w:vAlign w:val="center"/>
          </w:tcPr>
          <w:p w14:paraId="1533E2FF">
            <w:pPr>
              <w:jc w:val="right"/>
            </w:pPr>
            <w:r>
              <w:rPr>
                <w:rFonts w:hint="eastAsia"/>
              </w:rPr>
              <w:t>5,189,503.80</w:t>
            </w:r>
          </w:p>
        </w:tc>
        <w:tc>
          <w:tcPr>
            <w:tcW w:w="1038" w:type="dxa"/>
            <w:vAlign w:val="center"/>
          </w:tcPr>
          <w:p w14:paraId="4C5852D5">
            <w:pPr>
              <w:jc w:val="right"/>
            </w:pPr>
            <w:r>
              <w:rPr>
                <w:rFonts w:hint="eastAsia"/>
              </w:rPr>
              <w:t>0.33</w:t>
            </w:r>
          </w:p>
        </w:tc>
        <w:tc>
          <w:tcPr>
            <w:tcW w:w="1038" w:type="dxa"/>
            <w:vAlign w:val="center"/>
          </w:tcPr>
          <w:p w14:paraId="6443BA93">
            <w:r>
              <w:rPr>
                <w:rFonts w:hint="eastAsia"/>
              </w:rPr>
              <w:t>否</w:t>
            </w:r>
          </w:p>
        </w:tc>
      </w:tr>
      <w:tr w14:paraId="6D9C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3031D50">
            <w:pPr>
              <w:jc w:val="center"/>
            </w:pPr>
            <w:r>
              <w:rPr>
                <w:rFonts w:hint="eastAsia"/>
              </w:rPr>
              <w:t>41</w:t>
            </w:r>
          </w:p>
        </w:tc>
        <w:tc>
          <w:tcPr>
            <w:tcW w:w="1038" w:type="dxa"/>
            <w:vAlign w:val="center"/>
          </w:tcPr>
          <w:p w14:paraId="24CF6C1B">
            <w:r>
              <w:rPr>
                <w:rFonts w:hint="eastAsia"/>
              </w:rPr>
              <w:t>159655</w:t>
            </w:r>
          </w:p>
        </w:tc>
        <w:tc>
          <w:tcPr>
            <w:tcW w:w="1038" w:type="dxa"/>
            <w:vAlign w:val="center"/>
          </w:tcPr>
          <w:p w14:paraId="475AC28A">
            <w:r>
              <w:rPr>
                <w:rFonts w:hint="eastAsia"/>
              </w:rPr>
              <w:t>华夏标普500ETF(QDII)</w:t>
            </w:r>
          </w:p>
        </w:tc>
        <w:tc>
          <w:tcPr>
            <w:tcW w:w="1038" w:type="dxa"/>
            <w:vAlign w:val="center"/>
          </w:tcPr>
          <w:p w14:paraId="0CD46C50">
            <w:r>
              <w:rPr>
                <w:rFonts w:hint="eastAsia"/>
              </w:rPr>
              <w:t>契约型开放式</w:t>
            </w:r>
          </w:p>
        </w:tc>
        <w:tc>
          <w:tcPr>
            <w:tcW w:w="1038" w:type="dxa"/>
            <w:vAlign w:val="center"/>
          </w:tcPr>
          <w:p w14:paraId="7DA3CB53">
            <w:pPr>
              <w:jc w:val="right"/>
            </w:pPr>
            <w:r>
              <w:rPr>
                <w:rFonts w:hint="eastAsia"/>
              </w:rPr>
              <w:t>2,715,900.00</w:t>
            </w:r>
          </w:p>
        </w:tc>
        <w:tc>
          <w:tcPr>
            <w:tcW w:w="1038" w:type="dxa"/>
            <w:vAlign w:val="center"/>
          </w:tcPr>
          <w:p w14:paraId="7213F570">
            <w:pPr>
              <w:jc w:val="right"/>
            </w:pPr>
            <w:r>
              <w:rPr>
                <w:rFonts w:hint="eastAsia"/>
              </w:rPr>
              <w:t>4,929,358.50</w:t>
            </w:r>
          </w:p>
        </w:tc>
        <w:tc>
          <w:tcPr>
            <w:tcW w:w="1038" w:type="dxa"/>
            <w:vAlign w:val="center"/>
          </w:tcPr>
          <w:p w14:paraId="4837B564">
            <w:pPr>
              <w:jc w:val="right"/>
            </w:pPr>
            <w:r>
              <w:rPr>
                <w:rFonts w:hint="eastAsia"/>
              </w:rPr>
              <w:t>0.31</w:t>
            </w:r>
          </w:p>
        </w:tc>
        <w:tc>
          <w:tcPr>
            <w:tcW w:w="1038" w:type="dxa"/>
            <w:vAlign w:val="center"/>
          </w:tcPr>
          <w:p w14:paraId="4A92EF19">
            <w:r>
              <w:rPr>
                <w:rFonts w:hint="eastAsia"/>
              </w:rPr>
              <w:t>否</w:t>
            </w:r>
          </w:p>
        </w:tc>
      </w:tr>
      <w:tr w14:paraId="4838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318527">
            <w:pPr>
              <w:jc w:val="center"/>
            </w:pPr>
            <w:r>
              <w:rPr>
                <w:rFonts w:hint="eastAsia"/>
              </w:rPr>
              <w:t>42</w:t>
            </w:r>
          </w:p>
        </w:tc>
        <w:tc>
          <w:tcPr>
            <w:tcW w:w="1038" w:type="dxa"/>
            <w:vAlign w:val="center"/>
          </w:tcPr>
          <w:p w14:paraId="7C4C70F7">
            <w:r>
              <w:rPr>
                <w:rFonts w:hint="eastAsia"/>
              </w:rPr>
              <w:t>513400</w:t>
            </w:r>
          </w:p>
        </w:tc>
        <w:tc>
          <w:tcPr>
            <w:tcW w:w="1038" w:type="dxa"/>
            <w:vAlign w:val="center"/>
          </w:tcPr>
          <w:p w14:paraId="79F7514B">
            <w:r>
              <w:rPr>
                <w:rFonts w:hint="eastAsia"/>
              </w:rPr>
              <w:t>道琼斯ETF</w:t>
            </w:r>
          </w:p>
        </w:tc>
        <w:tc>
          <w:tcPr>
            <w:tcW w:w="1038" w:type="dxa"/>
            <w:vAlign w:val="center"/>
          </w:tcPr>
          <w:p w14:paraId="54ECCEFA">
            <w:r>
              <w:rPr>
                <w:rFonts w:hint="eastAsia"/>
              </w:rPr>
              <w:t>契约型开放式</w:t>
            </w:r>
          </w:p>
        </w:tc>
        <w:tc>
          <w:tcPr>
            <w:tcW w:w="1038" w:type="dxa"/>
            <w:vAlign w:val="center"/>
          </w:tcPr>
          <w:p w14:paraId="48BB0C9B">
            <w:pPr>
              <w:jc w:val="right"/>
            </w:pPr>
            <w:r>
              <w:rPr>
                <w:rFonts w:hint="eastAsia"/>
              </w:rPr>
              <w:t>3,787,200.00</w:t>
            </w:r>
          </w:p>
        </w:tc>
        <w:tc>
          <w:tcPr>
            <w:tcW w:w="1038" w:type="dxa"/>
            <w:vAlign w:val="center"/>
          </w:tcPr>
          <w:p w14:paraId="38817AB5">
            <w:pPr>
              <w:jc w:val="right"/>
            </w:pPr>
            <w:r>
              <w:rPr>
                <w:rFonts w:hint="eastAsia"/>
              </w:rPr>
              <w:t>4,677,192.00</w:t>
            </w:r>
          </w:p>
        </w:tc>
        <w:tc>
          <w:tcPr>
            <w:tcW w:w="1038" w:type="dxa"/>
            <w:vAlign w:val="center"/>
          </w:tcPr>
          <w:p w14:paraId="6FAAB489">
            <w:pPr>
              <w:jc w:val="right"/>
            </w:pPr>
            <w:r>
              <w:rPr>
                <w:rFonts w:hint="eastAsia"/>
              </w:rPr>
              <w:t>0.30</w:t>
            </w:r>
          </w:p>
        </w:tc>
        <w:tc>
          <w:tcPr>
            <w:tcW w:w="1038" w:type="dxa"/>
            <w:vAlign w:val="center"/>
          </w:tcPr>
          <w:p w14:paraId="697BB232">
            <w:r>
              <w:rPr>
                <w:rFonts w:hint="eastAsia"/>
              </w:rPr>
              <w:t>否</w:t>
            </w:r>
          </w:p>
        </w:tc>
      </w:tr>
      <w:tr w14:paraId="2BA8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17DA69">
            <w:pPr>
              <w:jc w:val="center"/>
            </w:pPr>
            <w:r>
              <w:rPr>
                <w:rFonts w:hint="eastAsia"/>
              </w:rPr>
              <w:t>43</w:t>
            </w:r>
          </w:p>
        </w:tc>
        <w:tc>
          <w:tcPr>
            <w:tcW w:w="1038" w:type="dxa"/>
            <w:vAlign w:val="center"/>
          </w:tcPr>
          <w:p w14:paraId="74D5D152">
            <w:r>
              <w:rPr>
                <w:rFonts w:hint="eastAsia"/>
              </w:rPr>
              <w:t>513030</w:t>
            </w:r>
          </w:p>
        </w:tc>
        <w:tc>
          <w:tcPr>
            <w:tcW w:w="1038" w:type="dxa"/>
            <w:vAlign w:val="center"/>
          </w:tcPr>
          <w:p w14:paraId="4FB87D28">
            <w:r>
              <w:rPr>
                <w:rFonts w:hint="eastAsia"/>
              </w:rPr>
              <w:t>华安德国(DAX)ETF</w:t>
            </w:r>
          </w:p>
        </w:tc>
        <w:tc>
          <w:tcPr>
            <w:tcW w:w="1038" w:type="dxa"/>
            <w:vAlign w:val="center"/>
          </w:tcPr>
          <w:p w14:paraId="7A957E4A">
            <w:r>
              <w:rPr>
                <w:rFonts w:hint="eastAsia"/>
              </w:rPr>
              <w:t>契约型开放式</w:t>
            </w:r>
          </w:p>
        </w:tc>
        <w:tc>
          <w:tcPr>
            <w:tcW w:w="1038" w:type="dxa"/>
            <w:vAlign w:val="center"/>
          </w:tcPr>
          <w:p w14:paraId="3848ED1D">
            <w:pPr>
              <w:jc w:val="right"/>
            </w:pPr>
            <w:r>
              <w:rPr>
                <w:rFonts w:hint="eastAsia"/>
              </w:rPr>
              <w:t>2,391,900.00</w:t>
            </w:r>
          </w:p>
        </w:tc>
        <w:tc>
          <w:tcPr>
            <w:tcW w:w="1038" w:type="dxa"/>
            <w:vAlign w:val="center"/>
          </w:tcPr>
          <w:p w14:paraId="03091726">
            <w:pPr>
              <w:jc w:val="right"/>
            </w:pPr>
            <w:r>
              <w:rPr>
                <w:rFonts w:hint="eastAsia"/>
              </w:rPr>
              <w:t>4,477,636.80</w:t>
            </w:r>
          </w:p>
        </w:tc>
        <w:tc>
          <w:tcPr>
            <w:tcW w:w="1038" w:type="dxa"/>
            <w:vAlign w:val="center"/>
          </w:tcPr>
          <w:p w14:paraId="63E9CB30">
            <w:pPr>
              <w:jc w:val="right"/>
            </w:pPr>
            <w:r>
              <w:rPr>
                <w:rFonts w:hint="eastAsia"/>
              </w:rPr>
              <w:t>0.28</w:t>
            </w:r>
          </w:p>
        </w:tc>
        <w:tc>
          <w:tcPr>
            <w:tcW w:w="1038" w:type="dxa"/>
            <w:vAlign w:val="center"/>
          </w:tcPr>
          <w:p w14:paraId="475869F1">
            <w:r>
              <w:rPr>
                <w:rFonts w:hint="eastAsia"/>
              </w:rPr>
              <w:t>否</w:t>
            </w:r>
          </w:p>
        </w:tc>
      </w:tr>
      <w:tr w14:paraId="0EFD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3C0EDA">
            <w:pPr>
              <w:jc w:val="center"/>
            </w:pPr>
            <w:r>
              <w:rPr>
                <w:rFonts w:hint="eastAsia"/>
              </w:rPr>
              <w:t>44</w:t>
            </w:r>
          </w:p>
        </w:tc>
        <w:tc>
          <w:tcPr>
            <w:tcW w:w="1038" w:type="dxa"/>
            <w:vAlign w:val="center"/>
          </w:tcPr>
          <w:p w14:paraId="3D5C88F7">
            <w:r>
              <w:rPr>
                <w:rFonts w:hint="eastAsia"/>
              </w:rPr>
              <w:t>159981</w:t>
            </w:r>
          </w:p>
        </w:tc>
        <w:tc>
          <w:tcPr>
            <w:tcW w:w="1038" w:type="dxa"/>
            <w:vAlign w:val="center"/>
          </w:tcPr>
          <w:p w14:paraId="111AEFCA">
            <w:r>
              <w:rPr>
                <w:rFonts w:hint="eastAsia"/>
              </w:rPr>
              <w:t>建信能源化工期货ETF</w:t>
            </w:r>
          </w:p>
        </w:tc>
        <w:tc>
          <w:tcPr>
            <w:tcW w:w="1038" w:type="dxa"/>
            <w:vAlign w:val="center"/>
          </w:tcPr>
          <w:p w14:paraId="3E29B00F">
            <w:r>
              <w:rPr>
                <w:rFonts w:hint="eastAsia"/>
              </w:rPr>
              <w:t>契约型开放式</w:t>
            </w:r>
          </w:p>
        </w:tc>
        <w:tc>
          <w:tcPr>
            <w:tcW w:w="1038" w:type="dxa"/>
            <w:vAlign w:val="center"/>
          </w:tcPr>
          <w:p w14:paraId="39094006">
            <w:pPr>
              <w:jc w:val="right"/>
            </w:pPr>
            <w:r>
              <w:rPr>
                <w:rFonts w:hint="eastAsia"/>
              </w:rPr>
              <w:t>3,457,400.00</w:t>
            </w:r>
          </w:p>
        </w:tc>
        <w:tc>
          <w:tcPr>
            <w:tcW w:w="1038" w:type="dxa"/>
            <w:vAlign w:val="center"/>
          </w:tcPr>
          <w:p w14:paraId="34407B16">
            <w:pPr>
              <w:jc w:val="right"/>
            </w:pPr>
            <w:r>
              <w:rPr>
                <w:rFonts w:hint="eastAsia"/>
              </w:rPr>
              <w:t>4,390,898.00</w:t>
            </w:r>
          </w:p>
        </w:tc>
        <w:tc>
          <w:tcPr>
            <w:tcW w:w="1038" w:type="dxa"/>
            <w:vAlign w:val="center"/>
          </w:tcPr>
          <w:p w14:paraId="4B4D0E07">
            <w:pPr>
              <w:jc w:val="right"/>
            </w:pPr>
            <w:r>
              <w:rPr>
                <w:rFonts w:hint="eastAsia"/>
              </w:rPr>
              <w:t>0.28</w:t>
            </w:r>
          </w:p>
        </w:tc>
        <w:tc>
          <w:tcPr>
            <w:tcW w:w="1038" w:type="dxa"/>
            <w:vAlign w:val="center"/>
          </w:tcPr>
          <w:p w14:paraId="2ECA60A7">
            <w:r>
              <w:rPr>
                <w:rFonts w:hint="eastAsia"/>
              </w:rPr>
              <w:t>否</w:t>
            </w:r>
          </w:p>
        </w:tc>
      </w:tr>
      <w:tr w14:paraId="74D6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7943B3">
            <w:pPr>
              <w:jc w:val="center"/>
            </w:pPr>
            <w:r>
              <w:rPr>
                <w:rFonts w:hint="eastAsia"/>
              </w:rPr>
              <w:t>45</w:t>
            </w:r>
          </w:p>
        </w:tc>
        <w:tc>
          <w:tcPr>
            <w:tcW w:w="1038" w:type="dxa"/>
            <w:vAlign w:val="center"/>
          </w:tcPr>
          <w:p w14:paraId="2BDE6D57">
            <w:r>
              <w:rPr>
                <w:rFonts w:hint="eastAsia"/>
              </w:rPr>
              <w:t>003474</w:t>
            </w:r>
          </w:p>
        </w:tc>
        <w:tc>
          <w:tcPr>
            <w:tcW w:w="1038" w:type="dxa"/>
            <w:vAlign w:val="center"/>
          </w:tcPr>
          <w:p w14:paraId="524070C6">
            <w:r>
              <w:rPr>
                <w:rFonts w:hint="eastAsia"/>
              </w:rPr>
              <w:t>南方天天利货币B</w:t>
            </w:r>
          </w:p>
        </w:tc>
        <w:tc>
          <w:tcPr>
            <w:tcW w:w="1038" w:type="dxa"/>
            <w:vAlign w:val="center"/>
          </w:tcPr>
          <w:p w14:paraId="34CCB89C">
            <w:r>
              <w:rPr>
                <w:rFonts w:hint="eastAsia"/>
              </w:rPr>
              <w:t>契约型开放式</w:t>
            </w:r>
          </w:p>
        </w:tc>
        <w:tc>
          <w:tcPr>
            <w:tcW w:w="1038" w:type="dxa"/>
            <w:vAlign w:val="center"/>
          </w:tcPr>
          <w:p w14:paraId="50B0409B">
            <w:pPr>
              <w:jc w:val="right"/>
            </w:pPr>
            <w:r>
              <w:rPr>
                <w:rFonts w:hint="eastAsia"/>
              </w:rPr>
              <w:t>4,000,574.24</w:t>
            </w:r>
          </w:p>
        </w:tc>
        <w:tc>
          <w:tcPr>
            <w:tcW w:w="1038" w:type="dxa"/>
            <w:vAlign w:val="center"/>
          </w:tcPr>
          <w:p w14:paraId="06107009">
            <w:pPr>
              <w:jc w:val="right"/>
            </w:pPr>
            <w:r>
              <w:rPr>
                <w:rFonts w:hint="eastAsia"/>
              </w:rPr>
              <w:t>4,000,574.24</w:t>
            </w:r>
          </w:p>
        </w:tc>
        <w:tc>
          <w:tcPr>
            <w:tcW w:w="1038" w:type="dxa"/>
            <w:vAlign w:val="center"/>
          </w:tcPr>
          <w:p w14:paraId="245B9581">
            <w:pPr>
              <w:jc w:val="right"/>
            </w:pPr>
            <w:r>
              <w:rPr>
                <w:rFonts w:hint="eastAsia"/>
              </w:rPr>
              <w:t>0.25</w:t>
            </w:r>
          </w:p>
        </w:tc>
        <w:tc>
          <w:tcPr>
            <w:tcW w:w="1038" w:type="dxa"/>
            <w:vAlign w:val="center"/>
          </w:tcPr>
          <w:p w14:paraId="4C09E2F9">
            <w:r>
              <w:rPr>
                <w:rFonts w:hint="eastAsia"/>
              </w:rPr>
              <w:t>是</w:t>
            </w:r>
          </w:p>
        </w:tc>
      </w:tr>
      <w:tr w14:paraId="5320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851E62">
            <w:pPr>
              <w:jc w:val="center"/>
            </w:pPr>
            <w:r>
              <w:rPr>
                <w:rFonts w:hint="eastAsia"/>
              </w:rPr>
              <w:t>46</w:t>
            </w:r>
          </w:p>
        </w:tc>
        <w:tc>
          <w:tcPr>
            <w:tcW w:w="1038" w:type="dxa"/>
            <w:vAlign w:val="center"/>
          </w:tcPr>
          <w:p w14:paraId="4C9103C3">
            <w:r>
              <w:rPr>
                <w:rFonts w:hint="eastAsia"/>
              </w:rPr>
              <w:t>002400</w:t>
            </w:r>
          </w:p>
        </w:tc>
        <w:tc>
          <w:tcPr>
            <w:tcW w:w="1038" w:type="dxa"/>
            <w:vAlign w:val="center"/>
          </w:tcPr>
          <w:p w14:paraId="5135E7F0">
            <w:r>
              <w:rPr>
                <w:rFonts w:hint="eastAsia"/>
              </w:rPr>
              <w:t>南方亚洲美元收益债券(QDII)A(人民币)</w:t>
            </w:r>
          </w:p>
        </w:tc>
        <w:tc>
          <w:tcPr>
            <w:tcW w:w="1038" w:type="dxa"/>
            <w:vAlign w:val="center"/>
          </w:tcPr>
          <w:p w14:paraId="52064881">
            <w:r>
              <w:rPr>
                <w:rFonts w:hint="eastAsia"/>
              </w:rPr>
              <w:t>契约型开放式</w:t>
            </w:r>
          </w:p>
        </w:tc>
        <w:tc>
          <w:tcPr>
            <w:tcW w:w="1038" w:type="dxa"/>
            <w:vAlign w:val="center"/>
          </w:tcPr>
          <w:p w14:paraId="52F22F0B">
            <w:pPr>
              <w:jc w:val="right"/>
            </w:pPr>
            <w:r>
              <w:rPr>
                <w:rFonts w:hint="eastAsia"/>
              </w:rPr>
              <w:t>2,098,339.93</w:t>
            </w:r>
          </w:p>
        </w:tc>
        <w:tc>
          <w:tcPr>
            <w:tcW w:w="1038" w:type="dxa"/>
            <w:vAlign w:val="center"/>
          </w:tcPr>
          <w:p w14:paraId="0D90C318">
            <w:pPr>
              <w:jc w:val="right"/>
            </w:pPr>
            <w:r>
              <w:rPr>
                <w:rFonts w:hint="eastAsia"/>
              </w:rPr>
              <w:t>2,205,145.43</w:t>
            </w:r>
          </w:p>
        </w:tc>
        <w:tc>
          <w:tcPr>
            <w:tcW w:w="1038" w:type="dxa"/>
            <w:vAlign w:val="center"/>
          </w:tcPr>
          <w:p w14:paraId="5A46933D">
            <w:pPr>
              <w:jc w:val="right"/>
            </w:pPr>
            <w:r>
              <w:rPr>
                <w:rFonts w:hint="eastAsia"/>
              </w:rPr>
              <w:t>0.14</w:t>
            </w:r>
          </w:p>
        </w:tc>
        <w:tc>
          <w:tcPr>
            <w:tcW w:w="1038" w:type="dxa"/>
            <w:vAlign w:val="center"/>
          </w:tcPr>
          <w:p w14:paraId="2A82AB97">
            <w:r>
              <w:rPr>
                <w:rFonts w:hint="eastAsia"/>
              </w:rPr>
              <w:t>是</w:t>
            </w:r>
          </w:p>
        </w:tc>
      </w:tr>
      <w:tr w14:paraId="7A3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EE2350">
            <w:pPr>
              <w:jc w:val="center"/>
            </w:pPr>
            <w:r>
              <w:rPr>
                <w:rFonts w:hint="eastAsia"/>
              </w:rPr>
              <w:t>47</w:t>
            </w:r>
          </w:p>
        </w:tc>
        <w:tc>
          <w:tcPr>
            <w:tcW w:w="1038" w:type="dxa"/>
            <w:vAlign w:val="center"/>
          </w:tcPr>
          <w:p w14:paraId="6959E4AC">
            <w:r>
              <w:rPr>
                <w:rFonts w:hint="eastAsia"/>
              </w:rPr>
              <w:t>002401</w:t>
            </w:r>
          </w:p>
        </w:tc>
        <w:tc>
          <w:tcPr>
            <w:tcW w:w="1038" w:type="dxa"/>
            <w:vAlign w:val="center"/>
          </w:tcPr>
          <w:p w14:paraId="6C19CD12">
            <w:r>
              <w:rPr>
                <w:rFonts w:hint="eastAsia"/>
              </w:rPr>
              <w:t>南方亚洲美元收益债券(QDII)C(人民币)</w:t>
            </w:r>
          </w:p>
        </w:tc>
        <w:tc>
          <w:tcPr>
            <w:tcW w:w="1038" w:type="dxa"/>
            <w:vAlign w:val="center"/>
          </w:tcPr>
          <w:p w14:paraId="137D2AC4">
            <w:r>
              <w:rPr>
                <w:rFonts w:hint="eastAsia"/>
              </w:rPr>
              <w:t>契约型开放式</w:t>
            </w:r>
          </w:p>
        </w:tc>
        <w:tc>
          <w:tcPr>
            <w:tcW w:w="1038" w:type="dxa"/>
            <w:vAlign w:val="center"/>
          </w:tcPr>
          <w:p w14:paraId="70E1591C">
            <w:pPr>
              <w:jc w:val="right"/>
            </w:pPr>
            <w:r>
              <w:rPr>
                <w:rFonts w:hint="eastAsia"/>
              </w:rPr>
              <w:t>1,900,488.59</w:t>
            </w:r>
          </w:p>
        </w:tc>
        <w:tc>
          <w:tcPr>
            <w:tcW w:w="1038" w:type="dxa"/>
            <w:vAlign w:val="center"/>
          </w:tcPr>
          <w:p w14:paraId="6F9136E7">
            <w:pPr>
              <w:jc w:val="right"/>
            </w:pPr>
            <w:r>
              <w:rPr>
                <w:rFonts w:hint="eastAsia"/>
              </w:rPr>
              <w:t>1,899,538.35</w:t>
            </w:r>
          </w:p>
        </w:tc>
        <w:tc>
          <w:tcPr>
            <w:tcW w:w="1038" w:type="dxa"/>
            <w:vAlign w:val="center"/>
          </w:tcPr>
          <w:p w14:paraId="6102B82D">
            <w:pPr>
              <w:jc w:val="right"/>
            </w:pPr>
            <w:r>
              <w:rPr>
                <w:rFonts w:hint="eastAsia"/>
              </w:rPr>
              <w:t>0.12</w:t>
            </w:r>
          </w:p>
        </w:tc>
        <w:tc>
          <w:tcPr>
            <w:tcW w:w="1038" w:type="dxa"/>
            <w:vAlign w:val="center"/>
          </w:tcPr>
          <w:p w14:paraId="00E42879">
            <w:r>
              <w:rPr>
                <w:rFonts w:hint="eastAsia"/>
              </w:rPr>
              <w:t>是</w:t>
            </w:r>
          </w:p>
        </w:tc>
      </w:tr>
      <w:tr w14:paraId="68D8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838F5B">
            <w:pPr>
              <w:jc w:val="center"/>
            </w:pPr>
            <w:r>
              <w:rPr>
                <w:rFonts w:hint="eastAsia"/>
              </w:rPr>
              <w:t>48</w:t>
            </w:r>
          </w:p>
        </w:tc>
        <w:tc>
          <w:tcPr>
            <w:tcW w:w="1038" w:type="dxa"/>
            <w:vAlign w:val="center"/>
          </w:tcPr>
          <w:p w14:paraId="377259A4">
            <w:r>
              <w:rPr>
                <w:rFonts w:hint="eastAsia"/>
              </w:rPr>
              <w:t>015161</w:t>
            </w:r>
          </w:p>
        </w:tc>
        <w:tc>
          <w:tcPr>
            <w:tcW w:w="1038" w:type="dxa"/>
            <w:vAlign w:val="center"/>
          </w:tcPr>
          <w:p w14:paraId="51376B52">
            <w:r>
              <w:rPr>
                <w:rFonts w:hint="eastAsia"/>
              </w:rPr>
              <w:t>南方宝嘉混合C</w:t>
            </w:r>
          </w:p>
        </w:tc>
        <w:tc>
          <w:tcPr>
            <w:tcW w:w="1038" w:type="dxa"/>
            <w:vAlign w:val="center"/>
          </w:tcPr>
          <w:p w14:paraId="03ED601A">
            <w:r>
              <w:rPr>
                <w:rFonts w:hint="eastAsia"/>
              </w:rPr>
              <w:t>契约型开放式</w:t>
            </w:r>
          </w:p>
        </w:tc>
        <w:tc>
          <w:tcPr>
            <w:tcW w:w="1038" w:type="dxa"/>
            <w:vAlign w:val="center"/>
          </w:tcPr>
          <w:p w14:paraId="209FD124">
            <w:pPr>
              <w:jc w:val="right"/>
            </w:pPr>
            <w:r>
              <w:rPr>
                <w:rFonts w:hint="eastAsia"/>
              </w:rPr>
              <w:t>770,002.92</w:t>
            </w:r>
          </w:p>
        </w:tc>
        <w:tc>
          <w:tcPr>
            <w:tcW w:w="1038" w:type="dxa"/>
            <w:vAlign w:val="center"/>
          </w:tcPr>
          <w:p w14:paraId="63818D61">
            <w:pPr>
              <w:jc w:val="right"/>
            </w:pPr>
            <w:r>
              <w:rPr>
                <w:rFonts w:hint="eastAsia"/>
              </w:rPr>
              <w:t>868,101.29</w:t>
            </w:r>
          </w:p>
        </w:tc>
        <w:tc>
          <w:tcPr>
            <w:tcW w:w="1038" w:type="dxa"/>
            <w:vAlign w:val="center"/>
          </w:tcPr>
          <w:p w14:paraId="09636327">
            <w:pPr>
              <w:jc w:val="right"/>
            </w:pPr>
            <w:r>
              <w:rPr>
                <w:rFonts w:hint="eastAsia"/>
              </w:rPr>
              <w:t>0.06</w:t>
            </w:r>
          </w:p>
        </w:tc>
        <w:tc>
          <w:tcPr>
            <w:tcW w:w="1038" w:type="dxa"/>
            <w:vAlign w:val="center"/>
          </w:tcPr>
          <w:p w14:paraId="16977F11">
            <w:r>
              <w:rPr>
                <w:rFonts w:hint="eastAsia"/>
              </w:rPr>
              <w:t>是</w:t>
            </w:r>
          </w:p>
        </w:tc>
      </w:tr>
      <w:tr w14:paraId="5BDD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DFFBDC">
            <w:pPr>
              <w:jc w:val="center"/>
            </w:pPr>
            <w:r>
              <w:rPr>
                <w:rFonts w:hint="eastAsia"/>
              </w:rPr>
              <w:t>49</w:t>
            </w:r>
          </w:p>
        </w:tc>
        <w:tc>
          <w:tcPr>
            <w:tcW w:w="1038" w:type="dxa"/>
            <w:vAlign w:val="center"/>
          </w:tcPr>
          <w:p w14:paraId="3B22F731">
            <w:r>
              <w:rPr>
                <w:rFonts w:hint="eastAsia"/>
              </w:rPr>
              <w:t>512100</w:t>
            </w:r>
          </w:p>
        </w:tc>
        <w:tc>
          <w:tcPr>
            <w:tcW w:w="1038" w:type="dxa"/>
            <w:vAlign w:val="center"/>
          </w:tcPr>
          <w:p w14:paraId="23F271AD">
            <w:r>
              <w:rPr>
                <w:rFonts w:hint="eastAsia"/>
              </w:rPr>
              <w:t>南方中证1000ETF</w:t>
            </w:r>
          </w:p>
        </w:tc>
        <w:tc>
          <w:tcPr>
            <w:tcW w:w="1038" w:type="dxa"/>
            <w:vAlign w:val="center"/>
          </w:tcPr>
          <w:p w14:paraId="6B0331D1">
            <w:r>
              <w:rPr>
                <w:rFonts w:hint="eastAsia"/>
              </w:rPr>
              <w:t>契约型开放式</w:t>
            </w:r>
          </w:p>
        </w:tc>
        <w:tc>
          <w:tcPr>
            <w:tcW w:w="1038" w:type="dxa"/>
            <w:vAlign w:val="center"/>
          </w:tcPr>
          <w:p w14:paraId="62D65574">
            <w:pPr>
              <w:jc w:val="right"/>
            </w:pPr>
            <w:r>
              <w:rPr>
                <w:rFonts w:hint="eastAsia"/>
              </w:rPr>
              <w:t>109,900.00</w:t>
            </w:r>
          </w:p>
        </w:tc>
        <w:tc>
          <w:tcPr>
            <w:tcW w:w="1038" w:type="dxa"/>
            <w:vAlign w:val="center"/>
          </w:tcPr>
          <w:p w14:paraId="0B6DFDF2">
            <w:pPr>
              <w:jc w:val="right"/>
            </w:pPr>
            <w:r>
              <w:rPr>
                <w:rFonts w:hint="eastAsia"/>
              </w:rPr>
              <w:t>338,382.10</w:t>
            </w:r>
          </w:p>
        </w:tc>
        <w:tc>
          <w:tcPr>
            <w:tcW w:w="1038" w:type="dxa"/>
            <w:vAlign w:val="center"/>
          </w:tcPr>
          <w:p w14:paraId="447E70D3">
            <w:pPr>
              <w:jc w:val="right"/>
            </w:pPr>
            <w:r>
              <w:rPr>
                <w:rFonts w:hint="eastAsia"/>
              </w:rPr>
              <w:t>0.02</w:t>
            </w:r>
          </w:p>
        </w:tc>
        <w:tc>
          <w:tcPr>
            <w:tcW w:w="1038" w:type="dxa"/>
            <w:vAlign w:val="center"/>
          </w:tcPr>
          <w:p w14:paraId="3E3EB96E">
            <w:r>
              <w:rPr>
                <w:rFonts w:hint="eastAsia"/>
              </w:rPr>
              <w:t>是</w:t>
            </w:r>
          </w:p>
        </w:tc>
      </w:tr>
      <w:tr w14:paraId="2C63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E8073F">
            <w:pPr>
              <w:jc w:val="center"/>
            </w:pPr>
            <w:r>
              <w:rPr>
                <w:rFonts w:hint="eastAsia"/>
              </w:rPr>
              <w:t>50</w:t>
            </w:r>
          </w:p>
        </w:tc>
        <w:tc>
          <w:tcPr>
            <w:tcW w:w="1038" w:type="dxa"/>
            <w:vAlign w:val="center"/>
          </w:tcPr>
          <w:p w14:paraId="52225FDD">
            <w:r>
              <w:rPr>
                <w:rFonts w:hint="eastAsia"/>
              </w:rPr>
              <w:t>008764</w:t>
            </w:r>
          </w:p>
        </w:tc>
        <w:tc>
          <w:tcPr>
            <w:tcW w:w="1038" w:type="dxa"/>
            <w:vAlign w:val="center"/>
          </w:tcPr>
          <w:p w14:paraId="6221CF9C">
            <w:r>
              <w:rPr>
                <w:rFonts w:hint="eastAsia"/>
              </w:rPr>
              <w:t>天弘越南市场股票发起(QDII)C</w:t>
            </w:r>
          </w:p>
        </w:tc>
        <w:tc>
          <w:tcPr>
            <w:tcW w:w="1038" w:type="dxa"/>
            <w:vAlign w:val="center"/>
          </w:tcPr>
          <w:p w14:paraId="3F07C1E8">
            <w:r>
              <w:rPr>
                <w:rFonts w:hint="eastAsia"/>
              </w:rPr>
              <w:t>契约型开放式</w:t>
            </w:r>
          </w:p>
        </w:tc>
        <w:tc>
          <w:tcPr>
            <w:tcW w:w="1038" w:type="dxa"/>
            <w:vAlign w:val="center"/>
          </w:tcPr>
          <w:p w14:paraId="4A8C347D">
            <w:pPr>
              <w:jc w:val="right"/>
            </w:pPr>
            <w:r>
              <w:rPr>
                <w:rFonts w:hint="eastAsia"/>
              </w:rPr>
              <w:t>22,701.07</w:t>
            </w:r>
          </w:p>
        </w:tc>
        <w:tc>
          <w:tcPr>
            <w:tcW w:w="1038" w:type="dxa"/>
            <w:vAlign w:val="center"/>
          </w:tcPr>
          <w:p w14:paraId="1F8A40FE">
            <w:pPr>
              <w:jc w:val="right"/>
            </w:pPr>
            <w:r>
              <w:rPr>
                <w:rFonts w:hint="eastAsia"/>
              </w:rPr>
              <w:t>39,007.25</w:t>
            </w:r>
          </w:p>
        </w:tc>
        <w:tc>
          <w:tcPr>
            <w:tcW w:w="1038" w:type="dxa"/>
            <w:vAlign w:val="center"/>
          </w:tcPr>
          <w:p w14:paraId="7C3476E2">
            <w:pPr>
              <w:jc w:val="right"/>
            </w:pPr>
            <w:r>
              <w:rPr>
                <w:rFonts w:hint="eastAsia"/>
              </w:rPr>
              <w:t>0.00</w:t>
            </w:r>
          </w:p>
        </w:tc>
        <w:tc>
          <w:tcPr>
            <w:tcW w:w="1038" w:type="dxa"/>
            <w:vAlign w:val="center"/>
          </w:tcPr>
          <w:p w14:paraId="28FF6FF3">
            <w:r>
              <w:rPr>
                <w:rFonts w:hint="eastAsia"/>
              </w:rPr>
              <w:t>否</w:t>
            </w:r>
          </w:p>
        </w:tc>
      </w:tr>
    </w:tbl>
    <w:p w14:paraId="1E0DF4EE">
      <w:pPr>
        <w:pStyle w:val="23"/>
      </w:pPr>
      <w:bookmarkStart w:id="180" w:name="_Toc14066"/>
      <w:r>
        <w:t>投资组合报告附注</w:t>
      </w:r>
      <w:bookmarkEnd w:id="180"/>
    </w:p>
    <w:p w14:paraId="774AD2E8">
      <w:pPr>
        <w:pStyle w:val="28"/>
      </w:pPr>
      <w:bookmarkStart w:id="181" w:name="_Toc181"/>
      <w:r>
        <w:t xml:space="preserve">  声明本基金投资的前十名证券的发行主体本期是否出现被监管部门立案调查，或在报告编制日前一年内受到公开谴责、处罚的情形。如是，还应对相关证券的投资决策程序做出说明。</w:t>
      </w:r>
      <w:bookmarkEnd w:id="181"/>
    </w:p>
    <w:p w14:paraId="1E349F66">
      <w:pPr>
        <w:pStyle w:val="18"/>
        <w:rPr>
          <w:rFonts w:hint="eastAsia"/>
        </w:rPr>
      </w:pPr>
      <w:r>
        <w:rPr>
          <w:rFonts w:hint="eastAsia"/>
        </w:rPr>
        <w:t>报告期内基金投资的前十名证券的发行主体未有被监管部门立案调查，不存在报告编制日前一年内受到公开谴责、处罚的情形。</w:t>
      </w:r>
    </w:p>
    <w:p w14:paraId="2389BC24">
      <w:pPr>
        <w:pStyle w:val="28"/>
      </w:pPr>
      <w:bookmarkStart w:id="182" w:name="_Toc182"/>
      <w:r>
        <w:t xml:space="preserve">  声明基金投资的前十名股票是否超出基金合同规定的备选股票库。如是，还应对相关股票的投资决策程序做出说明。</w:t>
      </w:r>
      <w:bookmarkEnd w:id="182"/>
    </w:p>
    <w:p w14:paraId="5AF7E634">
      <w:pPr>
        <w:pStyle w:val="18"/>
        <w:rPr>
          <w:rFonts w:hint="eastAsia"/>
        </w:rPr>
      </w:pPr>
      <w:r>
        <w:rPr>
          <w:rFonts w:hint="eastAsia"/>
        </w:rPr>
        <w:t>本基金投资的前十名股票（如有）没有超出基金合同规定的备选股票库，本基金管理人从制度和流程上要求股票必须先入库再买入。</w:t>
      </w:r>
    </w:p>
    <w:p w14:paraId="111AC92D">
      <w:pPr>
        <w:pStyle w:val="28"/>
      </w:pPr>
      <w:bookmarkStart w:id="183" w:name="_Toc183"/>
      <w:r>
        <w:t>期末其他各项资产构成</w:t>
      </w:r>
      <w:bookmarkEnd w:id="183"/>
    </w:p>
    <w:p w14:paraId="31EA73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2E4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DDD1DDE">
            <w:pPr>
              <w:jc w:val="center"/>
            </w:pPr>
            <w:r>
              <w:rPr>
                <w:rFonts w:hint="eastAsia"/>
                <w:b/>
              </w:rPr>
              <w:t>序号</w:t>
            </w:r>
          </w:p>
        </w:tc>
        <w:tc>
          <w:tcPr>
            <w:tcW w:w="2907" w:type="dxa"/>
            <w:shd w:val="clear" w:color="auto" w:fill="BFBFBF"/>
            <w:vAlign w:val="center"/>
          </w:tcPr>
          <w:p w14:paraId="130C11CA">
            <w:pPr>
              <w:jc w:val="center"/>
            </w:pPr>
            <w:r>
              <w:rPr>
                <w:rFonts w:hint="eastAsia"/>
                <w:b/>
              </w:rPr>
              <w:t>名称</w:t>
            </w:r>
          </w:p>
        </w:tc>
        <w:tc>
          <w:tcPr>
            <w:tcW w:w="4673" w:type="dxa"/>
            <w:shd w:val="clear" w:color="auto" w:fill="BFBFBF"/>
            <w:vAlign w:val="center"/>
          </w:tcPr>
          <w:p w14:paraId="16B2A963">
            <w:pPr>
              <w:jc w:val="center"/>
            </w:pPr>
            <w:r>
              <w:rPr>
                <w:rFonts w:hint="eastAsia"/>
                <w:b/>
              </w:rPr>
              <w:t>金额（元）</w:t>
            </w:r>
          </w:p>
        </w:tc>
      </w:tr>
      <w:tr w14:paraId="5E84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004E9A">
            <w:pPr>
              <w:jc w:val="center"/>
            </w:pPr>
            <w:r>
              <w:rPr>
                <w:rFonts w:hint="eastAsia"/>
              </w:rPr>
              <w:t>1</w:t>
            </w:r>
          </w:p>
        </w:tc>
        <w:tc>
          <w:tcPr>
            <w:tcW w:w="2907" w:type="dxa"/>
            <w:vAlign w:val="center"/>
          </w:tcPr>
          <w:p w14:paraId="014567C2">
            <w:r>
              <w:rPr>
                <w:rFonts w:hint="eastAsia"/>
              </w:rPr>
              <w:t>存出保证金</w:t>
            </w:r>
          </w:p>
        </w:tc>
        <w:tc>
          <w:tcPr>
            <w:tcW w:w="4673" w:type="dxa"/>
            <w:vAlign w:val="center"/>
          </w:tcPr>
          <w:p w14:paraId="763BAD31">
            <w:pPr>
              <w:jc w:val="right"/>
            </w:pPr>
            <w:r>
              <w:rPr>
                <w:rFonts w:hint="eastAsia"/>
              </w:rPr>
              <w:t>345,339.01</w:t>
            </w:r>
          </w:p>
        </w:tc>
      </w:tr>
      <w:tr w14:paraId="6AA3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41E1F5">
            <w:pPr>
              <w:jc w:val="center"/>
            </w:pPr>
            <w:r>
              <w:rPr>
                <w:rFonts w:hint="eastAsia"/>
              </w:rPr>
              <w:t>2</w:t>
            </w:r>
          </w:p>
        </w:tc>
        <w:tc>
          <w:tcPr>
            <w:tcW w:w="2907" w:type="dxa"/>
            <w:vAlign w:val="center"/>
          </w:tcPr>
          <w:p w14:paraId="7B46CE87">
            <w:r>
              <w:rPr>
                <w:rFonts w:hint="eastAsia"/>
              </w:rPr>
              <w:t>应收清算款</w:t>
            </w:r>
          </w:p>
        </w:tc>
        <w:tc>
          <w:tcPr>
            <w:tcW w:w="4673" w:type="dxa"/>
            <w:vAlign w:val="center"/>
          </w:tcPr>
          <w:p w14:paraId="343935B3">
            <w:pPr>
              <w:jc w:val="right"/>
            </w:pPr>
            <w:r>
              <w:rPr>
                <w:rFonts w:hint="eastAsia"/>
              </w:rPr>
              <w:t>131,039,227.48</w:t>
            </w:r>
          </w:p>
        </w:tc>
      </w:tr>
      <w:tr w14:paraId="4B4C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2A68F1">
            <w:pPr>
              <w:jc w:val="center"/>
            </w:pPr>
            <w:r>
              <w:rPr>
                <w:rFonts w:hint="eastAsia"/>
              </w:rPr>
              <w:t>3</w:t>
            </w:r>
          </w:p>
        </w:tc>
        <w:tc>
          <w:tcPr>
            <w:tcW w:w="2907" w:type="dxa"/>
            <w:vAlign w:val="center"/>
          </w:tcPr>
          <w:p w14:paraId="310473D0">
            <w:r>
              <w:rPr>
                <w:rFonts w:hint="eastAsia"/>
              </w:rPr>
              <w:t>应收股利</w:t>
            </w:r>
          </w:p>
        </w:tc>
        <w:tc>
          <w:tcPr>
            <w:tcW w:w="4673" w:type="dxa"/>
            <w:vAlign w:val="center"/>
          </w:tcPr>
          <w:p w14:paraId="2DE4DF67">
            <w:pPr>
              <w:jc w:val="right"/>
            </w:pPr>
            <w:r>
              <w:rPr>
                <w:rFonts w:hint="eastAsia"/>
              </w:rPr>
              <w:t>166.34</w:t>
            </w:r>
          </w:p>
        </w:tc>
      </w:tr>
      <w:tr w14:paraId="25D9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839510">
            <w:pPr>
              <w:jc w:val="center"/>
            </w:pPr>
            <w:r>
              <w:rPr>
                <w:rFonts w:hint="eastAsia"/>
              </w:rPr>
              <w:t>4</w:t>
            </w:r>
          </w:p>
        </w:tc>
        <w:tc>
          <w:tcPr>
            <w:tcW w:w="2907" w:type="dxa"/>
            <w:vAlign w:val="center"/>
          </w:tcPr>
          <w:p w14:paraId="6497AE14">
            <w:r>
              <w:rPr>
                <w:rFonts w:hint="eastAsia"/>
              </w:rPr>
              <w:t>应收利息</w:t>
            </w:r>
          </w:p>
        </w:tc>
        <w:tc>
          <w:tcPr>
            <w:tcW w:w="4673" w:type="dxa"/>
            <w:vAlign w:val="center"/>
          </w:tcPr>
          <w:p w14:paraId="71215E70">
            <w:pPr>
              <w:jc w:val="right"/>
            </w:pPr>
            <w:r>
              <w:rPr>
                <w:rFonts w:hint="eastAsia"/>
              </w:rPr>
              <w:t>-</w:t>
            </w:r>
          </w:p>
        </w:tc>
      </w:tr>
      <w:tr w14:paraId="4E45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595AAF">
            <w:pPr>
              <w:jc w:val="center"/>
            </w:pPr>
            <w:r>
              <w:rPr>
                <w:rFonts w:hint="eastAsia"/>
              </w:rPr>
              <w:t>5</w:t>
            </w:r>
          </w:p>
        </w:tc>
        <w:tc>
          <w:tcPr>
            <w:tcW w:w="2907" w:type="dxa"/>
            <w:vAlign w:val="center"/>
          </w:tcPr>
          <w:p w14:paraId="1A199A0E">
            <w:r>
              <w:rPr>
                <w:rFonts w:hint="eastAsia"/>
              </w:rPr>
              <w:t>应收申购款</w:t>
            </w:r>
          </w:p>
        </w:tc>
        <w:tc>
          <w:tcPr>
            <w:tcW w:w="4673" w:type="dxa"/>
            <w:vAlign w:val="center"/>
          </w:tcPr>
          <w:p w14:paraId="6D66C249">
            <w:pPr>
              <w:jc w:val="right"/>
            </w:pPr>
            <w:r>
              <w:rPr>
                <w:rFonts w:hint="eastAsia"/>
              </w:rPr>
              <w:t>10,837,837.48</w:t>
            </w:r>
          </w:p>
        </w:tc>
      </w:tr>
      <w:tr w14:paraId="111F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4E82C7">
            <w:pPr>
              <w:jc w:val="center"/>
            </w:pPr>
            <w:r>
              <w:rPr>
                <w:rFonts w:hint="eastAsia"/>
              </w:rPr>
              <w:t>6</w:t>
            </w:r>
          </w:p>
        </w:tc>
        <w:tc>
          <w:tcPr>
            <w:tcW w:w="2907" w:type="dxa"/>
            <w:vAlign w:val="center"/>
          </w:tcPr>
          <w:p w14:paraId="54D1FA32">
            <w:r>
              <w:rPr>
                <w:rFonts w:hint="eastAsia"/>
              </w:rPr>
              <w:t>其他应收款</w:t>
            </w:r>
          </w:p>
        </w:tc>
        <w:tc>
          <w:tcPr>
            <w:tcW w:w="4673" w:type="dxa"/>
            <w:vAlign w:val="center"/>
          </w:tcPr>
          <w:p w14:paraId="39F84B36">
            <w:pPr>
              <w:jc w:val="right"/>
            </w:pPr>
            <w:r>
              <w:rPr>
                <w:rFonts w:hint="eastAsia"/>
              </w:rPr>
              <w:t>56,496.71</w:t>
            </w:r>
          </w:p>
        </w:tc>
      </w:tr>
      <w:tr w14:paraId="3CD4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30238A">
            <w:pPr>
              <w:jc w:val="center"/>
            </w:pPr>
            <w:r>
              <w:rPr>
                <w:rFonts w:hint="eastAsia"/>
              </w:rPr>
              <w:t>7</w:t>
            </w:r>
          </w:p>
        </w:tc>
        <w:tc>
          <w:tcPr>
            <w:tcW w:w="2907" w:type="dxa"/>
            <w:vAlign w:val="center"/>
          </w:tcPr>
          <w:p w14:paraId="56191EAD">
            <w:r>
              <w:rPr>
                <w:rFonts w:hint="eastAsia"/>
              </w:rPr>
              <w:t>待摊费用</w:t>
            </w:r>
          </w:p>
        </w:tc>
        <w:tc>
          <w:tcPr>
            <w:tcW w:w="4673" w:type="dxa"/>
            <w:vAlign w:val="center"/>
          </w:tcPr>
          <w:p w14:paraId="1CE0746B">
            <w:pPr>
              <w:jc w:val="right"/>
            </w:pPr>
            <w:r>
              <w:rPr>
                <w:rFonts w:hint="eastAsia"/>
              </w:rPr>
              <w:t>-</w:t>
            </w:r>
          </w:p>
        </w:tc>
      </w:tr>
      <w:tr w14:paraId="08E9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0ADD35">
            <w:pPr>
              <w:jc w:val="center"/>
            </w:pPr>
            <w:r>
              <w:rPr>
                <w:rFonts w:hint="eastAsia"/>
              </w:rPr>
              <w:t>8</w:t>
            </w:r>
          </w:p>
        </w:tc>
        <w:tc>
          <w:tcPr>
            <w:tcW w:w="2907" w:type="dxa"/>
            <w:vAlign w:val="center"/>
          </w:tcPr>
          <w:p w14:paraId="1F39332A">
            <w:r>
              <w:rPr>
                <w:rFonts w:hint="eastAsia"/>
              </w:rPr>
              <w:t>其他</w:t>
            </w:r>
          </w:p>
        </w:tc>
        <w:tc>
          <w:tcPr>
            <w:tcW w:w="4673" w:type="dxa"/>
            <w:vAlign w:val="center"/>
          </w:tcPr>
          <w:p w14:paraId="5CBA9662">
            <w:pPr>
              <w:jc w:val="right"/>
            </w:pPr>
            <w:r>
              <w:rPr>
                <w:rFonts w:hint="eastAsia"/>
              </w:rPr>
              <w:t>-</w:t>
            </w:r>
          </w:p>
        </w:tc>
      </w:tr>
      <w:tr w14:paraId="00DD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45D590">
            <w:pPr>
              <w:jc w:val="center"/>
            </w:pPr>
            <w:r>
              <w:rPr>
                <w:rFonts w:hint="eastAsia"/>
              </w:rPr>
              <w:t>9</w:t>
            </w:r>
          </w:p>
        </w:tc>
        <w:tc>
          <w:tcPr>
            <w:tcW w:w="2907" w:type="dxa"/>
            <w:vAlign w:val="center"/>
          </w:tcPr>
          <w:p w14:paraId="76F49638">
            <w:r>
              <w:rPr>
                <w:rFonts w:hint="eastAsia"/>
              </w:rPr>
              <w:t>合计</w:t>
            </w:r>
          </w:p>
        </w:tc>
        <w:tc>
          <w:tcPr>
            <w:tcW w:w="4673" w:type="dxa"/>
            <w:vAlign w:val="center"/>
          </w:tcPr>
          <w:p w14:paraId="7C053322">
            <w:pPr>
              <w:jc w:val="right"/>
            </w:pPr>
            <w:r>
              <w:rPr>
                <w:rFonts w:hint="eastAsia"/>
              </w:rPr>
              <w:t>142,279,067.02</w:t>
            </w:r>
          </w:p>
        </w:tc>
      </w:tr>
    </w:tbl>
    <w:p w14:paraId="64D7A1F7">
      <w:pPr>
        <w:pStyle w:val="28"/>
      </w:pPr>
      <w:bookmarkStart w:id="184" w:name="_Toc184"/>
      <w:r>
        <w:t>期末持有的处于转股期的可转换债券明细</w:t>
      </w:r>
      <w:bookmarkEnd w:id="184"/>
    </w:p>
    <w:p w14:paraId="29BFBE57">
      <w:pPr>
        <w:pStyle w:val="18"/>
        <w:rPr>
          <w:rFonts w:hint="eastAsia"/>
        </w:rPr>
      </w:pPr>
      <w:r>
        <w:rPr>
          <w:rFonts w:hint="eastAsia"/>
        </w:rPr>
        <w:t>本基金本报告期末未持有处于转股期的可转换债券。</w:t>
      </w:r>
    </w:p>
    <w:p w14:paraId="5C6B8114">
      <w:pPr>
        <w:pStyle w:val="28"/>
      </w:pPr>
      <w:bookmarkStart w:id="185" w:name="_Toc185"/>
      <w:r>
        <w:t>期末前十名股票中存在流通受限情况的说明</w:t>
      </w:r>
      <w:bookmarkEnd w:id="185"/>
    </w:p>
    <w:p w14:paraId="38B714C7">
      <w:pPr>
        <w:pStyle w:val="18"/>
        <w:rPr>
          <w:rFonts w:hint="eastAsia"/>
        </w:rPr>
      </w:pPr>
      <w:r>
        <w:rPr>
          <w:rFonts w:hint="eastAsia"/>
        </w:rPr>
        <w:t>无。</w:t>
      </w:r>
    </w:p>
    <w:p w14:paraId="255D3C18">
      <w:pPr>
        <w:pStyle w:val="26"/>
      </w:pPr>
      <w:bookmarkStart w:id="186" w:name="_Toc13328"/>
      <w:r>
        <w:t>基金份额持有人信息</w:t>
      </w:r>
      <w:bookmarkEnd w:id="186"/>
    </w:p>
    <w:p w14:paraId="695750F1">
      <w:pPr>
        <w:pStyle w:val="23"/>
      </w:pPr>
      <w:bookmarkStart w:id="187" w:name="_Toc19440"/>
      <w:r>
        <w:t>期末基金份额持有人户数及持有人结构</w:t>
      </w:r>
      <w:bookmarkEnd w:id="187"/>
    </w:p>
    <w:p w14:paraId="4DA44DF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3EC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B8E0FDB">
            <w:pPr>
              <w:jc w:val="center"/>
            </w:pPr>
            <w:r>
              <w:rPr>
                <w:rFonts w:hint="eastAsia"/>
                <w:b/>
              </w:rPr>
              <w:t>份额级别</w:t>
            </w:r>
          </w:p>
        </w:tc>
        <w:tc>
          <w:tcPr>
            <w:tcW w:w="1186" w:type="dxa"/>
            <w:vMerge w:val="restart"/>
            <w:shd w:val="clear" w:color="auto" w:fill="BFBFBF"/>
            <w:vAlign w:val="center"/>
          </w:tcPr>
          <w:p w14:paraId="3CAEBC8E">
            <w:pPr>
              <w:jc w:val="center"/>
            </w:pPr>
            <w:r>
              <w:rPr>
                <w:rFonts w:hint="eastAsia"/>
                <w:b/>
              </w:rPr>
              <w:t>持有人户数（户）</w:t>
            </w:r>
          </w:p>
        </w:tc>
        <w:tc>
          <w:tcPr>
            <w:tcW w:w="1186" w:type="dxa"/>
            <w:vMerge w:val="restart"/>
            <w:shd w:val="clear" w:color="auto" w:fill="BFBFBF"/>
            <w:vAlign w:val="center"/>
          </w:tcPr>
          <w:p w14:paraId="16A7DC1F">
            <w:pPr>
              <w:jc w:val="center"/>
            </w:pPr>
            <w:r>
              <w:rPr>
                <w:rFonts w:hint="eastAsia"/>
                <w:b/>
              </w:rPr>
              <w:t>户均持有的基金份额</w:t>
            </w:r>
          </w:p>
        </w:tc>
        <w:tc>
          <w:tcPr>
            <w:tcW w:w="1186" w:type="dxa"/>
            <w:gridSpan w:val="4"/>
            <w:shd w:val="clear" w:color="auto" w:fill="BFBFBF"/>
            <w:vAlign w:val="center"/>
          </w:tcPr>
          <w:p w14:paraId="4683E2AC">
            <w:pPr>
              <w:jc w:val="center"/>
            </w:pPr>
            <w:r>
              <w:rPr>
                <w:rFonts w:hint="eastAsia"/>
                <w:b/>
              </w:rPr>
              <w:t>持有人结构</w:t>
            </w:r>
          </w:p>
        </w:tc>
      </w:tr>
      <w:tr w14:paraId="43AE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F028EA7"/>
        </w:tc>
        <w:tc>
          <w:tcPr>
            <w:tcW w:w="1186" w:type="dxa"/>
            <w:vMerge w:val="continue"/>
            <w:vAlign w:val="center"/>
          </w:tcPr>
          <w:p w14:paraId="5845EAE3"/>
        </w:tc>
        <w:tc>
          <w:tcPr>
            <w:tcW w:w="1186" w:type="dxa"/>
            <w:vMerge w:val="continue"/>
            <w:vAlign w:val="center"/>
          </w:tcPr>
          <w:p w14:paraId="3A0E657E"/>
        </w:tc>
        <w:tc>
          <w:tcPr>
            <w:tcW w:w="1186" w:type="dxa"/>
            <w:gridSpan w:val="2"/>
            <w:shd w:val="clear" w:color="auto" w:fill="BFBFBF"/>
            <w:vAlign w:val="center"/>
          </w:tcPr>
          <w:p w14:paraId="29E1C6DE">
            <w:pPr>
              <w:jc w:val="center"/>
            </w:pPr>
            <w:r>
              <w:rPr>
                <w:rFonts w:hint="eastAsia"/>
                <w:b/>
              </w:rPr>
              <w:t>机构投资者</w:t>
            </w:r>
          </w:p>
        </w:tc>
        <w:tc>
          <w:tcPr>
            <w:tcW w:w="1186" w:type="dxa"/>
            <w:gridSpan w:val="2"/>
            <w:shd w:val="clear" w:color="auto" w:fill="BFBFBF"/>
            <w:vAlign w:val="center"/>
          </w:tcPr>
          <w:p w14:paraId="202A7D56">
            <w:pPr>
              <w:jc w:val="center"/>
            </w:pPr>
            <w:r>
              <w:rPr>
                <w:rFonts w:hint="eastAsia"/>
                <w:b/>
              </w:rPr>
              <w:t>个人投资者</w:t>
            </w:r>
          </w:p>
        </w:tc>
      </w:tr>
      <w:tr w14:paraId="5EA4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1F437F1"/>
        </w:tc>
        <w:tc>
          <w:tcPr>
            <w:tcW w:w="1186" w:type="dxa"/>
            <w:vMerge w:val="continue"/>
            <w:vAlign w:val="center"/>
          </w:tcPr>
          <w:p w14:paraId="45DFE5DF"/>
        </w:tc>
        <w:tc>
          <w:tcPr>
            <w:tcW w:w="1186" w:type="dxa"/>
            <w:vMerge w:val="continue"/>
            <w:vAlign w:val="center"/>
          </w:tcPr>
          <w:p w14:paraId="3103932D"/>
        </w:tc>
        <w:tc>
          <w:tcPr>
            <w:tcW w:w="1186" w:type="dxa"/>
            <w:shd w:val="clear" w:color="auto" w:fill="BFBFBF"/>
            <w:vAlign w:val="center"/>
          </w:tcPr>
          <w:p w14:paraId="50A3A483">
            <w:pPr>
              <w:jc w:val="center"/>
            </w:pPr>
            <w:r>
              <w:rPr>
                <w:rFonts w:hint="eastAsia"/>
                <w:b/>
              </w:rPr>
              <w:t>持有份额</w:t>
            </w:r>
          </w:p>
        </w:tc>
        <w:tc>
          <w:tcPr>
            <w:tcW w:w="1186" w:type="dxa"/>
            <w:shd w:val="clear" w:color="auto" w:fill="BFBFBF"/>
            <w:vAlign w:val="center"/>
          </w:tcPr>
          <w:p w14:paraId="4E0EEAAF">
            <w:pPr>
              <w:jc w:val="center"/>
            </w:pPr>
            <w:r>
              <w:rPr>
                <w:rFonts w:hint="eastAsia"/>
                <w:b/>
              </w:rPr>
              <w:t>占总份额比例</w:t>
            </w:r>
          </w:p>
        </w:tc>
        <w:tc>
          <w:tcPr>
            <w:tcW w:w="1186" w:type="dxa"/>
            <w:shd w:val="clear" w:color="auto" w:fill="BFBFBF"/>
            <w:vAlign w:val="center"/>
          </w:tcPr>
          <w:p w14:paraId="6E404F34">
            <w:pPr>
              <w:jc w:val="center"/>
            </w:pPr>
            <w:r>
              <w:rPr>
                <w:rFonts w:hint="eastAsia"/>
                <w:b/>
              </w:rPr>
              <w:t>持有份额</w:t>
            </w:r>
          </w:p>
        </w:tc>
        <w:tc>
          <w:tcPr>
            <w:tcW w:w="1186" w:type="dxa"/>
            <w:shd w:val="clear" w:color="auto" w:fill="BFBFBF"/>
            <w:vAlign w:val="center"/>
          </w:tcPr>
          <w:p w14:paraId="66331474">
            <w:pPr>
              <w:jc w:val="center"/>
            </w:pPr>
            <w:r>
              <w:rPr>
                <w:rFonts w:hint="eastAsia"/>
                <w:b/>
              </w:rPr>
              <w:t>占总份额比例</w:t>
            </w:r>
          </w:p>
        </w:tc>
      </w:tr>
      <w:tr w14:paraId="7C74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0661BB">
            <w:r>
              <w:rPr>
                <w:rFonts w:hint="eastAsia"/>
              </w:rPr>
              <w:t>南方稳见3个月持有混合（FOF）A</w:t>
            </w:r>
          </w:p>
        </w:tc>
        <w:tc>
          <w:tcPr>
            <w:tcW w:w="1186" w:type="dxa"/>
            <w:vAlign w:val="center"/>
          </w:tcPr>
          <w:p w14:paraId="233F2577">
            <w:pPr>
              <w:jc w:val="right"/>
            </w:pPr>
            <w:r>
              <w:rPr>
                <w:rFonts w:hint="eastAsia"/>
              </w:rPr>
              <w:t>1,625</w:t>
            </w:r>
          </w:p>
        </w:tc>
        <w:tc>
          <w:tcPr>
            <w:tcW w:w="1186" w:type="dxa"/>
            <w:vAlign w:val="center"/>
          </w:tcPr>
          <w:p w14:paraId="1CD4B688">
            <w:pPr>
              <w:jc w:val="right"/>
            </w:pPr>
            <w:r>
              <w:rPr>
                <w:rFonts w:hint="eastAsia"/>
              </w:rPr>
              <w:t>273,302.48</w:t>
            </w:r>
          </w:p>
        </w:tc>
        <w:tc>
          <w:tcPr>
            <w:tcW w:w="1186" w:type="dxa"/>
            <w:vAlign w:val="center"/>
          </w:tcPr>
          <w:p w14:paraId="458FD02E">
            <w:pPr>
              <w:jc w:val="right"/>
            </w:pPr>
            <w:r>
              <w:rPr>
                <w:rFonts w:hint="eastAsia"/>
              </w:rPr>
              <w:t>28,673,519.37</w:t>
            </w:r>
          </w:p>
        </w:tc>
        <w:tc>
          <w:tcPr>
            <w:tcW w:w="1186" w:type="dxa"/>
            <w:vAlign w:val="center"/>
          </w:tcPr>
          <w:p w14:paraId="3C6C397C">
            <w:pPr>
              <w:jc w:val="right"/>
            </w:pPr>
            <w:r>
              <w:rPr>
                <w:rFonts w:hint="eastAsia"/>
              </w:rPr>
              <w:t>6.46%</w:t>
            </w:r>
          </w:p>
        </w:tc>
        <w:tc>
          <w:tcPr>
            <w:tcW w:w="1186" w:type="dxa"/>
            <w:vAlign w:val="center"/>
          </w:tcPr>
          <w:p w14:paraId="28A74D14">
            <w:pPr>
              <w:jc w:val="right"/>
            </w:pPr>
            <w:r>
              <w:rPr>
                <w:rFonts w:hint="eastAsia"/>
              </w:rPr>
              <w:t>415,443,007.18</w:t>
            </w:r>
          </w:p>
        </w:tc>
        <w:tc>
          <w:tcPr>
            <w:tcW w:w="1186" w:type="dxa"/>
            <w:vAlign w:val="center"/>
          </w:tcPr>
          <w:p w14:paraId="45B2E9A2">
            <w:pPr>
              <w:jc w:val="right"/>
            </w:pPr>
            <w:r>
              <w:rPr>
                <w:rFonts w:hint="eastAsia"/>
              </w:rPr>
              <w:t>93.54%</w:t>
            </w:r>
          </w:p>
        </w:tc>
      </w:tr>
      <w:tr w14:paraId="67FF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E9FAA3">
            <w:r>
              <w:rPr>
                <w:rFonts w:hint="eastAsia"/>
              </w:rPr>
              <w:t>南方稳见3个月持有混合（FOF）C</w:t>
            </w:r>
          </w:p>
        </w:tc>
        <w:tc>
          <w:tcPr>
            <w:tcW w:w="1186" w:type="dxa"/>
            <w:vAlign w:val="center"/>
          </w:tcPr>
          <w:p w14:paraId="0A7A37A6">
            <w:pPr>
              <w:jc w:val="right"/>
            </w:pPr>
            <w:r>
              <w:rPr>
                <w:rFonts w:hint="eastAsia"/>
              </w:rPr>
              <w:t>5,142</w:t>
            </w:r>
          </w:p>
        </w:tc>
        <w:tc>
          <w:tcPr>
            <w:tcW w:w="1186" w:type="dxa"/>
            <w:vAlign w:val="center"/>
          </w:tcPr>
          <w:p w14:paraId="13B08BBC">
            <w:pPr>
              <w:jc w:val="right"/>
            </w:pPr>
            <w:r>
              <w:rPr>
                <w:rFonts w:hint="eastAsia"/>
              </w:rPr>
              <w:t>214,059.48</w:t>
            </w:r>
          </w:p>
        </w:tc>
        <w:tc>
          <w:tcPr>
            <w:tcW w:w="1186" w:type="dxa"/>
            <w:vAlign w:val="center"/>
          </w:tcPr>
          <w:p w14:paraId="57143968">
            <w:pPr>
              <w:jc w:val="right"/>
            </w:pPr>
            <w:r>
              <w:rPr>
                <w:rFonts w:hint="eastAsia"/>
              </w:rPr>
              <w:t>21,676,075.29</w:t>
            </w:r>
          </w:p>
        </w:tc>
        <w:tc>
          <w:tcPr>
            <w:tcW w:w="1186" w:type="dxa"/>
            <w:vAlign w:val="center"/>
          </w:tcPr>
          <w:p w14:paraId="2A23974E">
            <w:pPr>
              <w:jc w:val="right"/>
            </w:pPr>
            <w:r>
              <w:rPr>
                <w:rFonts w:hint="eastAsia"/>
              </w:rPr>
              <w:t>1.97%</w:t>
            </w:r>
          </w:p>
        </w:tc>
        <w:tc>
          <w:tcPr>
            <w:tcW w:w="1186" w:type="dxa"/>
            <w:vAlign w:val="center"/>
          </w:tcPr>
          <w:p w14:paraId="4FE31036">
            <w:pPr>
              <w:jc w:val="right"/>
            </w:pPr>
            <w:r>
              <w:rPr>
                <w:rFonts w:hint="eastAsia"/>
              </w:rPr>
              <w:t>1,079,017,766.72</w:t>
            </w:r>
          </w:p>
        </w:tc>
        <w:tc>
          <w:tcPr>
            <w:tcW w:w="1186" w:type="dxa"/>
            <w:vAlign w:val="center"/>
          </w:tcPr>
          <w:p w14:paraId="3C30A1EA">
            <w:pPr>
              <w:jc w:val="right"/>
            </w:pPr>
            <w:r>
              <w:rPr>
                <w:rFonts w:hint="eastAsia"/>
              </w:rPr>
              <w:t>98.03%</w:t>
            </w:r>
          </w:p>
        </w:tc>
      </w:tr>
      <w:tr w14:paraId="259A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9D5EB2">
            <w:r>
              <w:rPr>
                <w:rFonts w:hint="eastAsia"/>
              </w:rPr>
              <w:t>合计</w:t>
            </w:r>
          </w:p>
        </w:tc>
        <w:tc>
          <w:tcPr>
            <w:tcW w:w="1186" w:type="dxa"/>
            <w:vAlign w:val="center"/>
          </w:tcPr>
          <w:p w14:paraId="7E7921E1">
            <w:pPr>
              <w:jc w:val="right"/>
            </w:pPr>
            <w:r>
              <w:rPr>
                <w:rFonts w:hint="eastAsia"/>
              </w:rPr>
              <w:t>6,767</w:t>
            </w:r>
          </w:p>
        </w:tc>
        <w:tc>
          <w:tcPr>
            <w:tcW w:w="1186" w:type="dxa"/>
            <w:vAlign w:val="center"/>
          </w:tcPr>
          <w:p w14:paraId="6531A5F1">
            <w:pPr>
              <w:jc w:val="right"/>
            </w:pPr>
            <w:r>
              <w:rPr>
                <w:rFonts w:hint="eastAsia"/>
              </w:rPr>
              <w:t>228,285.85</w:t>
            </w:r>
          </w:p>
        </w:tc>
        <w:tc>
          <w:tcPr>
            <w:tcW w:w="1186" w:type="dxa"/>
            <w:vAlign w:val="center"/>
          </w:tcPr>
          <w:p w14:paraId="002E3F8E">
            <w:pPr>
              <w:jc w:val="right"/>
            </w:pPr>
            <w:r>
              <w:rPr>
                <w:rFonts w:hint="eastAsia"/>
              </w:rPr>
              <w:t>50,349,594.66</w:t>
            </w:r>
          </w:p>
        </w:tc>
        <w:tc>
          <w:tcPr>
            <w:tcW w:w="1186" w:type="dxa"/>
            <w:vAlign w:val="center"/>
          </w:tcPr>
          <w:p w14:paraId="0D4E28D9">
            <w:pPr>
              <w:jc w:val="right"/>
            </w:pPr>
            <w:r>
              <w:rPr>
                <w:rFonts w:hint="eastAsia"/>
              </w:rPr>
              <w:t>3.26%</w:t>
            </w:r>
          </w:p>
        </w:tc>
        <w:tc>
          <w:tcPr>
            <w:tcW w:w="1186" w:type="dxa"/>
            <w:vAlign w:val="center"/>
          </w:tcPr>
          <w:p w14:paraId="4F1A6131">
            <w:pPr>
              <w:jc w:val="right"/>
            </w:pPr>
            <w:r>
              <w:rPr>
                <w:rFonts w:hint="eastAsia"/>
              </w:rPr>
              <w:t>1,494,460,773.90</w:t>
            </w:r>
          </w:p>
        </w:tc>
        <w:tc>
          <w:tcPr>
            <w:tcW w:w="1186" w:type="dxa"/>
            <w:vAlign w:val="center"/>
          </w:tcPr>
          <w:p w14:paraId="526D9408">
            <w:pPr>
              <w:jc w:val="right"/>
            </w:pPr>
            <w:r>
              <w:rPr>
                <w:rFonts w:hint="eastAsia"/>
              </w:rPr>
              <w:t>96.74%</w:t>
            </w:r>
          </w:p>
        </w:tc>
      </w:tr>
    </w:tbl>
    <w:p w14:paraId="3E941AF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4643E20">
      <w:pPr>
        <w:pStyle w:val="23"/>
      </w:pPr>
      <w:bookmarkStart w:id="188" w:name="_Toc1269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F0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1C882">
            <w:r>
              <w:rPr>
                <w:rFonts w:hint="eastAsia"/>
              </w:rPr>
              <w:t>项目</w:t>
            </w:r>
          </w:p>
        </w:tc>
        <w:tc>
          <w:tcPr>
            <w:tcW w:w="2076" w:type="dxa"/>
            <w:vAlign w:val="center"/>
          </w:tcPr>
          <w:p w14:paraId="4B5D70E3">
            <w:r>
              <w:rPr>
                <w:rFonts w:hint="eastAsia"/>
              </w:rPr>
              <w:t>份额级别</w:t>
            </w:r>
          </w:p>
        </w:tc>
        <w:tc>
          <w:tcPr>
            <w:tcW w:w="2076" w:type="dxa"/>
            <w:vAlign w:val="center"/>
          </w:tcPr>
          <w:p w14:paraId="0FAD333E">
            <w:r>
              <w:rPr>
                <w:rFonts w:hint="eastAsia"/>
              </w:rPr>
              <w:t>持有份额总数（份）</w:t>
            </w:r>
          </w:p>
        </w:tc>
        <w:tc>
          <w:tcPr>
            <w:tcW w:w="2076" w:type="dxa"/>
            <w:vAlign w:val="center"/>
          </w:tcPr>
          <w:p w14:paraId="72DC3A1C">
            <w:r>
              <w:rPr>
                <w:rFonts w:hint="eastAsia"/>
              </w:rPr>
              <w:t>占基金总份额比例</w:t>
            </w:r>
          </w:p>
        </w:tc>
      </w:tr>
      <w:tr w14:paraId="6993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66D93F9">
            <w:r>
              <w:rPr>
                <w:rFonts w:hint="eastAsia"/>
              </w:rPr>
              <w:t>基金管理人所有从业人员持有本基金</w:t>
            </w:r>
          </w:p>
        </w:tc>
        <w:tc>
          <w:tcPr>
            <w:tcW w:w="2076" w:type="dxa"/>
            <w:vAlign w:val="center"/>
          </w:tcPr>
          <w:p w14:paraId="6BE48FE3">
            <w:r>
              <w:rPr>
                <w:rFonts w:hint="eastAsia"/>
              </w:rPr>
              <w:t>南方稳见3个月持有混合（FOF）A</w:t>
            </w:r>
          </w:p>
        </w:tc>
        <w:tc>
          <w:tcPr>
            <w:tcW w:w="2076" w:type="dxa"/>
            <w:vAlign w:val="center"/>
          </w:tcPr>
          <w:p w14:paraId="4B94927B">
            <w:pPr>
              <w:jc w:val="right"/>
            </w:pPr>
            <w:r>
              <w:rPr>
                <w:rFonts w:hint="eastAsia"/>
              </w:rPr>
              <w:t>210,305.72</w:t>
            </w:r>
          </w:p>
        </w:tc>
        <w:tc>
          <w:tcPr>
            <w:tcW w:w="2076" w:type="dxa"/>
            <w:vAlign w:val="center"/>
          </w:tcPr>
          <w:p w14:paraId="0D6F391D">
            <w:pPr>
              <w:jc w:val="right"/>
            </w:pPr>
            <w:r>
              <w:rPr>
                <w:rFonts w:hint="eastAsia"/>
              </w:rPr>
              <w:t>0.0474%</w:t>
            </w:r>
          </w:p>
        </w:tc>
      </w:tr>
      <w:tr w14:paraId="2CE8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5390A9"/>
        </w:tc>
        <w:tc>
          <w:tcPr>
            <w:tcW w:w="2076" w:type="dxa"/>
            <w:vAlign w:val="center"/>
          </w:tcPr>
          <w:p w14:paraId="7C944605">
            <w:r>
              <w:rPr>
                <w:rFonts w:hint="eastAsia"/>
              </w:rPr>
              <w:t>南方稳见3个月持有混合（FOF）C</w:t>
            </w:r>
          </w:p>
        </w:tc>
        <w:tc>
          <w:tcPr>
            <w:tcW w:w="2076" w:type="dxa"/>
            <w:vAlign w:val="center"/>
          </w:tcPr>
          <w:p w14:paraId="20911651">
            <w:pPr>
              <w:jc w:val="right"/>
            </w:pPr>
            <w:r>
              <w:rPr>
                <w:rFonts w:hint="eastAsia"/>
              </w:rPr>
              <w:t>4,314.58</w:t>
            </w:r>
          </w:p>
        </w:tc>
        <w:tc>
          <w:tcPr>
            <w:tcW w:w="2076" w:type="dxa"/>
            <w:vAlign w:val="center"/>
          </w:tcPr>
          <w:p w14:paraId="0C05D2BD">
            <w:pPr>
              <w:jc w:val="right"/>
            </w:pPr>
            <w:r>
              <w:rPr>
                <w:rFonts w:hint="eastAsia"/>
              </w:rPr>
              <w:t>0.0004%</w:t>
            </w:r>
          </w:p>
        </w:tc>
      </w:tr>
      <w:tr w14:paraId="2480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5CF4E5"/>
        </w:tc>
        <w:tc>
          <w:tcPr>
            <w:tcW w:w="2076" w:type="dxa"/>
            <w:vAlign w:val="center"/>
          </w:tcPr>
          <w:p w14:paraId="473862F2">
            <w:r>
              <w:rPr>
                <w:rFonts w:hint="eastAsia"/>
              </w:rPr>
              <w:t>合计</w:t>
            </w:r>
          </w:p>
        </w:tc>
        <w:tc>
          <w:tcPr>
            <w:tcW w:w="2076" w:type="dxa"/>
            <w:vAlign w:val="center"/>
          </w:tcPr>
          <w:p w14:paraId="27A70269">
            <w:pPr>
              <w:jc w:val="right"/>
            </w:pPr>
            <w:r>
              <w:rPr>
                <w:rFonts w:hint="eastAsia"/>
              </w:rPr>
              <w:t>214,620.30</w:t>
            </w:r>
          </w:p>
        </w:tc>
        <w:tc>
          <w:tcPr>
            <w:tcW w:w="2076" w:type="dxa"/>
            <w:vAlign w:val="center"/>
          </w:tcPr>
          <w:p w14:paraId="7E418918">
            <w:pPr>
              <w:jc w:val="right"/>
            </w:pPr>
            <w:r>
              <w:rPr>
                <w:rFonts w:hint="eastAsia"/>
              </w:rPr>
              <w:t>0.0139%</w:t>
            </w:r>
          </w:p>
        </w:tc>
      </w:tr>
    </w:tbl>
    <w:p w14:paraId="6D4A59F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DC24F60">
      <w:pPr>
        <w:pStyle w:val="23"/>
      </w:pPr>
      <w:bookmarkStart w:id="189" w:name="_Toc10258"/>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84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6AF55">
            <w:r>
              <w:rPr>
                <w:rFonts w:hint="eastAsia"/>
              </w:rPr>
              <w:t>项目</w:t>
            </w:r>
          </w:p>
        </w:tc>
        <w:tc>
          <w:tcPr>
            <w:tcW w:w="2768" w:type="dxa"/>
            <w:vAlign w:val="center"/>
          </w:tcPr>
          <w:p w14:paraId="3540E25B">
            <w:r>
              <w:rPr>
                <w:rFonts w:hint="eastAsia"/>
              </w:rPr>
              <w:t>份额级别</w:t>
            </w:r>
          </w:p>
        </w:tc>
        <w:tc>
          <w:tcPr>
            <w:tcW w:w="2768" w:type="dxa"/>
            <w:vAlign w:val="center"/>
          </w:tcPr>
          <w:p w14:paraId="5B9857DF">
            <w:r>
              <w:rPr>
                <w:rFonts w:hint="eastAsia"/>
              </w:rPr>
              <w:t>持有基金份额总量的数量区间（万份）</w:t>
            </w:r>
          </w:p>
        </w:tc>
      </w:tr>
      <w:tr w14:paraId="68C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2F3C8B1">
            <w:r>
              <w:rPr>
                <w:rFonts w:hint="eastAsia"/>
              </w:rPr>
              <w:t>本公司高级管理人员、基金投资和研究部门负责人持有本开放式基金</w:t>
            </w:r>
          </w:p>
        </w:tc>
        <w:tc>
          <w:tcPr>
            <w:tcW w:w="2768" w:type="dxa"/>
            <w:vAlign w:val="center"/>
          </w:tcPr>
          <w:p w14:paraId="1D16A89D">
            <w:r>
              <w:rPr>
                <w:rFonts w:hint="eastAsia"/>
              </w:rPr>
              <w:t>南方稳见3个月持有混合（FOF）A</w:t>
            </w:r>
          </w:p>
        </w:tc>
        <w:tc>
          <w:tcPr>
            <w:tcW w:w="2768" w:type="dxa"/>
            <w:vAlign w:val="center"/>
          </w:tcPr>
          <w:p w14:paraId="5C707366">
            <w:pPr>
              <w:jc w:val="right"/>
            </w:pPr>
            <w:r>
              <w:rPr>
                <w:rFonts w:hint="eastAsia"/>
              </w:rPr>
              <w:t>0</w:t>
            </w:r>
          </w:p>
        </w:tc>
      </w:tr>
      <w:tr w14:paraId="4EBE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556379"/>
        </w:tc>
        <w:tc>
          <w:tcPr>
            <w:tcW w:w="2768" w:type="dxa"/>
            <w:vAlign w:val="center"/>
          </w:tcPr>
          <w:p w14:paraId="11F64E3D">
            <w:r>
              <w:rPr>
                <w:rFonts w:hint="eastAsia"/>
              </w:rPr>
              <w:t>南方稳见3个月持有混合（FOF）C</w:t>
            </w:r>
          </w:p>
        </w:tc>
        <w:tc>
          <w:tcPr>
            <w:tcW w:w="2768" w:type="dxa"/>
            <w:vAlign w:val="center"/>
          </w:tcPr>
          <w:p w14:paraId="4462181F">
            <w:pPr>
              <w:jc w:val="right"/>
            </w:pPr>
            <w:r>
              <w:rPr>
                <w:rFonts w:hint="eastAsia"/>
              </w:rPr>
              <w:t>0</w:t>
            </w:r>
          </w:p>
        </w:tc>
      </w:tr>
      <w:tr w14:paraId="2167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6AEE72"/>
        </w:tc>
        <w:tc>
          <w:tcPr>
            <w:tcW w:w="2768" w:type="dxa"/>
            <w:vAlign w:val="center"/>
          </w:tcPr>
          <w:p w14:paraId="343A372D">
            <w:r>
              <w:rPr>
                <w:rFonts w:hint="eastAsia"/>
              </w:rPr>
              <w:t>合计</w:t>
            </w:r>
          </w:p>
        </w:tc>
        <w:tc>
          <w:tcPr>
            <w:tcW w:w="2768" w:type="dxa"/>
            <w:vAlign w:val="center"/>
          </w:tcPr>
          <w:p w14:paraId="4C1DD3E1">
            <w:pPr>
              <w:jc w:val="right"/>
            </w:pPr>
            <w:r>
              <w:rPr>
                <w:rFonts w:hint="eastAsia"/>
              </w:rPr>
              <w:t>0</w:t>
            </w:r>
          </w:p>
        </w:tc>
      </w:tr>
      <w:tr w14:paraId="4636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C291B7B">
            <w:r>
              <w:rPr>
                <w:rFonts w:hint="eastAsia"/>
              </w:rPr>
              <w:t>本基金基金经理持有本开放式基金</w:t>
            </w:r>
          </w:p>
        </w:tc>
        <w:tc>
          <w:tcPr>
            <w:tcW w:w="2768" w:type="dxa"/>
            <w:vAlign w:val="center"/>
          </w:tcPr>
          <w:p w14:paraId="111C366C">
            <w:r>
              <w:rPr>
                <w:rFonts w:hint="eastAsia"/>
              </w:rPr>
              <w:t>南方稳见3个月持有混合（FOF）A</w:t>
            </w:r>
          </w:p>
        </w:tc>
        <w:tc>
          <w:tcPr>
            <w:tcW w:w="2768" w:type="dxa"/>
            <w:vAlign w:val="center"/>
          </w:tcPr>
          <w:p w14:paraId="5CFF644B">
            <w:pPr>
              <w:jc w:val="right"/>
            </w:pPr>
            <w:r>
              <w:rPr>
                <w:rFonts w:hint="eastAsia"/>
              </w:rPr>
              <w:t>0~10</w:t>
            </w:r>
          </w:p>
        </w:tc>
      </w:tr>
      <w:tr w14:paraId="7FDA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A2AC62"/>
        </w:tc>
        <w:tc>
          <w:tcPr>
            <w:tcW w:w="2768" w:type="dxa"/>
            <w:vAlign w:val="center"/>
          </w:tcPr>
          <w:p w14:paraId="47138EC1">
            <w:r>
              <w:rPr>
                <w:rFonts w:hint="eastAsia"/>
              </w:rPr>
              <w:t>南方稳见3个月持有混合（FOF）C</w:t>
            </w:r>
          </w:p>
        </w:tc>
        <w:tc>
          <w:tcPr>
            <w:tcW w:w="2768" w:type="dxa"/>
            <w:vAlign w:val="center"/>
          </w:tcPr>
          <w:p w14:paraId="320C934B">
            <w:pPr>
              <w:jc w:val="right"/>
            </w:pPr>
            <w:r>
              <w:rPr>
                <w:rFonts w:hint="eastAsia"/>
              </w:rPr>
              <w:t>0</w:t>
            </w:r>
          </w:p>
        </w:tc>
      </w:tr>
      <w:tr w14:paraId="0062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353373"/>
        </w:tc>
        <w:tc>
          <w:tcPr>
            <w:tcW w:w="2768" w:type="dxa"/>
            <w:vAlign w:val="center"/>
          </w:tcPr>
          <w:p w14:paraId="3CD65203">
            <w:r>
              <w:rPr>
                <w:rFonts w:hint="eastAsia"/>
              </w:rPr>
              <w:t>合计</w:t>
            </w:r>
          </w:p>
        </w:tc>
        <w:tc>
          <w:tcPr>
            <w:tcW w:w="2768" w:type="dxa"/>
            <w:vAlign w:val="center"/>
          </w:tcPr>
          <w:p w14:paraId="10DCDD3F">
            <w:pPr>
              <w:jc w:val="right"/>
            </w:pPr>
            <w:r>
              <w:rPr>
                <w:rFonts w:hint="eastAsia"/>
              </w:rPr>
              <w:t>0~10</w:t>
            </w:r>
          </w:p>
        </w:tc>
      </w:tr>
    </w:tbl>
    <w:p w14:paraId="3B46FE18">
      <w:pPr>
        <w:pStyle w:val="26"/>
      </w:pPr>
      <w:bookmarkStart w:id="190" w:name="_Toc27326"/>
      <w:r>
        <w:t>开放式基金份额变动</w:t>
      </w:r>
      <w:bookmarkEnd w:id="190"/>
    </w:p>
    <w:p w14:paraId="64EF341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CB2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E13C2B2">
            <w:pPr>
              <w:jc w:val="center"/>
            </w:pPr>
            <w:r>
              <w:rPr>
                <w:rFonts w:hint="eastAsia"/>
                <w:b/>
              </w:rPr>
              <w:t>项目</w:t>
            </w:r>
          </w:p>
        </w:tc>
        <w:tc>
          <w:tcPr>
            <w:tcW w:w="1799" w:type="dxa"/>
            <w:shd w:val="clear" w:color="auto" w:fill="BFBFBF"/>
            <w:vAlign w:val="center"/>
          </w:tcPr>
          <w:p w14:paraId="30037D89">
            <w:pPr>
              <w:jc w:val="center"/>
            </w:pPr>
            <w:r>
              <w:rPr>
                <w:rFonts w:hint="eastAsia"/>
                <w:b/>
              </w:rPr>
              <w:t>南方稳见3个月持有混合（FOF）A</w:t>
            </w:r>
          </w:p>
        </w:tc>
        <w:tc>
          <w:tcPr>
            <w:tcW w:w="1633" w:type="dxa"/>
            <w:shd w:val="clear" w:color="auto" w:fill="BFBFBF"/>
            <w:vAlign w:val="center"/>
          </w:tcPr>
          <w:p w14:paraId="773B60CC">
            <w:pPr>
              <w:jc w:val="center"/>
            </w:pPr>
            <w:r>
              <w:rPr>
                <w:rFonts w:hint="eastAsia"/>
                <w:b/>
              </w:rPr>
              <w:t>南方稳见3个月持有混合（FOF）C</w:t>
            </w:r>
          </w:p>
        </w:tc>
      </w:tr>
      <w:tr w14:paraId="7E1D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898B0F">
            <w:r>
              <w:rPr>
                <w:rFonts w:hint="eastAsia"/>
              </w:rPr>
              <w:t>基金合同生效日(2025年4月28日)基金份额总额</w:t>
            </w:r>
          </w:p>
        </w:tc>
        <w:tc>
          <w:tcPr>
            <w:tcW w:w="1799" w:type="dxa"/>
            <w:vAlign w:val="center"/>
          </w:tcPr>
          <w:p w14:paraId="6A90E989">
            <w:pPr>
              <w:jc w:val="right"/>
            </w:pPr>
            <w:r>
              <w:rPr>
                <w:rFonts w:hint="eastAsia"/>
              </w:rPr>
              <w:t>966,499,636.61</w:t>
            </w:r>
          </w:p>
        </w:tc>
        <w:tc>
          <w:tcPr>
            <w:tcW w:w="1633" w:type="dxa"/>
            <w:vAlign w:val="center"/>
          </w:tcPr>
          <w:p w14:paraId="57AD13D2">
            <w:pPr>
              <w:jc w:val="right"/>
            </w:pPr>
            <w:r>
              <w:rPr>
                <w:rFonts w:hint="eastAsia"/>
              </w:rPr>
              <w:t>2,659,172,467.13</w:t>
            </w:r>
          </w:p>
        </w:tc>
      </w:tr>
      <w:tr w14:paraId="1D93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9E4EFA">
            <w:r>
              <w:rPr>
                <w:rFonts w:hint="eastAsia"/>
              </w:rPr>
              <w:t>基金合同生效日起至报告期期末基金总申购份额</w:t>
            </w:r>
          </w:p>
        </w:tc>
        <w:tc>
          <w:tcPr>
            <w:tcW w:w="1799" w:type="dxa"/>
            <w:vAlign w:val="center"/>
          </w:tcPr>
          <w:p w14:paraId="612FBAEA">
            <w:pPr>
              <w:jc w:val="right"/>
            </w:pPr>
            <w:r>
              <w:rPr>
                <w:rFonts w:hint="eastAsia"/>
              </w:rPr>
              <w:t>116,431,794.20</w:t>
            </w:r>
          </w:p>
        </w:tc>
        <w:tc>
          <w:tcPr>
            <w:tcW w:w="1633" w:type="dxa"/>
            <w:vAlign w:val="center"/>
          </w:tcPr>
          <w:p w14:paraId="7C7323D7">
            <w:pPr>
              <w:jc w:val="right"/>
            </w:pPr>
            <w:r>
              <w:rPr>
                <w:rFonts w:hint="eastAsia"/>
              </w:rPr>
              <w:t>97,444,140.96</w:t>
            </w:r>
          </w:p>
        </w:tc>
      </w:tr>
      <w:tr w14:paraId="4EBB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0A05F8">
            <w:r>
              <w:rPr>
                <w:rFonts w:hint="eastAsia"/>
              </w:rPr>
              <w:t>减：基金合同生效日起至报告期期末基金总赎回份额</w:t>
            </w:r>
          </w:p>
        </w:tc>
        <w:tc>
          <w:tcPr>
            <w:tcW w:w="1799" w:type="dxa"/>
            <w:vAlign w:val="center"/>
          </w:tcPr>
          <w:p w14:paraId="4513DE42">
            <w:pPr>
              <w:jc w:val="right"/>
            </w:pPr>
            <w:r>
              <w:rPr>
                <w:rFonts w:hint="eastAsia"/>
              </w:rPr>
              <w:t>638,814,904.26</w:t>
            </w:r>
          </w:p>
        </w:tc>
        <w:tc>
          <w:tcPr>
            <w:tcW w:w="1633" w:type="dxa"/>
            <w:vAlign w:val="center"/>
          </w:tcPr>
          <w:p w14:paraId="7693A41A">
            <w:pPr>
              <w:jc w:val="right"/>
            </w:pPr>
            <w:r>
              <w:rPr>
                <w:rFonts w:hint="eastAsia"/>
              </w:rPr>
              <w:t>1,655,922,766.08</w:t>
            </w:r>
          </w:p>
        </w:tc>
      </w:tr>
      <w:tr w14:paraId="6DD3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87D0FF">
            <w:r>
              <w:rPr>
                <w:rFonts w:hint="eastAsia"/>
              </w:rPr>
              <w:t>基金合同生效日起至报告期期末基金拆分变动份额</w:t>
            </w:r>
          </w:p>
        </w:tc>
        <w:tc>
          <w:tcPr>
            <w:tcW w:w="1799" w:type="dxa"/>
            <w:vAlign w:val="center"/>
          </w:tcPr>
          <w:p w14:paraId="0CC54D04">
            <w:pPr>
              <w:jc w:val="right"/>
            </w:pPr>
            <w:r>
              <w:rPr>
                <w:rFonts w:hint="eastAsia"/>
              </w:rPr>
              <w:t>-</w:t>
            </w:r>
          </w:p>
        </w:tc>
        <w:tc>
          <w:tcPr>
            <w:tcW w:w="1633" w:type="dxa"/>
            <w:vAlign w:val="center"/>
          </w:tcPr>
          <w:p w14:paraId="4549EA99">
            <w:pPr>
              <w:jc w:val="right"/>
            </w:pPr>
            <w:r>
              <w:rPr>
                <w:rFonts w:hint="eastAsia"/>
              </w:rPr>
              <w:t>-</w:t>
            </w:r>
          </w:p>
        </w:tc>
      </w:tr>
      <w:tr w14:paraId="352A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237882">
            <w:r>
              <w:rPr>
                <w:rFonts w:hint="eastAsia"/>
              </w:rPr>
              <w:t>本报告期期末基金份额总额</w:t>
            </w:r>
          </w:p>
        </w:tc>
        <w:tc>
          <w:tcPr>
            <w:tcW w:w="1799" w:type="dxa"/>
            <w:vAlign w:val="center"/>
          </w:tcPr>
          <w:p w14:paraId="1C06DFCF">
            <w:pPr>
              <w:jc w:val="right"/>
            </w:pPr>
            <w:r>
              <w:rPr>
                <w:rFonts w:hint="eastAsia"/>
              </w:rPr>
              <w:t>444,116,526.55</w:t>
            </w:r>
          </w:p>
        </w:tc>
        <w:tc>
          <w:tcPr>
            <w:tcW w:w="1633" w:type="dxa"/>
            <w:vAlign w:val="center"/>
          </w:tcPr>
          <w:p w14:paraId="0365A85F">
            <w:pPr>
              <w:jc w:val="right"/>
            </w:pPr>
            <w:r>
              <w:rPr>
                <w:rFonts w:hint="eastAsia"/>
              </w:rPr>
              <w:t>1,100,693,842.01</w:t>
            </w:r>
          </w:p>
        </w:tc>
      </w:tr>
    </w:tbl>
    <w:p w14:paraId="25FD8653">
      <w:pPr>
        <w:pStyle w:val="26"/>
      </w:pPr>
      <w:bookmarkStart w:id="191" w:name="_Toc5763"/>
      <w:r>
        <w:t>重大事件揭示</w:t>
      </w:r>
      <w:bookmarkEnd w:id="191"/>
    </w:p>
    <w:p w14:paraId="7C8C3606">
      <w:pPr>
        <w:pStyle w:val="23"/>
      </w:pPr>
      <w:bookmarkStart w:id="192" w:name="_Toc17524"/>
      <w:r>
        <w:t>基金份额持有人大会决议</w:t>
      </w:r>
      <w:bookmarkEnd w:id="192"/>
    </w:p>
    <w:p w14:paraId="130C2415">
      <w:pPr>
        <w:pStyle w:val="18"/>
        <w:rPr>
          <w:rFonts w:hint="eastAsia"/>
        </w:rPr>
      </w:pPr>
      <w:r>
        <w:rPr>
          <w:rFonts w:hint="eastAsia"/>
        </w:rPr>
        <w:t>本报告期本基金无基金份额持有人大会决议。</w:t>
      </w:r>
    </w:p>
    <w:p w14:paraId="51F3E28E">
      <w:pPr>
        <w:pStyle w:val="23"/>
      </w:pPr>
      <w:r>
        <w:t xml:space="preserve"> </w:t>
      </w:r>
      <w:bookmarkStart w:id="193" w:name="_Toc7254"/>
      <w:r>
        <w:t>基金管理人、基金托管人的专门基金托管部门的重大人事变动</w:t>
      </w:r>
      <w:bookmarkEnd w:id="193"/>
    </w:p>
    <w:p w14:paraId="1A65FA06">
      <w:pPr>
        <w:pStyle w:val="18"/>
        <w:rPr>
          <w:rFonts w:hint="eastAsia"/>
        </w:rPr>
      </w:pPr>
      <w:r>
        <w:rPr>
          <w:rFonts w:hint="eastAsia"/>
        </w:rPr>
        <w:t>本报告期内，本基金的基金管理人未发生重大人事变动。</w:t>
      </w:r>
    </w:p>
    <w:p w14:paraId="3F94BE43">
      <w:pPr>
        <w:pStyle w:val="18"/>
        <w:rPr>
          <w:rFonts w:hint="eastAsia"/>
        </w:rPr>
      </w:pPr>
      <w:r>
        <w:rPr>
          <w:rFonts w:hint="eastAsia"/>
        </w:rPr>
        <w:t>本报告期内，基金托管人无重大人事变动。</w:t>
      </w:r>
    </w:p>
    <w:p w14:paraId="23191751">
      <w:pPr>
        <w:pStyle w:val="23"/>
      </w:pPr>
      <w:r>
        <w:t xml:space="preserve"> </w:t>
      </w:r>
      <w:bookmarkStart w:id="194" w:name="_Toc20291"/>
      <w:r>
        <w:t>涉及基金管理人、基金财产、基金托管业务的诉讼</w:t>
      </w:r>
      <w:bookmarkEnd w:id="194"/>
    </w:p>
    <w:p w14:paraId="51FE6713">
      <w:pPr>
        <w:pStyle w:val="18"/>
        <w:rPr>
          <w:rFonts w:hint="eastAsia"/>
        </w:rPr>
      </w:pPr>
      <w:r>
        <w:rPr>
          <w:rFonts w:hint="eastAsia"/>
        </w:rPr>
        <w:t>本报告期内，无涉及基金管理人主营业务的诉讼。</w:t>
      </w:r>
    </w:p>
    <w:p w14:paraId="632C3430">
      <w:pPr>
        <w:pStyle w:val="18"/>
        <w:rPr>
          <w:rFonts w:hint="eastAsia"/>
        </w:rPr>
      </w:pPr>
      <w:r>
        <w:rPr>
          <w:rFonts w:hint="eastAsia"/>
        </w:rPr>
        <w:t>本报告期内无涉及基金财产的诉讼事项。</w:t>
      </w:r>
    </w:p>
    <w:p w14:paraId="6E74EB5C">
      <w:pPr>
        <w:pStyle w:val="18"/>
        <w:rPr>
          <w:rFonts w:hint="eastAsia"/>
        </w:rPr>
      </w:pPr>
      <w:r>
        <w:rPr>
          <w:rFonts w:hint="eastAsia"/>
        </w:rPr>
        <w:t>本报告期内，无涉及基金托管业务的诉讼。</w:t>
      </w:r>
    </w:p>
    <w:p w14:paraId="7C03E0FF">
      <w:pPr>
        <w:pStyle w:val="23"/>
      </w:pPr>
      <w:bookmarkStart w:id="195" w:name="_Toc10162"/>
      <w:r>
        <w:t>基金投资策略的改变</w:t>
      </w:r>
      <w:bookmarkEnd w:id="195"/>
    </w:p>
    <w:p w14:paraId="03A7F5CF">
      <w:pPr>
        <w:pStyle w:val="18"/>
        <w:rPr>
          <w:rFonts w:hint="eastAsia"/>
        </w:rPr>
      </w:pPr>
      <w:r>
        <w:rPr>
          <w:rFonts w:hint="eastAsia"/>
        </w:rPr>
        <w:t>本报告期内本基金的投资策略未有重大变化。</w:t>
      </w:r>
    </w:p>
    <w:p w14:paraId="2EEA7161">
      <w:pPr>
        <w:pStyle w:val="23"/>
      </w:pPr>
      <w:bookmarkStart w:id="196" w:name="_Toc10228"/>
      <w:r>
        <w:t>本报告期持有的基金发生的重大影响事件</w:t>
      </w:r>
      <w:bookmarkEnd w:id="196"/>
    </w:p>
    <w:p w14:paraId="640D2238">
      <w:pPr>
        <w:pStyle w:val="18"/>
        <w:rPr>
          <w:rFonts w:hint="eastAsia"/>
        </w:rPr>
      </w:pPr>
      <w:r>
        <w:rPr>
          <w:rFonts w:hint="eastAsia"/>
        </w:rPr>
        <w:t>报告期内，南方稳见FOF所投资的子基金未发生包括转换运作方式、与其他基金合并、终止基金合同、召开基金份额持有人大会及大会表决意见等重大影响事件。</w:t>
      </w:r>
    </w:p>
    <w:p w14:paraId="40AED09F">
      <w:pPr>
        <w:pStyle w:val="23"/>
      </w:pPr>
      <w:bookmarkStart w:id="197" w:name="_Toc13039"/>
      <w:r>
        <w:t>为基金进行审计的会计师事务所情况</w:t>
      </w:r>
      <w:bookmarkEnd w:id="197"/>
    </w:p>
    <w:p w14:paraId="0F20CCB8">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本报告期本基金的审计事务所无变化；目前德勤华永会计师事务所（特殊普通合伙）已为本基金提供审计服务1年，本报告期应支付给德勤华永会计师事务所（特殊普通合伙）的报酬为人民币60,000.00元。</w:t>
      </w:r>
    </w:p>
    <w:p w14:paraId="3D71956C">
      <w:pPr>
        <w:pStyle w:val="23"/>
      </w:pPr>
      <w:bookmarkStart w:id="198" w:name="_Toc13672"/>
      <w:r>
        <w:t>管理人、托管人及相关从业人员受调查或处罚等情况</w:t>
      </w:r>
      <w:bookmarkEnd w:id="198"/>
    </w:p>
    <w:p w14:paraId="24C99780">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46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C17659">
            <w:pPr>
              <w:jc w:val="center"/>
            </w:pPr>
            <w:r>
              <w:rPr>
                <w:rFonts w:hint="eastAsia"/>
                <w:b/>
              </w:rPr>
              <w:t>管理人受调查或处罚等情况</w:t>
            </w:r>
          </w:p>
        </w:tc>
        <w:tc>
          <w:tcPr>
            <w:tcW w:w="4153" w:type="dxa"/>
            <w:shd w:val="clear" w:color="auto" w:fill="BFBFBF"/>
            <w:vAlign w:val="center"/>
          </w:tcPr>
          <w:p w14:paraId="52687822">
            <w:pPr>
              <w:jc w:val="center"/>
            </w:pPr>
            <w:r>
              <w:rPr>
                <w:rFonts w:hint="eastAsia"/>
                <w:b/>
              </w:rPr>
              <w:t>内容</w:t>
            </w:r>
          </w:p>
        </w:tc>
      </w:tr>
      <w:tr w14:paraId="195F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E8C54A">
            <w:r>
              <w:rPr>
                <w:rFonts w:hint="eastAsia"/>
              </w:rPr>
              <w:t>受到调查或处罚等措施的主体</w:t>
            </w:r>
          </w:p>
        </w:tc>
        <w:tc>
          <w:tcPr>
            <w:tcW w:w="4153" w:type="dxa"/>
            <w:vAlign w:val="center"/>
          </w:tcPr>
          <w:p w14:paraId="168D1320">
            <w:r>
              <w:rPr>
                <w:rFonts w:hint="eastAsia"/>
              </w:rPr>
              <w:t>管理人</w:t>
            </w:r>
          </w:p>
        </w:tc>
      </w:tr>
      <w:tr w14:paraId="7587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BC7A22">
            <w:r>
              <w:rPr>
                <w:rFonts w:hint="eastAsia"/>
              </w:rPr>
              <w:t>受到调查或处罚等措施的时间</w:t>
            </w:r>
          </w:p>
        </w:tc>
        <w:tc>
          <w:tcPr>
            <w:tcW w:w="4153" w:type="dxa"/>
            <w:vAlign w:val="center"/>
          </w:tcPr>
          <w:p w14:paraId="1C2933B8">
            <w:pPr>
              <w:rPr>
                <w:rFonts w:hint="eastAsia"/>
              </w:rPr>
            </w:pPr>
            <w:r>
              <w:rPr>
                <w:rFonts w:hint="eastAsia"/>
              </w:rPr>
              <w:t>2025-10-17；
</w:t>
            </w:r>
            <w:r>
              <w:rPr>
                <w:rFonts w:hint="eastAsia"/>
              </w:rPr>
              <w:br w:type="textWrapping"/>
            </w:r>
            <w:r>
              <w:rPr>
                <w:rFonts w:hint="eastAsia"/>
              </w:rPr>
              <w:t>2025-11-18</w:t>
            </w:r>
          </w:p>
        </w:tc>
      </w:tr>
      <w:tr w14:paraId="2692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7FFB8">
            <w:r>
              <w:rPr>
                <w:rFonts w:hint="eastAsia"/>
              </w:rPr>
              <w:t>采取调查或处罚等措施的机构</w:t>
            </w:r>
          </w:p>
        </w:tc>
        <w:tc>
          <w:tcPr>
            <w:tcW w:w="4153" w:type="dxa"/>
            <w:vAlign w:val="center"/>
          </w:tcPr>
          <w:p w14:paraId="1D0F6E7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0FE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BF550">
            <w:r>
              <w:rPr>
                <w:rFonts w:hint="eastAsia"/>
              </w:rPr>
              <w:t>受到调查或处罚等措施类型</w:t>
            </w:r>
          </w:p>
        </w:tc>
        <w:tc>
          <w:tcPr>
            <w:tcW w:w="4153" w:type="dxa"/>
            <w:vAlign w:val="center"/>
          </w:tcPr>
          <w:p w14:paraId="2A7B459B">
            <w:pPr>
              <w:rPr>
                <w:rFonts w:hint="eastAsia"/>
              </w:rPr>
            </w:pPr>
            <w:r>
              <w:rPr>
                <w:rFonts w:hint="eastAsia"/>
              </w:rPr>
              <w:t>行政监管措施；
</w:t>
            </w:r>
            <w:r>
              <w:rPr>
                <w:rFonts w:hint="eastAsia"/>
              </w:rPr>
              <w:br w:type="textWrapping"/>
            </w:r>
            <w:r>
              <w:rPr>
                <w:rFonts w:hint="eastAsia"/>
              </w:rPr>
              <w:t>行政处罚</w:t>
            </w:r>
          </w:p>
        </w:tc>
      </w:tr>
      <w:tr w14:paraId="444F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B05057">
            <w:r>
              <w:rPr>
                <w:rFonts w:hint="eastAsia"/>
              </w:rPr>
              <w:t>受到的具体措施类型</w:t>
            </w:r>
          </w:p>
        </w:tc>
        <w:tc>
          <w:tcPr>
            <w:tcW w:w="4153" w:type="dxa"/>
            <w:vAlign w:val="center"/>
          </w:tcPr>
          <w:p w14:paraId="459A94B8">
            <w:pPr>
              <w:rPr>
                <w:rFonts w:hint="eastAsia"/>
              </w:rPr>
            </w:pPr>
            <w:r>
              <w:rPr>
                <w:rFonts w:hint="eastAsia"/>
              </w:rPr>
              <w:t>责令改正；
</w:t>
            </w:r>
            <w:r>
              <w:rPr>
                <w:rFonts w:hint="eastAsia"/>
              </w:rPr>
              <w:br w:type="textWrapping"/>
            </w:r>
            <w:r>
              <w:rPr>
                <w:rFonts w:hint="eastAsia"/>
              </w:rPr>
              <w:t>警告、罚款</w:t>
            </w:r>
          </w:p>
        </w:tc>
      </w:tr>
      <w:tr w14:paraId="1F60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EE9BA8">
            <w:r>
              <w:rPr>
                <w:rFonts w:hint="eastAsia"/>
              </w:rPr>
              <w:t>受到调查或处罚等措施的原因</w:t>
            </w:r>
          </w:p>
        </w:tc>
        <w:tc>
          <w:tcPr>
            <w:tcW w:w="4153" w:type="dxa"/>
            <w:vAlign w:val="center"/>
          </w:tcPr>
          <w:p w14:paraId="0273120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0F1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B7A23">
            <w:r>
              <w:rPr>
                <w:rFonts w:hint="eastAsia"/>
              </w:rPr>
              <w:t>受到处罚的依据</w:t>
            </w:r>
          </w:p>
        </w:tc>
        <w:tc>
          <w:tcPr>
            <w:tcW w:w="4153" w:type="dxa"/>
            <w:vAlign w:val="center"/>
          </w:tcPr>
          <w:p w14:paraId="66572AA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A1A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16C30">
            <w:r>
              <w:rPr>
                <w:rFonts w:hint="eastAsia"/>
              </w:rPr>
              <w:t>管理人采取整改措施的情况</w:t>
            </w:r>
          </w:p>
        </w:tc>
        <w:tc>
          <w:tcPr>
            <w:tcW w:w="4153" w:type="dxa"/>
            <w:vAlign w:val="center"/>
          </w:tcPr>
          <w:p w14:paraId="2E85707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021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4BB29">
            <w:r>
              <w:rPr>
                <w:rFonts w:hint="eastAsia"/>
              </w:rPr>
              <w:t>其他</w:t>
            </w:r>
          </w:p>
        </w:tc>
        <w:tc>
          <w:tcPr>
            <w:tcW w:w="4153" w:type="dxa"/>
            <w:vAlign w:val="center"/>
          </w:tcPr>
          <w:p w14:paraId="689247E2">
            <w:r>
              <w:rPr>
                <w:rFonts w:hint="eastAsia"/>
              </w:rPr>
              <w:t>-</w:t>
            </w:r>
          </w:p>
        </w:tc>
      </w:tr>
    </w:tbl>
    <w:p w14:paraId="6F7F0026">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22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3061F3A">
            <w:pPr>
              <w:jc w:val="center"/>
            </w:pPr>
            <w:r>
              <w:rPr>
                <w:rFonts w:hint="eastAsia"/>
                <w:b/>
              </w:rPr>
              <w:t>管理人相关从业人员受调查或处罚等情况</w:t>
            </w:r>
          </w:p>
        </w:tc>
        <w:tc>
          <w:tcPr>
            <w:tcW w:w="4153" w:type="dxa"/>
            <w:shd w:val="clear" w:color="auto" w:fill="BFBFBF"/>
            <w:vAlign w:val="center"/>
          </w:tcPr>
          <w:p w14:paraId="5AECED80">
            <w:pPr>
              <w:jc w:val="center"/>
            </w:pPr>
            <w:r>
              <w:rPr>
                <w:rFonts w:hint="eastAsia"/>
                <w:b/>
              </w:rPr>
              <w:t>内容</w:t>
            </w:r>
          </w:p>
        </w:tc>
      </w:tr>
      <w:tr w14:paraId="5100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D5704">
            <w:r>
              <w:rPr>
                <w:rFonts w:hint="eastAsia"/>
              </w:rPr>
              <w:t>受到调查或处罚等措施的主体</w:t>
            </w:r>
          </w:p>
        </w:tc>
        <w:tc>
          <w:tcPr>
            <w:tcW w:w="4153" w:type="dxa"/>
            <w:vAlign w:val="center"/>
          </w:tcPr>
          <w:p w14:paraId="436566F3">
            <w:r>
              <w:rPr>
                <w:rFonts w:hint="eastAsia"/>
              </w:rPr>
              <w:t>高级管理人员</w:t>
            </w:r>
          </w:p>
        </w:tc>
      </w:tr>
      <w:tr w14:paraId="093D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F3394">
            <w:r>
              <w:rPr>
                <w:rFonts w:hint="eastAsia"/>
              </w:rPr>
              <w:t>受到调查或处罚等措施的时间</w:t>
            </w:r>
          </w:p>
        </w:tc>
        <w:tc>
          <w:tcPr>
            <w:tcW w:w="4153" w:type="dxa"/>
            <w:vAlign w:val="center"/>
          </w:tcPr>
          <w:p w14:paraId="0979E768">
            <w:r>
              <w:rPr>
                <w:rFonts w:hint="eastAsia"/>
              </w:rPr>
              <w:t>2025-10-17</w:t>
            </w:r>
          </w:p>
        </w:tc>
      </w:tr>
      <w:tr w14:paraId="433A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97DA0F">
            <w:r>
              <w:rPr>
                <w:rFonts w:hint="eastAsia"/>
              </w:rPr>
              <w:t>采取调查或处罚等措施的机构</w:t>
            </w:r>
          </w:p>
        </w:tc>
        <w:tc>
          <w:tcPr>
            <w:tcW w:w="4153" w:type="dxa"/>
            <w:vAlign w:val="center"/>
          </w:tcPr>
          <w:p w14:paraId="2B22E527">
            <w:r>
              <w:rPr>
                <w:rFonts w:hint="eastAsia"/>
              </w:rPr>
              <w:t>中国证监会深圳监管局</w:t>
            </w:r>
          </w:p>
        </w:tc>
      </w:tr>
      <w:tr w14:paraId="79FF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FC12F">
            <w:r>
              <w:rPr>
                <w:rFonts w:hint="eastAsia"/>
              </w:rPr>
              <w:t>受到调查或处罚等措施类型</w:t>
            </w:r>
          </w:p>
        </w:tc>
        <w:tc>
          <w:tcPr>
            <w:tcW w:w="4153" w:type="dxa"/>
            <w:vAlign w:val="center"/>
          </w:tcPr>
          <w:p w14:paraId="0BC46302">
            <w:r>
              <w:rPr>
                <w:rFonts w:hint="eastAsia"/>
              </w:rPr>
              <w:t>行政监管措施</w:t>
            </w:r>
          </w:p>
        </w:tc>
      </w:tr>
      <w:tr w14:paraId="03DE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E8853">
            <w:r>
              <w:rPr>
                <w:rFonts w:hint="eastAsia"/>
              </w:rPr>
              <w:t>受到的具体措施类型</w:t>
            </w:r>
          </w:p>
        </w:tc>
        <w:tc>
          <w:tcPr>
            <w:tcW w:w="4153" w:type="dxa"/>
            <w:vAlign w:val="center"/>
          </w:tcPr>
          <w:p w14:paraId="6F54C66C">
            <w:r>
              <w:rPr>
                <w:rFonts w:hint="eastAsia"/>
              </w:rPr>
              <w:t>出具警示函</w:t>
            </w:r>
          </w:p>
        </w:tc>
      </w:tr>
      <w:tr w14:paraId="49A7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49F0C5">
            <w:r>
              <w:rPr>
                <w:rFonts w:hint="eastAsia"/>
              </w:rPr>
              <w:t>受到调查或处罚等措施的原因</w:t>
            </w:r>
          </w:p>
        </w:tc>
        <w:tc>
          <w:tcPr>
            <w:tcW w:w="4153" w:type="dxa"/>
            <w:vAlign w:val="center"/>
          </w:tcPr>
          <w:p w14:paraId="4D7DCBBA">
            <w:r>
              <w:rPr>
                <w:rFonts w:hint="eastAsia"/>
              </w:rPr>
              <w:t>人员管理、其他问题(销售管理)</w:t>
            </w:r>
          </w:p>
        </w:tc>
      </w:tr>
      <w:tr w14:paraId="54D2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F4C6E6">
            <w:r>
              <w:rPr>
                <w:rFonts w:hint="eastAsia"/>
              </w:rPr>
              <w:t>受到处罚的依据</w:t>
            </w:r>
          </w:p>
        </w:tc>
        <w:tc>
          <w:tcPr>
            <w:tcW w:w="4153" w:type="dxa"/>
            <w:vAlign w:val="center"/>
          </w:tcPr>
          <w:p w14:paraId="2218118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704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960D0">
            <w:r>
              <w:rPr>
                <w:rFonts w:hint="eastAsia"/>
              </w:rPr>
              <w:t>管理人采取整改措施的情况（如提出整改意见）</w:t>
            </w:r>
          </w:p>
        </w:tc>
        <w:tc>
          <w:tcPr>
            <w:tcW w:w="4153" w:type="dxa"/>
            <w:vAlign w:val="center"/>
          </w:tcPr>
          <w:p w14:paraId="61AAA3BB">
            <w:r>
              <w:rPr>
                <w:rFonts w:hint="eastAsia"/>
              </w:rPr>
              <w:t>截至报告期末公司已通过完善制度、优化流程等整改措施完成整改，整改成果已经中国证监会深圳监管局验收通过</w:t>
            </w:r>
          </w:p>
        </w:tc>
      </w:tr>
      <w:tr w14:paraId="34FB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782953">
            <w:r>
              <w:rPr>
                <w:rFonts w:hint="eastAsia"/>
              </w:rPr>
              <w:t>其他</w:t>
            </w:r>
          </w:p>
        </w:tc>
        <w:tc>
          <w:tcPr>
            <w:tcW w:w="4153" w:type="dxa"/>
            <w:vAlign w:val="center"/>
          </w:tcPr>
          <w:p w14:paraId="6581A580">
            <w:pPr>
              <w:jc w:val="right"/>
            </w:pPr>
            <w:r>
              <w:rPr>
                <w:rFonts w:hint="eastAsia"/>
              </w:rPr>
              <w:t>-</w:t>
            </w:r>
          </w:p>
        </w:tc>
      </w:tr>
    </w:tbl>
    <w:p w14:paraId="7EB62254">
      <w:pPr>
        <w:pStyle w:val="28"/>
      </w:pPr>
      <w:bookmarkStart w:id="201" w:name="_Toc201"/>
      <w:r>
        <w:t>托管人受调查或处罚等情况</w:t>
      </w:r>
      <w:bookmarkEnd w:id="201"/>
    </w:p>
    <w:p w14:paraId="6C986CF2">
      <w:pPr>
        <w:pStyle w:val="18"/>
        <w:rPr>
          <w:rFonts w:hint="eastAsia"/>
        </w:rPr>
      </w:pPr>
      <w:r>
        <w:rPr>
          <w:rFonts w:hint="eastAsia"/>
        </w:rPr>
        <w:t>本报告期内，基金托管人没有受到监管部门调查或处罚。</w:t>
      </w:r>
    </w:p>
    <w:p w14:paraId="59C0A512">
      <w:pPr>
        <w:pStyle w:val="28"/>
      </w:pPr>
      <w:bookmarkStart w:id="202" w:name="_Toc202"/>
      <w:r>
        <w:t>托管人相关从业人员受调查或处罚等情况</w:t>
      </w:r>
      <w:bookmarkEnd w:id="202"/>
    </w:p>
    <w:p w14:paraId="26EBA416">
      <w:pPr>
        <w:pStyle w:val="18"/>
        <w:rPr>
          <w:rFonts w:hint="eastAsia"/>
        </w:rPr>
      </w:pPr>
      <w:r>
        <w:rPr>
          <w:rFonts w:hint="eastAsia"/>
        </w:rPr>
        <w:t>本报告期内，基金托管人相关从业人员没有受到监管部门调查或处罚。</w:t>
      </w:r>
    </w:p>
    <w:p w14:paraId="2BEDEFB8">
      <w:pPr>
        <w:pStyle w:val="23"/>
      </w:pPr>
      <w:bookmarkStart w:id="203" w:name="_Toc12206"/>
      <w:r>
        <w:t>基金租用证券公司交易单元的有关情况</w:t>
      </w:r>
      <w:bookmarkEnd w:id="203"/>
    </w:p>
    <w:p w14:paraId="0428D117">
      <w:pPr>
        <w:pStyle w:val="28"/>
      </w:pPr>
      <w:bookmarkStart w:id="204" w:name="_Toc204"/>
      <w:r>
        <w:t>基金租用证券公司交易单元进行股票投资及佣金支付情况</w:t>
      </w:r>
      <w:bookmarkEnd w:id="204"/>
    </w:p>
    <w:p w14:paraId="2AFB8E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0BE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3DB865D">
            <w:pPr>
              <w:jc w:val="center"/>
            </w:pPr>
            <w:r>
              <w:rPr>
                <w:rFonts w:hint="eastAsia"/>
                <w:b/>
              </w:rPr>
              <w:t>券商名称</w:t>
            </w:r>
          </w:p>
        </w:tc>
        <w:tc>
          <w:tcPr>
            <w:tcW w:w="775" w:type="dxa"/>
            <w:vMerge w:val="restart"/>
            <w:shd w:val="clear" w:color="auto" w:fill="BFBFBF"/>
            <w:vAlign w:val="center"/>
          </w:tcPr>
          <w:p w14:paraId="2813A298">
            <w:pPr>
              <w:jc w:val="center"/>
            </w:pPr>
            <w:r>
              <w:rPr>
                <w:rFonts w:hint="eastAsia"/>
                <w:b/>
              </w:rPr>
              <w:t>交易单元数量</w:t>
            </w:r>
          </w:p>
        </w:tc>
        <w:tc>
          <w:tcPr>
            <w:tcW w:w="1699" w:type="dxa"/>
            <w:gridSpan w:val="2"/>
            <w:shd w:val="clear" w:color="auto" w:fill="BFBFBF"/>
            <w:vAlign w:val="center"/>
          </w:tcPr>
          <w:p w14:paraId="1E06069A">
            <w:pPr>
              <w:jc w:val="center"/>
            </w:pPr>
            <w:r>
              <w:rPr>
                <w:rFonts w:hint="eastAsia"/>
                <w:b/>
              </w:rPr>
              <w:t>股票交易</w:t>
            </w:r>
          </w:p>
        </w:tc>
        <w:tc>
          <w:tcPr>
            <w:tcW w:w="1312" w:type="dxa"/>
            <w:gridSpan w:val="2"/>
            <w:shd w:val="clear" w:color="auto" w:fill="BFBFBF"/>
            <w:vAlign w:val="center"/>
          </w:tcPr>
          <w:p w14:paraId="7A43D57E">
            <w:pPr>
              <w:jc w:val="center"/>
            </w:pPr>
            <w:r>
              <w:rPr>
                <w:rFonts w:hint="eastAsia"/>
                <w:b/>
              </w:rPr>
              <w:t>应支付该券商的佣金</w:t>
            </w:r>
          </w:p>
        </w:tc>
        <w:tc>
          <w:tcPr>
            <w:tcW w:w="946" w:type="dxa"/>
            <w:vMerge w:val="restart"/>
            <w:shd w:val="clear" w:color="auto" w:fill="BFBFBF"/>
            <w:vAlign w:val="center"/>
          </w:tcPr>
          <w:p w14:paraId="6A527716">
            <w:pPr>
              <w:jc w:val="center"/>
            </w:pPr>
            <w:r>
              <w:rPr>
                <w:rFonts w:hint="eastAsia"/>
                <w:b/>
              </w:rPr>
              <w:t>备注</w:t>
            </w:r>
          </w:p>
        </w:tc>
      </w:tr>
      <w:tr w14:paraId="6BBA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7A39279"/>
        </w:tc>
        <w:tc>
          <w:tcPr>
            <w:tcW w:w="775" w:type="dxa"/>
            <w:vMerge w:val="continue"/>
            <w:vAlign w:val="center"/>
          </w:tcPr>
          <w:p w14:paraId="7A144891"/>
        </w:tc>
        <w:tc>
          <w:tcPr>
            <w:tcW w:w="1699" w:type="dxa"/>
            <w:shd w:val="clear" w:color="auto" w:fill="BFBFBF"/>
            <w:vAlign w:val="center"/>
          </w:tcPr>
          <w:p w14:paraId="3DA2F4C3">
            <w:pPr>
              <w:jc w:val="center"/>
            </w:pPr>
            <w:r>
              <w:rPr>
                <w:rFonts w:hint="eastAsia"/>
                <w:b/>
              </w:rPr>
              <w:t>成交金额</w:t>
            </w:r>
          </w:p>
        </w:tc>
        <w:tc>
          <w:tcPr>
            <w:tcW w:w="1201" w:type="dxa"/>
            <w:shd w:val="clear" w:color="auto" w:fill="BFBFBF"/>
            <w:vAlign w:val="center"/>
          </w:tcPr>
          <w:p w14:paraId="1DD6C8EE">
            <w:pPr>
              <w:jc w:val="center"/>
            </w:pPr>
            <w:r>
              <w:rPr>
                <w:rFonts w:hint="eastAsia"/>
                <w:b/>
              </w:rPr>
              <w:t>占当期股票成交总额的比例</w:t>
            </w:r>
          </w:p>
        </w:tc>
        <w:tc>
          <w:tcPr>
            <w:tcW w:w="1312" w:type="dxa"/>
            <w:shd w:val="clear" w:color="auto" w:fill="BFBFBF"/>
            <w:vAlign w:val="center"/>
          </w:tcPr>
          <w:p w14:paraId="05BE57AF">
            <w:pPr>
              <w:jc w:val="center"/>
            </w:pPr>
            <w:r>
              <w:rPr>
                <w:rFonts w:hint="eastAsia"/>
                <w:b/>
              </w:rPr>
              <w:t>佣金</w:t>
            </w:r>
          </w:p>
        </w:tc>
        <w:tc>
          <w:tcPr>
            <w:tcW w:w="1256" w:type="dxa"/>
            <w:shd w:val="clear" w:color="auto" w:fill="BFBFBF"/>
            <w:vAlign w:val="center"/>
          </w:tcPr>
          <w:p w14:paraId="4108A472">
            <w:pPr>
              <w:jc w:val="center"/>
            </w:pPr>
            <w:r>
              <w:rPr>
                <w:rFonts w:hint="eastAsia"/>
                <w:b/>
              </w:rPr>
              <w:t>占当期佣金总量的比例</w:t>
            </w:r>
          </w:p>
        </w:tc>
        <w:tc>
          <w:tcPr>
            <w:tcW w:w="946" w:type="dxa"/>
            <w:vMerge w:val="continue"/>
            <w:vAlign w:val="center"/>
          </w:tcPr>
          <w:p w14:paraId="662021DF"/>
        </w:tc>
      </w:tr>
      <w:tr w14:paraId="7192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2DC80C">
            <w:r>
              <w:rPr>
                <w:rFonts w:hint="eastAsia"/>
              </w:rPr>
              <w:t>华泰证券</w:t>
            </w:r>
          </w:p>
        </w:tc>
        <w:tc>
          <w:tcPr>
            <w:tcW w:w="775" w:type="dxa"/>
            <w:vAlign w:val="center"/>
          </w:tcPr>
          <w:p w14:paraId="1B5A6DBB">
            <w:pPr>
              <w:jc w:val="right"/>
            </w:pPr>
            <w:r>
              <w:rPr>
                <w:rFonts w:hint="eastAsia"/>
              </w:rPr>
              <w:t>2</w:t>
            </w:r>
          </w:p>
        </w:tc>
        <w:tc>
          <w:tcPr>
            <w:tcW w:w="1699" w:type="dxa"/>
            <w:vAlign w:val="center"/>
          </w:tcPr>
          <w:p w14:paraId="0DA3310F">
            <w:pPr>
              <w:jc w:val="right"/>
            </w:pPr>
            <w:r>
              <w:rPr>
                <w:rFonts w:hint="eastAsia"/>
              </w:rPr>
              <w:t>-</w:t>
            </w:r>
          </w:p>
        </w:tc>
        <w:tc>
          <w:tcPr>
            <w:tcW w:w="1201" w:type="dxa"/>
            <w:vAlign w:val="center"/>
          </w:tcPr>
          <w:p w14:paraId="10034CD9">
            <w:pPr>
              <w:jc w:val="right"/>
            </w:pPr>
            <w:r>
              <w:rPr>
                <w:rFonts w:hint="eastAsia"/>
              </w:rPr>
              <w:t>-</w:t>
            </w:r>
          </w:p>
        </w:tc>
        <w:tc>
          <w:tcPr>
            <w:tcW w:w="1312" w:type="dxa"/>
            <w:vAlign w:val="center"/>
          </w:tcPr>
          <w:p w14:paraId="148F4AB5">
            <w:pPr>
              <w:jc w:val="right"/>
            </w:pPr>
            <w:r>
              <w:rPr>
                <w:rFonts w:hint="eastAsia"/>
              </w:rPr>
              <w:t>-</w:t>
            </w:r>
          </w:p>
        </w:tc>
        <w:tc>
          <w:tcPr>
            <w:tcW w:w="1256" w:type="dxa"/>
            <w:vAlign w:val="center"/>
          </w:tcPr>
          <w:p w14:paraId="726E7E81">
            <w:pPr>
              <w:jc w:val="right"/>
            </w:pPr>
            <w:r>
              <w:rPr>
                <w:rFonts w:hint="eastAsia"/>
              </w:rPr>
              <w:t>-</w:t>
            </w:r>
          </w:p>
        </w:tc>
        <w:tc>
          <w:tcPr>
            <w:tcW w:w="946" w:type="dxa"/>
            <w:vAlign w:val="center"/>
          </w:tcPr>
          <w:p w14:paraId="495C48F7">
            <w:pPr>
              <w:jc w:val="right"/>
            </w:pPr>
            <w:r>
              <w:rPr>
                <w:rFonts w:hint="eastAsia"/>
              </w:rPr>
              <w:t>-</w:t>
            </w:r>
          </w:p>
        </w:tc>
      </w:tr>
      <w:tr w14:paraId="18AF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DFFD1E">
            <w:r>
              <w:rPr>
                <w:rFonts w:hint="eastAsia"/>
              </w:rPr>
              <w:t>广发证券</w:t>
            </w:r>
          </w:p>
        </w:tc>
        <w:tc>
          <w:tcPr>
            <w:tcW w:w="775" w:type="dxa"/>
            <w:vAlign w:val="center"/>
          </w:tcPr>
          <w:p w14:paraId="39250377">
            <w:pPr>
              <w:jc w:val="right"/>
            </w:pPr>
            <w:r>
              <w:rPr>
                <w:rFonts w:hint="eastAsia"/>
              </w:rPr>
              <w:t>1</w:t>
            </w:r>
          </w:p>
        </w:tc>
        <w:tc>
          <w:tcPr>
            <w:tcW w:w="1699" w:type="dxa"/>
            <w:vAlign w:val="center"/>
          </w:tcPr>
          <w:p w14:paraId="2910CEC5">
            <w:pPr>
              <w:jc w:val="right"/>
            </w:pPr>
            <w:r>
              <w:rPr>
                <w:rFonts w:hint="eastAsia"/>
              </w:rPr>
              <w:t>-</w:t>
            </w:r>
          </w:p>
        </w:tc>
        <w:tc>
          <w:tcPr>
            <w:tcW w:w="1201" w:type="dxa"/>
            <w:vAlign w:val="center"/>
          </w:tcPr>
          <w:p w14:paraId="619BF5FD">
            <w:pPr>
              <w:jc w:val="right"/>
            </w:pPr>
            <w:r>
              <w:rPr>
                <w:rFonts w:hint="eastAsia"/>
              </w:rPr>
              <w:t>-</w:t>
            </w:r>
          </w:p>
        </w:tc>
        <w:tc>
          <w:tcPr>
            <w:tcW w:w="1312" w:type="dxa"/>
            <w:vAlign w:val="center"/>
          </w:tcPr>
          <w:p w14:paraId="1AA37C02">
            <w:pPr>
              <w:jc w:val="right"/>
            </w:pPr>
            <w:r>
              <w:rPr>
                <w:rFonts w:hint="eastAsia"/>
              </w:rPr>
              <w:t>-</w:t>
            </w:r>
          </w:p>
        </w:tc>
        <w:tc>
          <w:tcPr>
            <w:tcW w:w="1256" w:type="dxa"/>
            <w:vAlign w:val="center"/>
          </w:tcPr>
          <w:p w14:paraId="438F3F31">
            <w:pPr>
              <w:jc w:val="right"/>
            </w:pPr>
            <w:r>
              <w:rPr>
                <w:rFonts w:hint="eastAsia"/>
              </w:rPr>
              <w:t>-</w:t>
            </w:r>
          </w:p>
        </w:tc>
        <w:tc>
          <w:tcPr>
            <w:tcW w:w="946" w:type="dxa"/>
            <w:vAlign w:val="center"/>
          </w:tcPr>
          <w:p w14:paraId="1A7D6F60">
            <w:pPr>
              <w:jc w:val="right"/>
            </w:pPr>
            <w:r>
              <w:rPr>
                <w:rFonts w:hint="eastAsia"/>
              </w:rPr>
              <w:t>-</w:t>
            </w:r>
          </w:p>
        </w:tc>
      </w:tr>
      <w:tr w14:paraId="3499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763935">
            <w:r>
              <w:rPr>
                <w:rFonts w:hint="eastAsia"/>
              </w:rPr>
              <w:t>招商证券</w:t>
            </w:r>
          </w:p>
        </w:tc>
        <w:tc>
          <w:tcPr>
            <w:tcW w:w="775" w:type="dxa"/>
            <w:vAlign w:val="center"/>
          </w:tcPr>
          <w:p w14:paraId="07897B9C">
            <w:pPr>
              <w:jc w:val="right"/>
            </w:pPr>
            <w:r>
              <w:rPr>
                <w:rFonts w:hint="eastAsia"/>
              </w:rPr>
              <w:t>1</w:t>
            </w:r>
          </w:p>
        </w:tc>
        <w:tc>
          <w:tcPr>
            <w:tcW w:w="1699" w:type="dxa"/>
            <w:vAlign w:val="center"/>
          </w:tcPr>
          <w:p w14:paraId="57AE8323">
            <w:pPr>
              <w:jc w:val="right"/>
            </w:pPr>
            <w:r>
              <w:rPr>
                <w:rFonts w:hint="eastAsia"/>
              </w:rPr>
              <w:t>-</w:t>
            </w:r>
          </w:p>
        </w:tc>
        <w:tc>
          <w:tcPr>
            <w:tcW w:w="1201" w:type="dxa"/>
            <w:vAlign w:val="center"/>
          </w:tcPr>
          <w:p w14:paraId="29FC5570">
            <w:pPr>
              <w:jc w:val="right"/>
            </w:pPr>
            <w:r>
              <w:rPr>
                <w:rFonts w:hint="eastAsia"/>
              </w:rPr>
              <w:t>-</w:t>
            </w:r>
          </w:p>
        </w:tc>
        <w:tc>
          <w:tcPr>
            <w:tcW w:w="1312" w:type="dxa"/>
            <w:vAlign w:val="center"/>
          </w:tcPr>
          <w:p w14:paraId="5BA83683">
            <w:pPr>
              <w:jc w:val="right"/>
            </w:pPr>
            <w:r>
              <w:rPr>
                <w:rFonts w:hint="eastAsia"/>
              </w:rPr>
              <w:t>-</w:t>
            </w:r>
          </w:p>
        </w:tc>
        <w:tc>
          <w:tcPr>
            <w:tcW w:w="1256" w:type="dxa"/>
            <w:vAlign w:val="center"/>
          </w:tcPr>
          <w:p w14:paraId="2440DF56">
            <w:pPr>
              <w:jc w:val="right"/>
            </w:pPr>
            <w:r>
              <w:rPr>
                <w:rFonts w:hint="eastAsia"/>
              </w:rPr>
              <w:t>-</w:t>
            </w:r>
          </w:p>
        </w:tc>
        <w:tc>
          <w:tcPr>
            <w:tcW w:w="946" w:type="dxa"/>
            <w:vAlign w:val="center"/>
          </w:tcPr>
          <w:p w14:paraId="77752561">
            <w:pPr>
              <w:jc w:val="right"/>
            </w:pPr>
            <w:r>
              <w:rPr>
                <w:rFonts w:hint="eastAsia"/>
              </w:rPr>
              <w:t>-</w:t>
            </w:r>
          </w:p>
        </w:tc>
      </w:tr>
      <w:tr w14:paraId="4579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3B0864">
            <w:r>
              <w:rPr>
                <w:rFonts w:hint="eastAsia"/>
              </w:rPr>
              <w:t>中金公司</w:t>
            </w:r>
          </w:p>
        </w:tc>
        <w:tc>
          <w:tcPr>
            <w:tcW w:w="775" w:type="dxa"/>
            <w:vAlign w:val="center"/>
          </w:tcPr>
          <w:p w14:paraId="70B621D8">
            <w:pPr>
              <w:jc w:val="right"/>
            </w:pPr>
            <w:r>
              <w:rPr>
                <w:rFonts w:hint="eastAsia"/>
              </w:rPr>
              <w:t>1</w:t>
            </w:r>
          </w:p>
        </w:tc>
        <w:tc>
          <w:tcPr>
            <w:tcW w:w="1699" w:type="dxa"/>
            <w:vAlign w:val="center"/>
          </w:tcPr>
          <w:p w14:paraId="4DB7AC81">
            <w:pPr>
              <w:jc w:val="right"/>
            </w:pPr>
            <w:r>
              <w:rPr>
                <w:rFonts w:hint="eastAsia"/>
              </w:rPr>
              <w:t>-</w:t>
            </w:r>
          </w:p>
        </w:tc>
        <w:tc>
          <w:tcPr>
            <w:tcW w:w="1201" w:type="dxa"/>
            <w:vAlign w:val="center"/>
          </w:tcPr>
          <w:p w14:paraId="137A95D0">
            <w:pPr>
              <w:jc w:val="right"/>
            </w:pPr>
            <w:r>
              <w:rPr>
                <w:rFonts w:hint="eastAsia"/>
              </w:rPr>
              <w:t>-</w:t>
            </w:r>
          </w:p>
        </w:tc>
        <w:tc>
          <w:tcPr>
            <w:tcW w:w="1312" w:type="dxa"/>
            <w:vAlign w:val="center"/>
          </w:tcPr>
          <w:p w14:paraId="1D7353F8">
            <w:pPr>
              <w:jc w:val="right"/>
            </w:pPr>
            <w:r>
              <w:rPr>
                <w:rFonts w:hint="eastAsia"/>
              </w:rPr>
              <w:t>-</w:t>
            </w:r>
          </w:p>
        </w:tc>
        <w:tc>
          <w:tcPr>
            <w:tcW w:w="1256" w:type="dxa"/>
            <w:vAlign w:val="center"/>
          </w:tcPr>
          <w:p w14:paraId="1588ED9A">
            <w:pPr>
              <w:jc w:val="right"/>
            </w:pPr>
            <w:r>
              <w:rPr>
                <w:rFonts w:hint="eastAsia"/>
              </w:rPr>
              <w:t>-</w:t>
            </w:r>
          </w:p>
        </w:tc>
        <w:tc>
          <w:tcPr>
            <w:tcW w:w="946" w:type="dxa"/>
            <w:vAlign w:val="center"/>
          </w:tcPr>
          <w:p w14:paraId="4DC92A35">
            <w:pPr>
              <w:jc w:val="right"/>
            </w:pPr>
            <w:r>
              <w:rPr>
                <w:rFonts w:hint="eastAsia"/>
              </w:rPr>
              <w:t>-</w:t>
            </w:r>
          </w:p>
        </w:tc>
      </w:tr>
      <w:tr w14:paraId="6BBA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071D98">
            <w:r>
              <w:rPr>
                <w:rFonts w:hint="eastAsia"/>
              </w:rPr>
              <w:t>中信建投</w:t>
            </w:r>
          </w:p>
        </w:tc>
        <w:tc>
          <w:tcPr>
            <w:tcW w:w="775" w:type="dxa"/>
            <w:vAlign w:val="center"/>
          </w:tcPr>
          <w:p w14:paraId="71AB504C">
            <w:pPr>
              <w:jc w:val="right"/>
            </w:pPr>
            <w:r>
              <w:rPr>
                <w:rFonts w:hint="eastAsia"/>
              </w:rPr>
              <w:t>1</w:t>
            </w:r>
          </w:p>
        </w:tc>
        <w:tc>
          <w:tcPr>
            <w:tcW w:w="1699" w:type="dxa"/>
            <w:vAlign w:val="center"/>
          </w:tcPr>
          <w:p w14:paraId="70350742">
            <w:pPr>
              <w:jc w:val="right"/>
            </w:pPr>
            <w:r>
              <w:rPr>
                <w:rFonts w:hint="eastAsia"/>
              </w:rPr>
              <w:t>-</w:t>
            </w:r>
          </w:p>
        </w:tc>
        <w:tc>
          <w:tcPr>
            <w:tcW w:w="1201" w:type="dxa"/>
            <w:vAlign w:val="center"/>
          </w:tcPr>
          <w:p w14:paraId="75E3F666">
            <w:pPr>
              <w:jc w:val="right"/>
            </w:pPr>
            <w:r>
              <w:rPr>
                <w:rFonts w:hint="eastAsia"/>
              </w:rPr>
              <w:t>-</w:t>
            </w:r>
          </w:p>
        </w:tc>
        <w:tc>
          <w:tcPr>
            <w:tcW w:w="1312" w:type="dxa"/>
            <w:vAlign w:val="center"/>
          </w:tcPr>
          <w:p w14:paraId="6B7089E8">
            <w:pPr>
              <w:jc w:val="right"/>
            </w:pPr>
            <w:r>
              <w:rPr>
                <w:rFonts w:hint="eastAsia"/>
              </w:rPr>
              <w:t>-</w:t>
            </w:r>
          </w:p>
        </w:tc>
        <w:tc>
          <w:tcPr>
            <w:tcW w:w="1256" w:type="dxa"/>
            <w:vAlign w:val="center"/>
          </w:tcPr>
          <w:p w14:paraId="0832BC66">
            <w:pPr>
              <w:jc w:val="right"/>
            </w:pPr>
            <w:r>
              <w:rPr>
                <w:rFonts w:hint="eastAsia"/>
              </w:rPr>
              <w:t>-</w:t>
            </w:r>
          </w:p>
        </w:tc>
        <w:tc>
          <w:tcPr>
            <w:tcW w:w="946" w:type="dxa"/>
            <w:vAlign w:val="center"/>
          </w:tcPr>
          <w:p w14:paraId="588902A5">
            <w:pPr>
              <w:jc w:val="right"/>
            </w:pPr>
            <w:r>
              <w:rPr>
                <w:rFonts w:hint="eastAsia"/>
              </w:rPr>
              <w:t>-</w:t>
            </w:r>
          </w:p>
        </w:tc>
      </w:tr>
    </w:tbl>
    <w:p w14:paraId="477E41D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380D21">
      <w:pPr>
        <w:pStyle w:val="47"/>
        <w:rPr>
          <w:rFonts w:hint="eastAsia"/>
        </w:rPr>
      </w:pPr>
      <w:r>
        <w:tab/>
      </w:r>
      <w:r>
        <w:rPr>
          <w:rFonts w:hint="eastAsia"/>
        </w:rPr>
        <w:t>1、选择标准</w:t>
      </w:r>
    </w:p>
    <w:p w14:paraId="7D7A720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B081BE1">
      <w:pPr>
        <w:pStyle w:val="47"/>
        <w:rPr>
          <w:rFonts w:hint="eastAsia"/>
        </w:rPr>
      </w:pPr>
      <w:r>
        <w:tab/>
      </w:r>
      <w:r>
        <w:rPr>
          <w:rFonts w:hint="eastAsia"/>
        </w:rPr>
        <w:t>2、选择程序</w:t>
      </w:r>
    </w:p>
    <w:p w14:paraId="0C7DBE3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8E68AEE">
      <w:pPr>
        <w:pStyle w:val="47"/>
        <w:rPr>
          <w:rFonts w:hint="eastAsia"/>
        </w:rPr>
      </w:pPr>
      <w:r>
        <w:tab/>
      </w:r>
      <w:r>
        <w:rPr>
          <w:rFonts w:hint="eastAsia"/>
        </w:rPr>
        <w:t>（2）基金管理人根据其建立的服务评价及交易量分配机制，定期对证券公司开展评价后，根据评价结果进行交易量的分配。</w:t>
      </w:r>
    </w:p>
    <w:p w14:paraId="064872A9">
      <w:pPr>
        <w:pStyle w:val="47"/>
        <w:rPr>
          <w:rFonts w:hint="eastAsia"/>
        </w:rPr>
      </w:pPr>
      <w:r>
        <w:tab/>
      </w:r>
      <w:r>
        <w:rPr>
          <w:rFonts w:hint="eastAsia"/>
        </w:rPr>
        <w:t>3、报告期内基金租用券商交易单元的变更情况：新增交易单元：广发证券、华泰证券、招商证券、中金公司、中信建投；减少交易单元：无。</w:t>
      </w:r>
    </w:p>
    <w:p w14:paraId="60693146">
      <w:pPr>
        <w:pStyle w:val="28"/>
      </w:pPr>
      <w:bookmarkStart w:id="205" w:name="_Toc205"/>
      <w:r>
        <w:t>基金租用证券公司交易单元进行其他证券投资的情况</w:t>
      </w:r>
      <w:bookmarkEnd w:id="205"/>
    </w:p>
    <w:p w14:paraId="1C4614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4A5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6124028">
            <w:pPr>
              <w:jc w:val="center"/>
            </w:pPr>
            <w:r>
              <w:rPr>
                <w:rFonts w:hint="eastAsia"/>
                <w:b/>
              </w:rPr>
              <w:t>券商名称</w:t>
            </w:r>
          </w:p>
        </w:tc>
        <w:tc>
          <w:tcPr>
            <w:tcW w:w="922" w:type="dxa"/>
            <w:gridSpan w:val="2"/>
            <w:shd w:val="clear" w:color="auto" w:fill="BFBFBF"/>
            <w:vAlign w:val="center"/>
          </w:tcPr>
          <w:p w14:paraId="56511ABA">
            <w:pPr>
              <w:jc w:val="center"/>
            </w:pPr>
            <w:r>
              <w:rPr>
                <w:rFonts w:hint="eastAsia"/>
                <w:b/>
              </w:rPr>
              <w:t>债券交易</w:t>
            </w:r>
          </w:p>
        </w:tc>
        <w:tc>
          <w:tcPr>
            <w:tcW w:w="922" w:type="dxa"/>
            <w:gridSpan w:val="2"/>
            <w:shd w:val="clear" w:color="auto" w:fill="BFBFBF"/>
            <w:vAlign w:val="center"/>
          </w:tcPr>
          <w:p w14:paraId="500E991B">
            <w:pPr>
              <w:jc w:val="center"/>
            </w:pPr>
            <w:r>
              <w:rPr>
                <w:rFonts w:hint="eastAsia"/>
                <w:b/>
              </w:rPr>
              <w:t>债券回购交易</w:t>
            </w:r>
          </w:p>
        </w:tc>
        <w:tc>
          <w:tcPr>
            <w:tcW w:w="922" w:type="dxa"/>
            <w:gridSpan w:val="2"/>
            <w:shd w:val="clear" w:color="auto" w:fill="BFBFBF"/>
            <w:vAlign w:val="center"/>
          </w:tcPr>
          <w:p w14:paraId="4079A77B">
            <w:pPr>
              <w:jc w:val="center"/>
            </w:pPr>
            <w:r>
              <w:rPr>
                <w:rFonts w:hint="eastAsia"/>
                <w:b/>
              </w:rPr>
              <w:t>权证交易</w:t>
            </w:r>
          </w:p>
        </w:tc>
        <w:tc>
          <w:tcPr>
            <w:tcW w:w="922" w:type="dxa"/>
            <w:gridSpan w:val="2"/>
            <w:shd w:val="clear" w:color="auto" w:fill="BFBFBF"/>
            <w:vAlign w:val="center"/>
          </w:tcPr>
          <w:p w14:paraId="23BEC9A5">
            <w:pPr>
              <w:jc w:val="center"/>
            </w:pPr>
            <w:r>
              <w:rPr>
                <w:rFonts w:hint="eastAsia"/>
                <w:b/>
              </w:rPr>
              <w:t>基金交易</w:t>
            </w:r>
          </w:p>
        </w:tc>
      </w:tr>
      <w:tr w14:paraId="033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18710D74"/>
        </w:tc>
        <w:tc>
          <w:tcPr>
            <w:tcW w:w="922" w:type="dxa"/>
            <w:shd w:val="clear" w:color="auto" w:fill="BFBFBF"/>
            <w:vAlign w:val="center"/>
          </w:tcPr>
          <w:p w14:paraId="6C29C4CA">
            <w:pPr>
              <w:jc w:val="center"/>
            </w:pPr>
            <w:r>
              <w:rPr>
                <w:rFonts w:hint="eastAsia"/>
                <w:b/>
              </w:rPr>
              <w:t>成交金额</w:t>
            </w:r>
          </w:p>
        </w:tc>
        <w:tc>
          <w:tcPr>
            <w:tcW w:w="922" w:type="dxa"/>
            <w:shd w:val="clear" w:color="auto" w:fill="BFBFBF"/>
            <w:vAlign w:val="center"/>
          </w:tcPr>
          <w:p w14:paraId="333DE9B6">
            <w:pPr>
              <w:jc w:val="center"/>
            </w:pPr>
            <w:r>
              <w:rPr>
                <w:rFonts w:hint="eastAsia"/>
                <w:b/>
              </w:rPr>
              <w:t>占当期债券成交总额的比例</w:t>
            </w:r>
          </w:p>
        </w:tc>
        <w:tc>
          <w:tcPr>
            <w:tcW w:w="922" w:type="dxa"/>
            <w:shd w:val="clear" w:color="auto" w:fill="BFBFBF"/>
            <w:vAlign w:val="center"/>
          </w:tcPr>
          <w:p w14:paraId="59DB7F5D">
            <w:pPr>
              <w:jc w:val="center"/>
            </w:pPr>
            <w:r>
              <w:rPr>
                <w:rFonts w:hint="eastAsia"/>
                <w:b/>
              </w:rPr>
              <w:t>成交金额</w:t>
            </w:r>
          </w:p>
        </w:tc>
        <w:tc>
          <w:tcPr>
            <w:tcW w:w="922" w:type="dxa"/>
            <w:shd w:val="clear" w:color="auto" w:fill="BFBFBF"/>
            <w:vAlign w:val="center"/>
          </w:tcPr>
          <w:p w14:paraId="4027A22F">
            <w:pPr>
              <w:jc w:val="center"/>
            </w:pPr>
            <w:r>
              <w:rPr>
                <w:rFonts w:hint="eastAsia"/>
                <w:b/>
              </w:rPr>
              <w:t>占当期债券回购成交总额的比例</w:t>
            </w:r>
          </w:p>
        </w:tc>
        <w:tc>
          <w:tcPr>
            <w:tcW w:w="922" w:type="dxa"/>
            <w:shd w:val="clear" w:color="auto" w:fill="BFBFBF"/>
            <w:vAlign w:val="center"/>
          </w:tcPr>
          <w:p w14:paraId="77B89A5B">
            <w:pPr>
              <w:jc w:val="center"/>
            </w:pPr>
            <w:r>
              <w:rPr>
                <w:rFonts w:hint="eastAsia"/>
                <w:b/>
              </w:rPr>
              <w:t>成交金额</w:t>
            </w:r>
          </w:p>
        </w:tc>
        <w:tc>
          <w:tcPr>
            <w:tcW w:w="922" w:type="dxa"/>
            <w:shd w:val="clear" w:color="auto" w:fill="BFBFBF"/>
            <w:vAlign w:val="center"/>
          </w:tcPr>
          <w:p w14:paraId="106EE1C4">
            <w:pPr>
              <w:jc w:val="center"/>
            </w:pPr>
            <w:r>
              <w:rPr>
                <w:rFonts w:hint="eastAsia"/>
                <w:b/>
              </w:rPr>
              <w:t>占当期权证成交总额的比例</w:t>
            </w:r>
          </w:p>
        </w:tc>
        <w:tc>
          <w:tcPr>
            <w:tcW w:w="922" w:type="dxa"/>
            <w:shd w:val="clear" w:color="auto" w:fill="BFBFBF"/>
            <w:vAlign w:val="center"/>
          </w:tcPr>
          <w:p w14:paraId="176E83DB">
            <w:pPr>
              <w:jc w:val="center"/>
            </w:pPr>
            <w:r>
              <w:rPr>
                <w:rFonts w:hint="eastAsia"/>
                <w:b/>
              </w:rPr>
              <w:t>成交金额</w:t>
            </w:r>
          </w:p>
        </w:tc>
        <w:tc>
          <w:tcPr>
            <w:tcW w:w="922" w:type="dxa"/>
            <w:shd w:val="clear" w:color="auto" w:fill="BFBFBF"/>
            <w:vAlign w:val="center"/>
          </w:tcPr>
          <w:p w14:paraId="4B6B3C30">
            <w:pPr>
              <w:jc w:val="center"/>
            </w:pPr>
            <w:r>
              <w:rPr>
                <w:rFonts w:hint="eastAsia"/>
                <w:b/>
              </w:rPr>
              <w:t>占当期基金成交总额的比例</w:t>
            </w:r>
          </w:p>
        </w:tc>
      </w:tr>
      <w:tr w14:paraId="5729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10AE61">
            <w:r>
              <w:rPr>
                <w:rFonts w:hint="eastAsia"/>
              </w:rPr>
              <w:t>华泰证券</w:t>
            </w:r>
          </w:p>
        </w:tc>
        <w:tc>
          <w:tcPr>
            <w:tcW w:w="922" w:type="dxa"/>
            <w:vAlign w:val="center"/>
          </w:tcPr>
          <w:p w14:paraId="343D2CB3">
            <w:pPr>
              <w:jc w:val="right"/>
            </w:pPr>
            <w:r>
              <w:rPr>
                <w:rFonts w:hint="eastAsia"/>
              </w:rPr>
              <w:t>274,489,985.00</w:t>
            </w:r>
          </w:p>
        </w:tc>
        <w:tc>
          <w:tcPr>
            <w:tcW w:w="922" w:type="dxa"/>
            <w:vAlign w:val="center"/>
          </w:tcPr>
          <w:p w14:paraId="616F54E5">
            <w:pPr>
              <w:jc w:val="right"/>
            </w:pPr>
            <w:r>
              <w:rPr>
                <w:rFonts w:hint="eastAsia"/>
              </w:rPr>
              <w:t>100.00%</w:t>
            </w:r>
          </w:p>
        </w:tc>
        <w:tc>
          <w:tcPr>
            <w:tcW w:w="922" w:type="dxa"/>
            <w:vAlign w:val="center"/>
          </w:tcPr>
          <w:p w14:paraId="39496B0B">
            <w:pPr>
              <w:jc w:val="right"/>
            </w:pPr>
            <w:r>
              <w:rPr>
                <w:rFonts w:hint="eastAsia"/>
              </w:rPr>
              <w:t>16,680,000,000.00</w:t>
            </w:r>
          </w:p>
        </w:tc>
        <w:tc>
          <w:tcPr>
            <w:tcW w:w="922" w:type="dxa"/>
            <w:vAlign w:val="center"/>
          </w:tcPr>
          <w:p w14:paraId="0F20225D">
            <w:pPr>
              <w:jc w:val="right"/>
            </w:pPr>
            <w:r>
              <w:rPr>
                <w:rFonts w:hint="eastAsia"/>
              </w:rPr>
              <w:t>100.00%</w:t>
            </w:r>
          </w:p>
        </w:tc>
        <w:tc>
          <w:tcPr>
            <w:tcW w:w="922" w:type="dxa"/>
            <w:vAlign w:val="center"/>
          </w:tcPr>
          <w:p w14:paraId="4DF650CE">
            <w:pPr>
              <w:jc w:val="right"/>
            </w:pPr>
            <w:r>
              <w:rPr>
                <w:rFonts w:hint="eastAsia"/>
              </w:rPr>
              <w:t>-</w:t>
            </w:r>
          </w:p>
        </w:tc>
        <w:tc>
          <w:tcPr>
            <w:tcW w:w="922" w:type="dxa"/>
            <w:vAlign w:val="center"/>
          </w:tcPr>
          <w:p w14:paraId="5321ECD6">
            <w:pPr>
              <w:jc w:val="right"/>
            </w:pPr>
            <w:r>
              <w:rPr>
                <w:rFonts w:hint="eastAsia"/>
              </w:rPr>
              <w:t>-</w:t>
            </w:r>
          </w:p>
        </w:tc>
        <w:tc>
          <w:tcPr>
            <w:tcW w:w="922" w:type="dxa"/>
            <w:vAlign w:val="center"/>
          </w:tcPr>
          <w:p w14:paraId="0AF5705D">
            <w:pPr>
              <w:jc w:val="right"/>
            </w:pPr>
            <w:r>
              <w:rPr>
                <w:rFonts w:hint="eastAsia"/>
              </w:rPr>
              <w:t>3,875,377,049.38</w:t>
            </w:r>
          </w:p>
        </w:tc>
        <w:tc>
          <w:tcPr>
            <w:tcW w:w="922" w:type="dxa"/>
            <w:vAlign w:val="center"/>
          </w:tcPr>
          <w:p w14:paraId="22F8700A">
            <w:pPr>
              <w:jc w:val="right"/>
            </w:pPr>
            <w:r>
              <w:rPr>
                <w:rFonts w:hint="eastAsia"/>
              </w:rPr>
              <w:t>100.00%</w:t>
            </w:r>
          </w:p>
        </w:tc>
      </w:tr>
      <w:tr w14:paraId="2A0B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B81554">
            <w:r>
              <w:rPr>
                <w:rFonts w:hint="eastAsia"/>
              </w:rPr>
              <w:t>广发证券</w:t>
            </w:r>
          </w:p>
        </w:tc>
        <w:tc>
          <w:tcPr>
            <w:tcW w:w="922" w:type="dxa"/>
            <w:vAlign w:val="center"/>
          </w:tcPr>
          <w:p w14:paraId="7428FD19">
            <w:pPr>
              <w:jc w:val="right"/>
            </w:pPr>
            <w:r>
              <w:rPr>
                <w:rFonts w:hint="eastAsia"/>
              </w:rPr>
              <w:t>-</w:t>
            </w:r>
          </w:p>
        </w:tc>
        <w:tc>
          <w:tcPr>
            <w:tcW w:w="922" w:type="dxa"/>
            <w:vAlign w:val="center"/>
          </w:tcPr>
          <w:p w14:paraId="17E11753">
            <w:pPr>
              <w:jc w:val="right"/>
            </w:pPr>
            <w:r>
              <w:rPr>
                <w:rFonts w:hint="eastAsia"/>
              </w:rPr>
              <w:t>-</w:t>
            </w:r>
          </w:p>
        </w:tc>
        <w:tc>
          <w:tcPr>
            <w:tcW w:w="922" w:type="dxa"/>
            <w:vAlign w:val="center"/>
          </w:tcPr>
          <w:p w14:paraId="0A54C75D">
            <w:pPr>
              <w:jc w:val="right"/>
            </w:pPr>
            <w:r>
              <w:rPr>
                <w:rFonts w:hint="eastAsia"/>
              </w:rPr>
              <w:t>-</w:t>
            </w:r>
          </w:p>
        </w:tc>
        <w:tc>
          <w:tcPr>
            <w:tcW w:w="922" w:type="dxa"/>
            <w:vAlign w:val="center"/>
          </w:tcPr>
          <w:p w14:paraId="37F63F41">
            <w:pPr>
              <w:jc w:val="right"/>
            </w:pPr>
            <w:r>
              <w:rPr>
                <w:rFonts w:hint="eastAsia"/>
              </w:rPr>
              <w:t>-</w:t>
            </w:r>
          </w:p>
        </w:tc>
        <w:tc>
          <w:tcPr>
            <w:tcW w:w="922" w:type="dxa"/>
            <w:vAlign w:val="center"/>
          </w:tcPr>
          <w:p w14:paraId="245FE506">
            <w:pPr>
              <w:jc w:val="right"/>
            </w:pPr>
            <w:r>
              <w:rPr>
                <w:rFonts w:hint="eastAsia"/>
              </w:rPr>
              <w:t>-</w:t>
            </w:r>
          </w:p>
        </w:tc>
        <w:tc>
          <w:tcPr>
            <w:tcW w:w="922" w:type="dxa"/>
            <w:vAlign w:val="center"/>
          </w:tcPr>
          <w:p w14:paraId="47785109">
            <w:pPr>
              <w:jc w:val="right"/>
            </w:pPr>
            <w:r>
              <w:rPr>
                <w:rFonts w:hint="eastAsia"/>
              </w:rPr>
              <w:t>-</w:t>
            </w:r>
          </w:p>
        </w:tc>
        <w:tc>
          <w:tcPr>
            <w:tcW w:w="922" w:type="dxa"/>
            <w:vAlign w:val="center"/>
          </w:tcPr>
          <w:p w14:paraId="2704F9D4">
            <w:pPr>
              <w:jc w:val="right"/>
            </w:pPr>
            <w:r>
              <w:rPr>
                <w:rFonts w:hint="eastAsia"/>
              </w:rPr>
              <w:t>-</w:t>
            </w:r>
          </w:p>
        </w:tc>
        <w:tc>
          <w:tcPr>
            <w:tcW w:w="922" w:type="dxa"/>
            <w:vAlign w:val="center"/>
          </w:tcPr>
          <w:p w14:paraId="50931C6C">
            <w:pPr>
              <w:jc w:val="right"/>
            </w:pPr>
            <w:r>
              <w:rPr>
                <w:rFonts w:hint="eastAsia"/>
              </w:rPr>
              <w:t>-</w:t>
            </w:r>
          </w:p>
        </w:tc>
      </w:tr>
      <w:tr w14:paraId="2FF9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8FE2CF">
            <w:r>
              <w:rPr>
                <w:rFonts w:hint="eastAsia"/>
              </w:rPr>
              <w:t>招商证券</w:t>
            </w:r>
          </w:p>
        </w:tc>
        <w:tc>
          <w:tcPr>
            <w:tcW w:w="922" w:type="dxa"/>
            <w:vAlign w:val="center"/>
          </w:tcPr>
          <w:p w14:paraId="43A3D695">
            <w:pPr>
              <w:jc w:val="right"/>
            </w:pPr>
            <w:r>
              <w:rPr>
                <w:rFonts w:hint="eastAsia"/>
              </w:rPr>
              <w:t>-</w:t>
            </w:r>
          </w:p>
        </w:tc>
        <w:tc>
          <w:tcPr>
            <w:tcW w:w="922" w:type="dxa"/>
            <w:vAlign w:val="center"/>
          </w:tcPr>
          <w:p w14:paraId="0B7C4BE9">
            <w:pPr>
              <w:jc w:val="right"/>
            </w:pPr>
            <w:r>
              <w:rPr>
                <w:rFonts w:hint="eastAsia"/>
              </w:rPr>
              <w:t>-</w:t>
            </w:r>
          </w:p>
        </w:tc>
        <w:tc>
          <w:tcPr>
            <w:tcW w:w="922" w:type="dxa"/>
            <w:vAlign w:val="center"/>
          </w:tcPr>
          <w:p w14:paraId="47ED175F">
            <w:pPr>
              <w:jc w:val="right"/>
            </w:pPr>
            <w:r>
              <w:rPr>
                <w:rFonts w:hint="eastAsia"/>
              </w:rPr>
              <w:t>-</w:t>
            </w:r>
          </w:p>
        </w:tc>
        <w:tc>
          <w:tcPr>
            <w:tcW w:w="922" w:type="dxa"/>
            <w:vAlign w:val="center"/>
          </w:tcPr>
          <w:p w14:paraId="78E2B6D7">
            <w:pPr>
              <w:jc w:val="right"/>
            </w:pPr>
            <w:r>
              <w:rPr>
                <w:rFonts w:hint="eastAsia"/>
              </w:rPr>
              <w:t>-</w:t>
            </w:r>
          </w:p>
        </w:tc>
        <w:tc>
          <w:tcPr>
            <w:tcW w:w="922" w:type="dxa"/>
            <w:vAlign w:val="center"/>
          </w:tcPr>
          <w:p w14:paraId="474635D9">
            <w:pPr>
              <w:jc w:val="right"/>
            </w:pPr>
            <w:r>
              <w:rPr>
                <w:rFonts w:hint="eastAsia"/>
              </w:rPr>
              <w:t>-</w:t>
            </w:r>
          </w:p>
        </w:tc>
        <w:tc>
          <w:tcPr>
            <w:tcW w:w="922" w:type="dxa"/>
            <w:vAlign w:val="center"/>
          </w:tcPr>
          <w:p w14:paraId="1D7A728D">
            <w:pPr>
              <w:jc w:val="right"/>
            </w:pPr>
            <w:r>
              <w:rPr>
                <w:rFonts w:hint="eastAsia"/>
              </w:rPr>
              <w:t>-</w:t>
            </w:r>
          </w:p>
        </w:tc>
        <w:tc>
          <w:tcPr>
            <w:tcW w:w="922" w:type="dxa"/>
            <w:vAlign w:val="center"/>
          </w:tcPr>
          <w:p w14:paraId="1A9BAC21">
            <w:pPr>
              <w:jc w:val="right"/>
            </w:pPr>
            <w:r>
              <w:rPr>
                <w:rFonts w:hint="eastAsia"/>
              </w:rPr>
              <w:t>-</w:t>
            </w:r>
          </w:p>
        </w:tc>
        <w:tc>
          <w:tcPr>
            <w:tcW w:w="922" w:type="dxa"/>
            <w:vAlign w:val="center"/>
          </w:tcPr>
          <w:p w14:paraId="7925E1C6">
            <w:pPr>
              <w:jc w:val="right"/>
            </w:pPr>
            <w:r>
              <w:rPr>
                <w:rFonts w:hint="eastAsia"/>
              </w:rPr>
              <w:t>-</w:t>
            </w:r>
          </w:p>
        </w:tc>
      </w:tr>
      <w:tr w14:paraId="3E70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D3B8A4">
            <w:r>
              <w:rPr>
                <w:rFonts w:hint="eastAsia"/>
              </w:rPr>
              <w:t>中金公司</w:t>
            </w:r>
          </w:p>
        </w:tc>
        <w:tc>
          <w:tcPr>
            <w:tcW w:w="922" w:type="dxa"/>
            <w:vAlign w:val="center"/>
          </w:tcPr>
          <w:p w14:paraId="10EB239E">
            <w:pPr>
              <w:jc w:val="right"/>
            </w:pPr>
            <w:r>
              <w:rPr>
                <w:rFonts w:hint="eastAsia"/>
              </w:rPr>
              <w:t>-</w:t>
            </w:r>
          </w:p>
        </w:tc>
        <w:tc>
          <w:tcPr>
            <w:tcW w:w="922" w:type="dxa"/>
            <w:vAlign w:val="center"/>
          </w:tcPr>
          <w:p w14:paraId="31BFCE1A">
            <w:pPr>
              <w:jc w:val="right"/>
            </w:pPr>
            <w:r>
              <w:rPr>
                <w:rFonts w:hint="eastAsia"/>
              </w:rPr>
              <w:t>-</w:t>
            </w:r>
          </w:p>
        </w:tc>
        <w:tc>
          <w:tcPr>
            <w:tcW w:w="922" w:type="dxa"/>
            <w:vAlign w:val="center"/>
          </w:tcPr>
          <w:p w14:paraId="34BDEF7E">
            <w:pPr>
              <w:jc w:val="right"/>
            </w:pPr>
            <w:r>
              <w:rPr>
                <w:rFonts w:hint="eastAsia"/>
              </w:rPr>
              <w:t>-</w:t>
            </w:r>
          </w:p>
        </w:tc>
        <w:tc>
          <w:tcPr>
            <w:tcW w:w="922" w:type="dxa"/>
            <w:vAlign w:val="center"/>
          </w:tcPr>
          <w:p w14:paraId="153128EE">
            <w:pPr>
              <w:jc w:val="right"/>
            </w:pPr>
            <w:r>
              <w:rPr>
                <w:rFonts w:hint="eastAsia"/>
              </w:rPr>
              <w:t>-</w:t>
            </w:r>
          </w:p>
        </w:tc>
        <w:tc>
          <w:tcPr>
            <w:tcW w:w="922" w:type="dxa"/>
            <w:vAlign w:val="center"/>
          </w:tcPr>
          <w:p w14:paraId="00F39D15">
            <w:pPr>
              <w:jc w:val="right"/>
            </w:pPr>
            <w:r>
              <w:rPr>
                <w:rFonts w:hint="eastAsia"/>
              </w:rPr>
              <w:t>-</w:t>
            </w:r>
          </w:p>
        </w:tc>
        <w:tc>
          <w:tcPr>
            <w:tcW w:w="922" w:type="dxa"/>
            <w:vAlign w:val="center"/>
          </w:tcPr>
          <w:p w14:paraId="77E56A28">
            <w:pPr>
              <w:jc w:val="right"/>
            </w:pPr>
            <w:r>
              <w:rPr>
                <w:rFonts w:hint="eastAsia"/>
              </w:rPr>
              <w:t>-</w:t>
            </w:r>
          </w:p>
        </w:tc>
        <w:tc>
          <w:tcPr>
            <w:tcW w:w="922" w:type="dxa"/>
            <w:vAlign w:val="center"/>
          </w:tcPr>
          <w:p w14:paraId="76519B86">
            <w:pPr>
              <w:jc w:val="right"/>
            </w:pPr>
            <w:r>
              <w:rPr>
                <w:rFonts w:hint="eastAsia"/>
              </w:rPr>
              <w:t>-</w:t>
            </w:r>
          </w:p>
        </w:tc>
        <w:tc>
          <w:tcPr>
            <w:tcW w:w="922" w:type="dxa"/>
            <w:vAlign w:val="center"/>
          </w:tcPr>
          <w:p w14:paraId="0EF13DFC">
            <w:pPr>
              <w:jc w:val="right"/>
            </w:pPr>
            <w:r>
              <w:rPr>
                <w:rFonts w:hint="eastAsia"/>
              </w:rPr>
              <w:t>-</w:t>
            </w:r>
          </w:p>
        </w:tc>
      </w:tr>
      <w:tr w14:paraId="1A2C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E1F69A">
            <w:r>
              <w:rPr>
                <w:rFonts w:hint="eastAsia"/>
              </w:rPr>
              <w:t>中信建投</w:t>
            </w:r>
          </w:p>
        </w:tc>
        <w:tc>
          <w:tcPr>
            <w:tcW w:w="922" w:type="dxa"/>
            <w:vAlign w:val="center"/>
          </w:tcPr>
          <w:p w14:paraId="17FC1979">
            <w:pPr>
              <w:jc w:val="right"/>
            </w:pPr>
            <w:r>
              <w:rPr>
                <w:rFonts w:hint="eastAsia"/>
              </w:rPr>
              <w:t>-</w:t>
            </w:r>
          </w:p>
        </w:tc>
        <w:tc>
          <w:tcPr>
            <w:tcW w:w="922" w:type="dxa"/>
            <w:vAlign w:val="center"/>
          </w:tcPr>
          <w:p w14:paraId="2E89FC92">
            <w:pPr>
              <w:jc w:val="right"/>
            </w:pPr>
            <w:r>
              <w:rPr>
                <w:rFonts w:hint="eastAsia"/>
              </w:rPr>
              <w:t>-</w:t>
            </w:r>
          </w:p>
        </w:tc>
        <w:tc>
          <w:tcPr>
            <w:tcW w:w="922" w:type="dxa"/>
            <w:vAlign w:val="center"/>
          </w:tcPr>
          <w:p w14:paraId="7E3A6B88">
            <w:pPr>
              <w:jc w:val="right"/>
            </w:pPr>
            <w:r>
              <w:rPr>
                <w:rFonts w:hint="eastAsia"/>
              </w:rPr>
              <w:t>-</w:t>
            </w:r>
          </w:p>
        </w:tc>
        <w:tc>
          <w:tcPr>
            <w:tcW w:w="922" w:type="dxa"/>
            <w:vAlign w:val="center"/>
          </w:tcPr>
          <w:p w14:paraId="534C50EC">
            <w:pPr>
              <w:jc w:val="right"/>
            </w:pPr>
            <w:r>
              <w:rPr>
                <w:rFonts w:hint="eastAsia"/>
              </w:rPr>
              <w:t>-</w:t>
            </w:r>
          </w:p>
        </w:tc>
        <w:tc>
          <w:tcPr>
            <w:tcW w:w="922" w:type="dxa"/>
            <w:vAlign w:val="center"/>
          </w:tcPr>
          <w:p w14:paraId="79AE7D0E">
            <w:pPr>
              <w:jc w:val="right"/>
            </w:pPr>
            <w:r>
              <w:rPr>
                <w:rFonts w:hint="eastAsia"/>
              </w:rPr>
              <w:t>-</w:t>
            </w:r>
          </w:p>
        </w:tc>
        <w:tc>
          <w:tcPr>
            <w:tcW w:w="922" w:type="dxa"/>
            <w:vAlign w:val="center"/>
          </w:tcPr>
          <w:p w14:paraId="7FA76590">
            <w:pPr>
              <w:jc w:val="right"/>
            </w:pPr>
            <w:r>
              <w:rPr>
                <w:rFonts w:hint="eastAsia"/>
              </w:rPr>
              <w:t>-</w:t>
            </w:r>
          </w:p>
        </w:tc>
        <w:tc>
          <w:tcPr>
            <w:tcW w:w="922" w:type="dxa"/>
            <w:vAlign w:val="center"/>
          </w:tcPr>
          <w:p w14:paraId="129CD704">
            <w:pPr>
              <w:jc w:val="right"/>
            </w:pPr>
            <w:r>
              <w:rPr>
                <w:rFonts w:hint="eastAsia"/>
              </w:rPr>
              <w:t>-</w:t>
            </w:r>
          </w:p>
        </w:tc>
        <w:tc>
          <w:tcPr>
            <w:tcW w:w="922" w:type="dxa"/>
            <w:vAlign w:val="center"/>
          </w:tcPr>
          <w:p w14:paraId="76E77FCE">
            <w:pPr>
              <w:jc w:val="right"/>
            </w:pPr>
            <w:r>
              <w:rPr>
                <w:rFonts w:hint="eastAsia"/>
              </w:rPr>
              <w:t>-</w:t>
            </w:r>
          </w:p>
        </w:tc>
      </w:tr>
    </w:tbl>
    <w:p w14:paraId="0CF0FB89">
      <w:pPr>
        <w:pStyle w:val="23"/>
      </w:pPr>
      <w:bookmarkStart w:id="206" w:name="_Toc14329"/>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1B5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7B75D0A">
            <w:pPr>
              <w:jc w:val="center"/>
            </w:pPr>
            <w:r>
              <w:rPr>
                <w:rFonts w:hint="eastAsia"/>
                <w:b/>
              </w:rPr>
              <w:t>序号</w:t>
            </w:r>
          </w:p>
        </w:tc>
        <w:tc>
          <w:tcPr>
            <w:tcW w:w="4319" w:type="dxa"/>
            <w:shd w:val="clear" w:color="auto" w:fill="BFBFBF"/>
            <w:vAlign w:val="center"/>
          </w:tcPr>
          <w:p w14:paraId="6D804470">
            <w:pPr>
              <w:jc w:val="center"/>
            </w:pPr>
            <w:r>
              <w:rPr>
                <w:rFonts w:hint="eastAsia"/>
                <w:b/>
              </w:rPr>
              <w:t>公告事项</w:t>
            </w:r>
          </w:p>
        </w:tc>
        <w:tc>
          <w:tcPr>
            <w:tcW w:w="2076" w:type="dxa"/>
            <w:shd w:val="clear" w:color="auto" w:fill="BFBFBF"/>
            <w:vAlign w:val="center"/>
          </w:tcPr>
          <w:p w14:paraId="3E5AF644">
            <w:pPr>
              <w:jc w:val="center"/>
            </w:pPr>
            <w:r>
              <w:rPr>
                <w:rFonts w:hint="eastAsia"/>
                <w:b/>
              </w:rPr>
              <w:t>法定披露方式</w:t>
            </w:r>
          </w:p>
        </w:tc>
        <w:tc>
          <w:tcPr>
            <w:tcW w:w="1218" w:type="dxa"/>
            <w:shd w:val="clear" w:color="auto" w:fill="BFBFBF"/>
            <w:vAlign w:val="center"/>
          </w:tcPr>
          <w:p w14:paraId="104E337B">
            <w:pPr>
              <w:jc w:val="center"/>
            </w:pPr>
            <w:r>
              <w:rPr>
                <w:rFonts w:hint="eastAsia"/>
                <w:b/>
              </w:rPr>
              <w:t>法定披露日期</w:t>
            </w:r>
          </w:p>
        </w:tc>
      </w:tr>
      <w:tr w14:paraId="06B5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5CE243">
            <w:pPr>
              <w:jc w:val="center"/>
            </w:pPr>
            <w:r>
              <w:rPr>
                <w:rFonts w:hint="eastAsia"/>
              </w:rPr>
              <w:t>1</w:t>
            </w:r>
          </w:p>
        </w:tc>
        <w:tc>
          <w:tcPr>
            <w:tcW w:w="4319" w:type="dxa"/>
            <w:vAlign w:val="center"/>
          </w:tcPr>
          <w:p w14:paraId="6702F24C">
            <w:r>
              <w:rPr>
                <w:rFonts w:hint="eastAsia"/>
              </w:rPr>
              <w:t>南方稳见3个月持有期混合型基金中基金（FOF）基金合同及招募说明书提示性公告</w:t>
            </w:r>
          </w:p>
        </w:tc>
        <w:tc>
          <w:tcPr>
            <w:tcW w:w="2076" w:type="dxa"/>
            <w:vAlign w:val="center"/>
          </w:tcPr>
          <w:p w14:paraId="214E6F85">
            <w:r>
              <w:rPr>
                <w:rFonts w:hint="eastAsia"/>
              </w:rPr>
              <w:t>中国证券报、基金管理人网站、中国证监会基金电子披露网站</w:t>
            </w:r>
          </w:p>
        </w:tc>
        <w:tc>
          <w:tcPr>
            <w:tcW w:w="1218" w:type="dxa"/>
            <w:vAlign w:val="center"/>
          </w:tcPr>
          <w:p w14:paraId="20160A79">
            <w:r>
              <w:rPr>
                <w:rFonts w:hint="eastAsia"/>
              </w:rPr>
              <w:t>2025-03-17</w:t>
            </w:r>
          </w:p>
        </w:tc>
      </w:tr>
      <w:tr w14:paraId="7A61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5A9C4D">
            <w:pPr>
              <w:jc w:val="center"/>
            </w:pPr>
            <w:r>
              <w:rPr>
                <w:rFonts w:hint="eastAsia"/>
              </w:rPr>
              <w:t>2</w:t>
            </w:r>
          </w:p>
        </w:tc>
        <w:tc>
          <w:tcPr>
            <w:tcW w:w="4319" w:type="dxa"/>
            <w:vAlign w:val="center"/>
          </w:tcPr>
          <w:p w14:paraId="23043E2C">
            <w:r>
              <w:rPr>
                <w:rFonts w:hint="eastAsia"/>
              </w:rPr>
              <w:t>关于南方稳见3个月持有期混合型基金中基金（FOF）基金份额发售时间的提示性公告</w:t>
            </w:r>
          </w:p>
        </w:tc>
        <w:tc>
          <w:tcPr>
            <w:tcW w:w="2076" w:type="dxa"/>
            <w:vAlign w:val="center"/>
          </w:tcPr>
          <w:p w14:paraId="4A4FFCBA">
            <w:r>
              <w:rPr>
                <w:rFonts w:hint="eastAsia"/>
              </w:rPr>
              <w:t>中国证券报、基金管理人网站、中国证监会基金电子披露网站</w:t>
            </w:r>
          </w:p>
        </w:tc>
        <w:tc>
          <w:tcPr>
            <w:tcW w:w="1218" w:type="dxa"/>
            <w:vAlign w:val="center"/>
          </w:tcPr>
          <w:p w14:paraId="27BACD9C">
            <w:r>
              <w:rPr>
                <w:rFonts w:hint="eastAsia"/>
              </w:rPr>
              <w:t>2025-04-21</w:t>
            </w:r>
          </w:p>
        </w:tc>
      </w:tr>
      <w:tr w14:paraId="1780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8A1CAB">
            <w:pPr>
              <w:jc w:val="center"/>
            </w:pPr>
            <w:r>
              <w:rPr>
                <w:rFonts w:hint="eastAsia"/>
              </w:rPr>
              <w:t>3</w:t>
            </w:r>
          </w:p>
        </w:tc>
        <w:tc>
          <w:tcPr>
            <w:tcW w:w="4319" w:type="dxa"/>
            <w:vAlign w:val="center"/>
          </w:tcPr>
          <w:p w14:paraId="7395DF6C">
            <w:r>
              <w:rPr>
                <w:rFonts w:hint="eastAsia"/>
              </w:rPr>
              <w:t>南方稳见3个月持有期混合型基金中基金（FOF）开放日常申购、赎回及定投业务的公告</w:t>
            </w:r>
          </w:p>
        </w:tc>
        <w:tc>
          <w:tcPr>
            <w:tcW w:w="2076" w:type="dxa"/>
            <w:vAlign w:val="center"/>
          </w:tcPr>
          <w:p w14:paraId="7ED20884">
            <w:r>
              <w:rPr>
                <w:rFonts w:hint="eastAsia"/>
              </w:rPr>
              <w:t>中国证券报、基金管理人网站、中国证监会基金电子披露网站</w:t>
            </w:r>
          </w:p>
        </w:tc>
        <w:tc>
          <w:tcPr>
            <w:tcW w:w="1218" w:type="dxa"/>
            <w:vAlign w:val="center"/>
          </w:tcPr>
          <w:p w14:paraId="77A946EF">
            <w:r>
              <w:rPr>
                <w:rFonts w:hint="eastAsia"/>
              </w:rPr>
              <w:t>2025-07-22</w:t>
            </w:r>
          </w:p>
        </w:tc>
      </w:tr>
      <w:tr w14:paraId="335E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8ED17E">
            <w:pPr>
              <w:jc w:val="center"/>
            </w:pPr>
            <w:r>
              <w:rPr>
                <w:rFonts w:hint="eastAsia"/>
              </w:rPr>
              <w:t>4</w:t>
            </w:r>
          </w:p>
        </w:tc>
        <w:tc>
          <w:tcPr>
            <w:tcW w:w="4319" w:type="dxa"/>
            <w:vAlign w:val="center"/>
          </w:tcPr>
          <w:p w14:paraId="3382439F">
            <w:r>
              <w:rPr>
                <w:rFonts w:hint="eastAsia"/>
              </w:rPr>
              <w:t>南方基金关于旗下直销平台部分基金相关调整的公告</w:t>
            </w:r>
          </w:p>
        </w:tc>
        <w:tc>
          <w:tcPr>
            <w:tcW w:w="2076" w:type="dxa"/>
            <w:vAlign w:val="center"/>
          </w:tcPr>
          <w:p w14:paraId="0D7F7164">
            <w:r>
              <w:rPr>
                <w:rFonts w:hint="eastAsia"/>
              </w:rPr>
              <w:t>中国证券报、基金管理人网站、中国证监会基金电子披露网站</w:t>
            </w:r>
          </w:p>
        </w:tc>
        <w:tc>
          <w:tcPr>
            <w:tcW w:w="1218" w:type="dxa"/>
            <w:vAlign w:val="center"/>
          </w:tcPr>
          <w:p w14:paraId="36715D6A">
            <w:r>
              <w:rPr>
                <w:rFonts w:hint="eastAsia"/>
              </w:rPr>
              <w:t>2025-09-25</w:t>
            </w:r>
          </w:p>
        </w:tc>
      </w:tr>
      <w:tr w14:paraId="6338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DCAF69">
            <w:pPr>
              <w:jc w:val="center"/>
            </w:pPr>
            <w:r>
              <w:rPr>
                <w:rFonts w:hint="eastAsia"/>
              </w:rPr>
              <w:t>5</w:t>
            </w:r>
          </w:p>
        </w:tc>
        <w:tc>
          <w:tcPr>
            <w:tcW w:w="4319" w:type="dxa"/>
            <w:vAlign w:val="center"/>
          </w:tcPr>
          <w:p w14:paraId="2C9BC651">
            <w:r>
              <w:rPr>
                <w:rFonts w:hint="eastAsia"/>
              </w:rPr>
              <w:t>南方稳见3个月持有期混合型基金中基金（FOF）A类份额参与招商银行费率优惠活动的公告</w:t>
            </w:r>
          </w:p>
        </w:tc>
        <w:tc>
          <w:tcPr>
            <w:tcW w:w="2076" w:type="dxa"/>
            <w:vAlign w:val="center"/>
          </w:tcPr>
          <w:p w14:paraId="59FAE334">
            <w:r>
              <w:rPr>
                <w:rFonts w:hint="eastAsia"/>
              </w:rPr>
              <w:t>中国证券报、基金管理人网站、中国证监会基金电子披露网站</w:t>
            </w:r>
          </w:p>
        </w:tc>
        <w:tc>
          <w:tcPr>
            <w:tcW w:w="1218" w:type="dxa"/>
            <w:vAlign w:val="center"/>
          </w:tcPr>
          <w:p w14:paraId="73157153">
            <w:r>
              <w:rPr>
                <w:rFonts w:hint="eastAsia"/>
              </w:rPr>
              <w:t>2025-12-03</w:t>
            </w:r>
          </w:p>
        </w:tc>
      </w:tr>
    </w:tbl>
    <w:p w14:paraId="3C8F196D">
      <w:pPr>
        <w:pStyle w:val="26"/>
      </w:pPr>
      <w:bookmarkStart w:id="207" w:name="_Toc1330"/>
      <w:r>
        <w:t>影响投资者决策的其他重要信息</w:t>
      </w:r>
      <w:bookmarkEnd w:id="207"/>
    </w:p>
    <w:p w14:paraId="1ACD83AE">
      <w:pPr>
        <w:pStyle w:val="23"/>
      </w:pPr>
      <w:bookmarkStart w:id="208" w:name="_Toc18661"/>
      <w:r>
        <w:t>报告期内单一投资者持有基金份额比例达到或超过20%的情况</w:t>
      </w:r>
      <w:bookmarkEnd w:id="208"/>
    </w:p>
    <w:p w14:paraId="41C0ECC1">
      <w:pPr>
        <w:pStyle w:val="18"/>
        <w:rPr>
          <w:rFonts w:hint="eastAsia"/>
        </w:rPr>
      </w:pPr>
      <w:r>
        <w:rPr>
          <w:rFonts w:hint="eastAsia"/>
        </w:rPr>
        <w:t>报告期内单一投资者持有基金份额比例不存在达到或超过20%的情况。</w:t>
      </w:r>
    </w:p>
    <w:p w14:paraId="2460528A">
      <w:pPr>
        <w:pStyle w:val="23"/>
      </w:pPr>
      <w:bookmarkStart w:id="209" w:name="_Toc8870"/>
      <w:r>
        <w:t>影响投资者决策的其他重要信息</w:t>
      </w:r>
      <w:bookmarkEnd w:id="209"/>
    </w:p>
    <w:p w14:paraId="30B49EA5">
      <w:pPr>
        <w:pStyle w:val="18"/>
        <w:rPr>
          <w:rFonts w:hint="eastAsia"/>
        </w:rPr>
      </w:pPr>
      <w:r>
        <w:rPr>
          <w:rFonts w:hint="eastAsia"/>
        </w:rPr>
        <w:t>无。</w:t>
      </w:r>
    </w:p>
    <w:p w14:paraId="190D2E4E">
      <w:pPr>
        <w:pStyle w:val="26"/>
      </w:pPr>
      <w:bookmarkStart w:id="210" w:name="_Toc29190"/>
      <w:r>
        <w:t>备查文件目录</w:t>
      </w:r>
      <w:bookmarkEnd w:id="210"/>
    </w:p>
    <w:p w14:paraId="40841D3D">
      <w:pPr>
        <w:pStyle w:val="23"/>
      </w:pPr>
      <w:bookmarkStart w:id="211" w:name="_Toc19561"/>
      <w:r>
        <w:t>备查文件目录</w:t>
      </w:r>
      <w:bookmarkEnd w:id="211"/>
    </w:p>
    <w:p w14:paraId="4246FDC6">
      <w:pPr>
        <w:pStyle w:val="18"/>
        <w:rPr>
          <w:rFonts w:hint="eastAsia"/>
        </w:rPr>
      </w:pPr>
      <w:r>
        <w:rPr>
          <w:rFonts w:hint="eastAsia"/>
        </w:rPr>
        <w:t>1、中国证监会批准设立南方稳见3个月持有期混合型基金中基金（FOF）的文件；</w:t>
      </w:r>
    </w:p>
    <w:p w14:paraId="623F5752">
      <w:pPr>
        <w:pStyle w:val="18"/>
        <w:rPr>
          <w:rFonts w:hint="eastAsia"/>
        </w:rPr>
      </w:pPr>
      <w:r>
        <w:rPr>
          <w:rFonts w:hint="eastAsia"/>
        </w:rPr>
        <w:t>2、《南方稳见3个月持有期混合型基金中基金（FOF）基金合同》；</w:t>
      </w:r>
    </w:p>
    <w:p w14:paraId="55E7E7A3">
      <w:pPr>
        <w:pStyle w:val="18"/>
        <w:rPr>
          <w:rFonts w:hint="eastAsia"/>
        </w:rPr>
      </w:pPr>
      <w:r>
        <w:rPr>
          <w:rFonts w:hint="eastAsia"/>
        </w:rPr>
        <w:t>3、《南方稳见3个月持有期混合型基金中基金（FOF）托管协议》；</w:t>
      </w:r>
    </w:p>
    <w:p w14:paraId="68AFA244">
      <w:pPr>
        <w:pStyle w:val="18"/>
        <w:rPr>
          <w:rFonts w:hint="eastAsia"/>
        </w:rPr>
      </w:pPr>
      <w:r>
        <w:rPr>
          <w:rFonts w:hint="eastAsia"/>
        </w:rPr>
        <w:t>4、基金管理人业务资格批件、营业执照；</w:t>
      </w:r>
    </w:p>
    <w:p w14:paraId="24E07189">
      <w:pPr>
        <w:pStyle w:val="18"/>
        <w:rPr>
          <w:rFonts w:hint="eastAsia"/>
        </w:rPr>
      </w:pPr>
      <w:r>
        <w:rPr>
          <w:rFonts w:hint="eastAsia"/>
        </w:rPr>
        <w:t>5、报告期内在选定报刊上披露的各项公告；</w:t>
      </w:r>
    </w:p>
    <w:p w14:paraId="1ECE55AC">
      <w:pPr>
        <w:pStyle w:val="18"/>
        <w:rPr>
          <w:rFonts w:hint="eastAsia"/>
        </w:rPr>
      </w:pPr>
      <w:r>
        <w:rPr>
          <w:rFonts w:hint="eastAsia"/>
        </w:rPr>
        <w:t>6、《南方稳见3个月持有期混合型基金中基金（FOF）2025年年度报告》原文。</w:t>
      </w:r>
    </w:p>
    <w:p w14:paraId="2D585784">
      <w:pPr>
        <w:pStyle w:val="23"/>
      </w:pPr>
      <w:bookmarkStart w:id="212" w:name="_Toc2156"/>
      <w:r>
        <w:t>存放地点</w:t>
      </w:r>
      <w:bookmarkEnd w:id="212"/>
    </w:p>
    <w:p w14:paraId="6A04A6A9">
      <w:pPr>
        <w:pStyle w:val="18"/>
        <w:rPr>
          <w:rFonts w:hint="eastAsia"/>
        </w:rPr>
      </w:pPr>
      <w:r>
        <w:rPr>
          <w:rFonts w:hint="eastAsia"/>
        </w:rPr>
        <w:t>深圳市福田区莲花街道益田路5999号基金大厦32-42楼。</w:t>
      </w:r>
    </w:p>
    <w:p w14:paraId="3CBCAD2A">
      <w:pPr>
        <w:pStyle w:val="23"/>
      </w:pPr>
      <w:bookmarkStart w:id="213" w:name="_Toc17616"/>
      <w:r>
        <w:t>查阅方式</w:t>
      </w:r>
      <w:bookmarkEnd w:id="213"/>
    </w:p>
    <w:p w14:paraId="1DB4242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2DD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F1113">
    <w:pPr>
      <w:pStyle w:val="7"/>
      <w:pBdr>
        <w:bottom w:val="single" w:color="auto" w:sz="4" w:space="1"/>
      </w:pBdr>
      <w:jc w:val="right"/>
    </w:pPr>
    <w:r>
      <w:t>南方稳见3个月持有期混合型基金中基金（FOF）2025年年度报告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AC1D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4637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8A8672126D304BD799A83DE19DC6AF5C_12</vt:lpwstr>
  </property>
</Properties>
</file>