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FE0698">
      <w:pPr>
        <w:pStyle w:val="18"/>
        <w:ind w:firstLine="420"/>
      </w:pPr>
      <w:bookmarkStart w:id="208" w:name="_GoBack"/>
      <w:bookmarkEnd w:id="208"/>
    </w:p>
    <w:p w14:paraId="6787A13F">
      <w:pPr>
        <w:jc w:val="center"/>
        <w:rPr>
          <w:rFonts w:ascii="宋体" w:hAnsi="宋体"/>
          <w:b/>
          <w:bCs/>
          <w:sz w:val="28"/>
          <w:szCs w:val="30"/>
        </w:rPr>
      </w:pPr>
    </w:p>
    <w:p w14:paraId="4F5CD17B">
      <w:pPr>
        <w:jc w:val="center"/>
        <w:rPr>
          <w:rFonts w:ascii="宋体" w:hAnsi="宋体"/>
          <w:b/>
          <w:bCs/>
          <w:sz w:val="48"/>
          <w:szCs w:val="30"/>
        </w:rPr>
      </w:pPr>
      <w:r>
        <w:rPr>
          <w:rFonts w:ascii="宋体" w:hAnsi="宋体"/>
          <w:b/>
          <w:bCs/>
          <w:sz w:val="48"/>
          <w:szCs w:val="30"/>
        </w:rPr>
        <w:t>南方基金南方东英富时亚太低碳精选交易型开放式指数证券投资基金发起式联接基金（QDII）2025年年度报告</w:t>
      </w:r>
    </w:p>
    <w:p w14:paraId="49E8F457">
      <w:pPr>
        <w:jc w:val="center"/>
        <w:rPr>
          <w:rFonts w:ascii="宋体" w:hAnsi="宋体"/>
          <w:b/>
          <w:bCs/>
          <w:sz w:val="48"/>
          <w:szCs w:val="30"/>
        </w:rPr>
      </w:pPr>
      <w:bookmarkStart w:id="0" w:name="OLE_LINK2"/>
      <w:bookmarkStart w:id="1" w:name="OLE_LINK1"/>
    </w:p>
    <w:p w14:paraId="6A15CD35">
      <w:pPr>
        <w:jc w:val="center"/>
        <w:rPr>
          <w:rFonts w:ascii="宋体" w:hAnsi="宋体"/>
          <w:b/>
          <w:bCs/>
          <w:sz w:val="28"/>
          <w:szCs w:val="30"/>
        </w:rPr>
      </w:pPr>
    </w:p>
    <w:bookmarkEnd w:id="0"/>
    <w:bookmarkEnd w:id="1"/>
    <w:p w14:paraId="2B9B17A8">
      <w:pPr>
        <w:jc w:val="center"/>
        <w:rPr>
          <w:rFonts w:ascii="宋体" w:hAnsi="宋体"/>
          <w:b/>
          <w:bCs/>
          <w:sz w:val="28"/>
          <w:szCs w:val="30"/>
        </w:rPr>
      </w:pPr>
      <w:r>
        <w:rPr>
          <w:rFonts w:ascii="宋体" w:hAnsi="宋体"/>
          <w:b/>
          <w:bCs/>
          <w:sz w:val="28"/>
          <w:szCs w:val="30"/>
        </w:rPr>
        <w:t>2025年12月31日</w:t>
      </w:r>
    </w:p>
    <w:p w14:paraId="759BBA89">
      <w:pPr>
        <w:jc w:val="center"/>
        <w:rPr>
          <w:rFonts w:ascii="宋体" w:hAnsi="宋体"/>
          <w:sz w:val="28"/>
          <w:szCs w:val="30"/>
        </w:rPr>
      </w:pPr>
    </w:p>
    <w:p w14:paraId="5453725E">
      <w:pPr>
        <w:jc w:val="center"/>
        <w:rPr>
          <w:rFonts w:ascii="宋体" w:hAnsi="宋体"/>
          <w:sz w:val="28"/>
          <w:szCs w:val="30"/>
        </w:rPr>
      </w:pPr>
    </w:p>
    <w:p w14:paraId="09367645">
      <w:pPr>
        <w:jc w:val="center"/>
        <w:rPr>
          <w:rFonts w:ascii="宋体" w:hAnsi="宋体"/>
          <w:sz w:val="28"/>
          <w:szCs w:val="30"/>
        </w:rPr>
      </w:pPr>
    </w:p>
    <w:p w14:paraId="187E90B8">
      <w:pPr>
        <w:jc w:val="center"/>
        <w:rPr>
          <w:rFonts w:ascii="宋体" w:hAnsi="宋体"/>
          <w:sz w:val="28"/>
          <w:szCs w:val="30"/>
        </w:rPr>
      </w:pPr>
    </w:p>
    <w:p w14:paraId="5FA61E5C">
      <w:pPr>
        <w:jc w:val="center"/>
        <w:rPr>
          <w:rFonts w:ascii="宋体" w:hAnsi="宋体"/>
          <w:sz w:val="28"/>
          <w:szCs w:val="30"/>
        </w:rPr>
      </w:pPr>
    </w:p>
    <w:p w14:paraId="60181DF7">
      <w:pPr>
        <w:jc w:val="center"/>
        <w:rPr>
          <w:rFonts w:ascii="宋体" w:hAnsi="宋体"/>
          <w:sz w:val="28"/>
          <w:szCs w:val="30"/>
        </w:rPr>
      </w:pPr>
    </w:p>
    <w:p w14:paraId="31D95AF2">
      <w:pPr>
        <w:jc w:val="center"/>
        <w:rPr>
          <w:rFonts w:ascii="宋体" w:hAnsi="宋体"/>
          <w:sz w:val="28"/>
          <w:szCs w:val="30"/>
        </w:rPr>
      </w:pPr>
    </w:p>
    <w:p w14:paraId="5CCEAA5A">
      <w:pPr>
        <w:jc w:val="center"/>
        <w:rPr>
          <w:rFonts w:ascii="宋体" w:hAnsi="宋体"/>
          <w:sz w:val="28"/>
          <w:szCs w:val="30"/>
        </w:rPr>
      </w:pPr>
    </w:p>
    <w:p w14:paraId="62585668">
      <w:pPr>
        <w:jc w:val="center"/>
        <w:rPr>
          <w:rFonts w:ascii="宋体" w:hAnsi="宋体"/>
          <w:sz w:val="28"/>
          <w:szCs w:val="30"/>
        </w:rPr>
      </w:pPr>
    </w:p>
    <w:p w14:paraId="4894093E">
      <w:pPr>
        <w:jc w:val="center"/>
        <w:rPr>
          <w:rFonts w:ascii="宋体" w:hAnsi="宋体"/>
          <w:sz w:val="28"/>
          <w:szCs w:val="30"/>
        </w:rPr>
      </w:pPr>
    </w:p>
    <w:p w14:paraId="29079245">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05D8FEA">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073449C3">
      <w:pPr>
        <w:ind w:firstLine="1687" w:firstLineChars="600"/>
        <w:rPr>
          <w:rFonts w:ascii="宋体" w:hAnsi="宋体"/>
          <w:b/>
          <w:bCs/>
          <w:sz w:val="28"/>
          <w:szCs w:val="30"/>
        </w:rPr>
      </w:pPr>
      <w:r>
        <w:rPr>
          <w:rFonts w:hint="eastAsia" w:ascii="宋体" w:hAnsi="宋体"/>
          <w:b/>
          <w:bCs/>
          <w:sz w:val="28"/>
          <w:szCs w:val="30"/>
        </w:rPr>
        <w:t>送出日期：2026年3月31日</w:t>
      </w:r>
    </w:p>
    <w:p w14:paraId="0DED2F3A">
      <w:pPr>
        <w:ind w:firstLine="1687" w:firstLineChars="600"/>
        <w:rPr>
          <w:rFonts w:ascii="宋体" w:hAnsi="宋体"/>
          <w:b/>
          <w:bCs/>
          <w:sz w:val="28"/>
          <w:szCs w:val="30"/>
        </w:rPr>
      </w:pPr>
    </w:p>
    <w:p w14:paraId="688C1136">
      <w:pPr>
        <w:snapToGrid w:val="0"/>
        <w:spacing w:line="360" w:lineRule="auto"/>
        <w:jc w:val="left"/>
      </w:pPr>
      <w:r>
        <w:br w:type="page"/>
      </w:r>
    </w:p>
    <w:p w14:paraId="029D280A"/>
    <w:p w14:paraId="6A650BF5">
      <w:pPr>
        <w:pStyle w:val="26"/>
      </w:pPr>
      <w:bookmarkStart w:id="2" w:name="_Toc5268"/>
      <w:r>
        <w:t>重要提示及目录</w:t>
      </w:r>
      <w:bookmarkEnd w:id="2"/>
    </w:p>
    <w:p w14:paraId="3E23313A">
      <w:pPr>
        <w:pStyle w:val="23"/>
      </w:pPr>
      <w:bookmarkStart w:id="3" w:name="_Toc29620"/>
      <w:r>
        <w:t>重要提示</w:t>
      </w:r>
      <w:bookmarkEnd w:id="3"/>
    </w:p>
    <w:p w14:paraId="7A491A0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DB63FBF">
      <w:pPr>
        <w:pStyle w:val="18"/>
        <w:rPr>
          <w:rFonts w:hint="eastAsia"/>
        </w:rPr>
      </w:pPr>
      <w:r>
        <w:rPr>
          <w:rFonts w:hint="eastAsia"/>
        </w:rPr>
        <w:t>本年度报告已经三分之二以上独立董事签字同意，并由董事长签发。</w:t>
      </w:r>
    </w:p>
    <w:p w14:paraId="5A0B5957">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0AF41AD4">
      <w:pPr>
        <w:pStyle w:val="18"/>
        <w:rPr>
          <w:rFonts w:hint="eastAsia"/>
        </w:rPr>
      </w:pPr>
      <w:r>
        <w:rPr>
          <w:rFonts w:hint="eastAsia"/>
        </w:rPr>
        <w:t>基金管理人承诺以诚实信用、勤勉尽责的原则管理和运用基金资产，但不保证基金一定盈利。</w:t>
      </w:r>
    </w:p>
    <w:p w14:paraId="2AF2DE21">
      <w:pPr>
        <w:pStyle w:val="18"/>
        <w:rPr>
          <w:rFonts w:hint="eastAsia"/>
        </w:rPr>
      </w:pPr>
      <w:r>
        <w:rPr>
          <w:rFonts w:hint="eastAsia"/>
        </w:rPr>
        <w:t>基金的过往业绩并不代表其未来表现。投资有风险，投资者在作出投资决策前应仔细阅读本基金的招募说明书及其更新。</w:t>
      </w:r>
    </w:p>
    <w:p w14:paraId="7ED7362A">
      <w:pPr>
        <w:pStyle w:val="18"/>
        <w:rPr>
          <w:rFonts w:hint="eastAsia"/>
        </w:rPr>
      </w:pPr>
      <w:r>
        <w:rPr>
          <w:rFonts w:hint="eastAsia"/>
        </w:rPr>
        <w:t>本报告期自2025年1月1日起至12月31日止。</w:t>
      </w:r>
    </w:p>
    <w:p w14:paraId="465FF512">
      <w:pPr>
        <w:pStyle w:val="23"/>
        <w:pageBreakBefore/>
      </w:pPr>
      <w:bookmarkStart w:id="4" w:name="_Toc368"/>
      <w:r>
        <w:t>目录</w:t>
      </w:r>
      <w:bookmarkEnd w:id="4"/>
    </w:p>
    <w:sdt>
      <w:sdtPr>
        <w:rPr>
          <w:rFonts w:ascii="宋体" w:hAnsi="宋体" w:eastAsia="宋体"/>
          <w:color w:val="DBDBDB"/>
          <w:sz w:val="21"/>
          <w:szCs w:val="24"/>
          <w:lang w:val="en-US" w:eastAsia="zh-CN" w:bidi="ar-SA"/>
        </w:rPr>
        <w:id w:val="41407"/>
        <w:docPartObj>
          <w:docPartGallery w:val="Table of Contents"/>
          <w:docPartUnique/>
        </w:docPartObj>
      </w:sdtPr>
      <w:sdtEndPr>
        <w:rPr>
          <w:rFonts w:ascii="宋体" w:hAnsi="宋体" w:eastAsia="宋体"/>
          <w:b/>
          <w:color w:val="DBDBDB"/>
          <w:sz w:val="21"/>
          <w:szCs w:val="24"/>
          <w:lang w:val="en-US" w:eastAsia="zh-CN" w:bidi="ar-SA"/>
        </w:rPr>
      </w:sdtEndPr>
      <w:sdtContent>
        <w:p w14:paraId="36A6AB48">
          <w:pPr>
            <w:pStyle w:val="61"/>
            <w:spacing w:before="0" w:beforeLines="0" w:after="0" w:afterLines="0" w:line="240" w:lineRule="auto"/>
            <w:ind w:left="0" w:leftChars="0" w:right="0" w:rightChars="0" w:firstLine="0" w:firstLineChars="0"/>
            <w:jc w:val="center"/>
            <w:rPr>
              <w:b/>
            </w:rPr>
          </w:pPr>
          <w:r>
            <w:rPr>
              <w:b/>
              <w:lang w:val="zh-CN"/>
            </w:rPr>
            <w:t>目录</w:t>
          </w:r>
        </w:p>
        <w:p w14:paraId="4D56F52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_Toc5268 </w:instrText>
          </w:r>
          <w:r>
            <w:fldChar w:fldCharType="separate"/>
          </w:r>
          <w:r>
            <w:rPr>
              <w:rFonts w:hint="eastAsia"/>
            </w:rPr>
            <w:t xml:space="preserve">§1 </w:t>
          </w:r>
          <w:r>
            <w:t>重要提示及目录</w:t>
          </w:r>
          <w:r>
            <w:tab/>
          </w:r>
          <w:r>
            <w:fldChar w:fldCharType="begin"/>
          </w:r>
          <w:r>
            <w:instrText xml:space="preserve"> PAGEREF _Toc5268 \h </w:instrText>
          </w:r>
          <w:r>
            <w:fldChar w:fldCharType="separate"/>
          </w:r>
          <w:r>
            <w:t>1</w:t>
          </w:r>
          <w:r>
            <w:fldChar w:fldCharType="end"/>
          </w:r>
          <w:r>
            <w:fldChar w:fldCharType="end"/>
          </w:r>
        </w:p>
        <w:p w14:paraId="63AB8A20">
          <w:pPr>
            <w:pStyle w:val="10"/>
            <w:tabs>
              <w:tab w:val="right" w:leader="dot" w:pos="8306"/>
            </w:tabs>
          </w:pPr>
          <w:r>
            <w:fldChar w:fldCharType="begin"/>
          </w:r>
          <w:r>
            <w:instrText xml:space="preserve"> HYPERLINK \l _Toc29620 </w:instrText>
          </w:r>
          <w:r>
            <w:fldChar w:fldCharType="separate"/>
          </w:r>
          <w:r>
            <w:rPr>
              <w:rFonts w:hint="eastAsia"/>
            </w:rPr>
            <w:t xml:space="preserve">1.1 </w:t>
          </w:r>
          <w:r>
            <w:t>重要提示</w:t>
          </w:r>
          <w:r>
            <w:tab/>
          </w:r>
          <w:r>
            <w:fldChar w:fldCharType="begin"/>
          </w:r>
          <w:r>
            <w:instrText xml:space="preserve"> PAGEREF _Toc29620 \h </w:instrText>
          </w:r>
          <w:r>
            <w:fldChar w:fldCharType="separate"/>
          </w:r>
          <w:r>
            <w:t>1</w:t>
          </w:r>
          <w:r>
            <w:fldChar w:fldCharType="end"/>
          </w:r>
          <w:r>
            <w:fldChar w:fldCharType="end"/>
          </w:r>
        </w:p>
        <w:p w14:paraId="5D55BF77">
          <w:pPr>
            <w:pStyle w:val="10"/>
            <w:tabs>
              <w:tab w:val="right" w:leader="dot" w:pos="8306"/>
            </w:tabs>
          </w:pPr>
          <w:r>
            <w:fldChar w:fldCharType="begin"/>
          </w:r>
          <w:r>
            <w:instrText xml:space="preserve"> HYPERLINK \l _Toc368 </w:instrText>
          </w:r>
          <w:r>
            <w:fldChar w:fldCharType="separate"/>
          </w:r>
          <w:r>
            <w:rPr>
              <w:rFonts w:hint="eastAsia"/>
            </w:rPr>
            <w:t xml:space="preserve">1.2 </w:t>
          </w:r>
          <w:r>
            <w:t>目录</w:t>
          </w:r>
          <w:r>
            <w:tab/>
          </w:r>
          <w:r>
            <w:fldChar w:fldCharType="begin"/>
          </w:r>
          <w:r>
            <w:instrText xml:space="preserve"> PAGEREF _Toc368 \h </w:instrText>
          </w:r>
          <w:r>
            <w:fldChar w:fldCharType="separate"/>
          </w:r>
          <w:r>
            <w:t>2</w:t>
          </w:r>
          <w:r>
            <w:fldChar w:fldCharType="end"/>
          </w:r>
          <w:r>
            <w:fldChar w:fldCharType="end"/>
          </w:r>
        </w:p>
        <w:p w14:paraId="0804C532">
          <w:pPr>
            <w:pStyle w:val="8"/>
            <w:tabs>
              <w:tab w:val="right" w:leader="dot" w:pos="8306"/>
            </w:tabs>
          </w:pPr>
          <w:r>
            <w:fldChar w:fldCharType="begin"/>
          </w:r>
          <w:r>
            <w:instrText xml:space="preserve"> HYPERLINK \l _Toc14806 </w:instrText>
          </w:r>
          <w:r>
            <w:fldChar w:fldCharType="separate"/>
          </w:r>
          <w:r>
            <w:rPr>
              <w:rFonts w:hint="eastAsia"/>
            </w:rPr>
            <w:t xml:space="preserve">§2 </w:t>
          </w:r>
          <w:r>
            <w:t>基金简介</w:t>
          </w:r>
          <w:r>
            <w:tab/>
          </w:r>
          <w:r>
            <w:fldChar w:fldCharType="begin"/>
          </w:r>
          <w:r>
            <w:instrText xml:space="preserve"> PAGEREF _Toc14806 \h </w:instrText>
          </w:r>
          <w:r>
            <w:fldChar w:fldCharType="separate"/>
          </w:r>
          <w:r>
            <w:t>4</w:t>
          </w:r>
          <w:r>
            <w:fldChar w:fldCharType="end"/>
          </w:r>
          <w:r>
            <w:fldChar w:fldCharType="end"/>
          </w:r>
        </w:p>
        <w:p w14:paraId="1F0311B1">
          <w:pPr>
            <w:pStyle w:val="10"/>
            <w:tabs>
              <w:tab w:val="right" w:leader="dot" w:pos="8306"/>
            </w:tabs>
          </w:pPr>
          <w:r>
            <w:fldChar w:fldCharType="begin"/>
          </w:r>
          <w:r>
            <w:instrText xml:space="preserve"> HYPERLINK \l _Toc769 </w:instrText>
          </w:r>
          <w:r>
            <w:fldChar w:fldCharType="separate"/>
          </w:r>
          <w:r>
            <w:rPr>
              <w:rFonts w:hint="eastAsia"/>
            </w:rPr>
            <w:t xml:space="preserve">2.1 </w:t>
          </w:r>
          <w:r>
            <w:t>基金基本情况</w:t>
          </w:r>
          <w:r>
            <w:tab/>
          </w:r>
          <w:r>
            <w:fldChar w:fldCharType="begin"/>
          </w:r>
          <w:r>
            <w:instrText xml:space="preserve"> PAGEREF _Toc769 \h </w:instrText>
          </w:r>
          <w:r>
            <w:fldChar w:fldCharType="separate"/>
          </w:r>
          <w:r>
            <w:t>4</w:t>
          </w:r>
          <w:r>
            <w:fldChar w:fldCharType="end"/>
          </w:r>
          <w:r>
            <w:fldChar w:fldCharType="end"/>
          </w:r>
        </w:p>
        <w:p w14:paraId="6DCA7373">
          <w:pPr>
            <w:pStyle w:val="10"/>
            <w:tabs>
              <w:tab w:val="right" w:leader="dot" w:pos="8306"/>
            </w:tabs>
          </w:pPr>
          <w:r>
            <w:fldChar w:fldCharType="begin"/>
          </w:r>
          <w:r>
            <w:instrText xml:space="preserve"> HYPERLINK \l _Toc19166 </w:instrText>
          </w:r>
          <w:r>
            <w:fldChar w:fldCharType="separate"/>
          </w:r>
          <w:r>
            <w:rPr>
              <w:rFonts w:hint="eastAsia"/>
            </w:rPr>
            <w:t xml:space="preserve">2.2 </w:t>
          </w:r>
          <w:r>
            <w:t>基金产品说明</w:t>
          </w:r>
          <w:r>
            <w:tab/>
          </w:r>
          <w:r>
            <w:fldChar w:fldCharType="begin"/>
          </w:r>
          <w:r>
            <w:instrText xml:space="preserve"> PAGEREF _Toc19166 \h </w:instrText>
          </w:r>
          <w:r>
            <w:fldChar w:fldCharType="separate"/>
          </w:r>
          <w:r>
            <w:t>4</w:t>
          </w:r>
          <w:r>
            <w:fldChar w:fldCharType="end"/>
          </w:r>
          <w:r>
            <w:fldChar w:fldCharType="end"/>
          </w:r>
        </w:p>
        <w:p w14:paraId="13BAD204">
          <w:pPr>
            <w:pStyle w:val="10"/>
            <w:tabs>
              <w:tab w:val="right" w:leader="dot" w:pos="8306"/>
            </w:tabs>
          </w:pPr>
          <w:r>
            <w:fldChar w:fldCharType="begin"/>
          </w:r>
          <w:r>
            <w:instrText xml:space="preserve"> HYPERLINK \l _Toc23009 </w:instrText>
          </w:r>
          <w:r>
            <w:fldChar w:fldCharType="separate"/>
          </w:r>
          <w:r>
            <w:rPr>
              <w:rFonts w:hint="eastAsia"/>
            </w:rPr>
            <w:t xml:space="preserve">2.3 </w:t>
          </w:r>
          <w:r>
            <w:t>目标基金基本情况</w:t>
          </w:r>
          <w:r>
            <w:tab/>
          </w:r>
          <w:r>
            <w:fldChar w:fldCharType="begin"/>
          </w:r>
          <w:r>
            <w:instrText xml:space="preserve"> PAGEREF _Toc23009 \h </w:instrText>
          </w:r>
          <w:r>
            <w:fldChar w:fldCharType="separate"/>
          </w:r>
          <w:r>
            <w:t>5</w:t>
          </w:r>
          <w:r>
            <w:fldChar w:fldCharType="end"/>
          </w:r>
          <w:r>
            <w:fldChar w:fldCharType="end"/>
          </w:r>
        </w:p>
        <w:p w14:paraId="394C1CC2">
          <w:pPr>
            <w:pStyle w:val="10"/>
            <w:tabs>
              <w:tab w:val="right" w:leader="dot" w:pos="8306"/>
            </w:tabs>
          </w:pPr>
          <w:r>
            <w:fldChar w:fldCharType="begin"/>
          </w:r>
          <w:r>
            <w:instrText xml:space="preserve"> HYPERLINK \l _Toc18166 </w:instrText>
          </w:r>
          <w:r>
            <w:fldChar w:fldCharType="separate"/>
          </w:r>
          <w:r>
            <w:rPr>
              <w:rFonts w:hint="eastAsia"/>
            </w:rPr>
            <w:t xml:space="preserve">2.4 </w:t>
          </w:r>
          <w:r>
            <w:t>目标基金产品说明</w:t>
          </w:r>
          <w:r>
            <w:tab/>
          </w:r>
          <w:r>
            <w:fldChar w:fldCharType="begin"/>
          </w:r>
          <w:r>
            <w:instrText xml:space="preserve"> PAGEREF _Toc18166 \h </w:instrText>
          </w:r>
          <w:r>
            <w:fldChar w:fldCharType="separate"/>
          </w:r>
          <w:r>
            <w:t>5</w:t>
          </w:r>
          <w:r>
            <w:fldChar w:fldCharType="end"/>
          </w:r>
          <w:r>
            <w:fldChar w:fldCharType="end"/>
          </w:r>
        </w:p>
        <w:p w14:paraId="3E99ADD9">
          <w:pPr>
            <w:pStyle w:val="10"/>
            <w:tabs>
              <w:tab w:val="right" w:leader="dot" w:pos="8306"/>
            </w:tabs>
          </w:pPr>
          <w:r>
            <w:fldChar w:fldCharType="begin"/>
          </w:r>
          <w:r>
            <w:instrText xml:space="preserve"> HYPERLINK \l _Toc1927 </w:instrText>
          </w:r>
          <w:r>
            <w:fldChar w:fldCharType="separate"/>
          </w:r>
          <w:r>
            <w:rPr>
              <w:rFonts w:hint="eastAsia"/>
            </w:rPr>
            <w:t xml:space="preserve">2.5 </w:t>
          </w:r>
          <w:r>
            <w:t>基金管理人和基金托管人</w:t>
          </w:r>
          <w:r>
            <w:tab/>
          </w:r>
          <w:r>
            <w:fldChar w:fldCharType="begin"/>
          </w:r>
          <w:r>
            <w:instrText xml:space="preserve"> PAGEREF _Toc1927 \h </w:instrText>
          </w:r>
          <w:r>
            <w:fldChar w:fldCharType="separate"/>
          </w:r>
          <w:r>
            <w:t>6</w:t>
          </w:r>
          <w:r>
            <w:fldChar w:fldCharType="end"/>
          </w:r>
          <w:r>
            <w:fldChar w:fldCharType="end"/>
          </w:r>
        </w:p>
        <w:p w14:paraId="57206B7E">
          <w:pPr>
            <w:pStyle w:val="10"/>
            <w:tabs>
              <w:tab w:val="right" w:leader="dot" w:pos="8306"/>
            </w:tabs>
          </w:pPr>
          <w:r>
            <w:fldChar w:fldCharType="begin"/>
          </w:r>
          <w:r>
            <w:instrText xml:space="preserve"> HYPERLINK \l _Toc27602 </w:instrText>
          </w:r>
          <w:r>
            <w:fldChar w:fldCharType="separate"/>
          </w:r>
          <w:r>
            <w:rPr>
              <w:rFonts w:hint="eastAsia"/>
            </w:rPr>
            <w:t xml:space="preserve">2.6 </w:t>
          </w:r>
          <w:r>
            <w:t>境外投资顾问和境外资产托管人</w:t>
          </w:r>
          <w:r>
            <w:tab/>
          </w:r>
          <w:r>
            <w:fldChar w:fldCharType="begin"/>
          </w:r>
          <w:r>
            <w:instrText xml:space="preserve"> PAGEREF _Toc27602 \h </w:instrText>
          </w:r>
          <w:r>
            <w:fldChar w:fldCharType="separate"/>
          </w:r>
          <w:r>
            <w:t>6</w:t>
          </w:r>
          <w:r>
            <w:fldChar w:fldCharType="end"/>
          </w:r>
          <w:r>
            <w:fldChar w:fldCharType="end"/>
          </w:r>
        </w:p>
        <w:p w14:paraId="7777CCDF">
          <w:pPr>
            <w:pStyle w:val="10"/>
            <w:tabs>
              <w:tab w:val="right" w:leader="dot" w:pos="8306"/>
            </w:tabs>
          </w:pPr>
          <w:r>
            <w:fldChar w:fldCharType="begin"/>
          </w:r>
          <w:r>
            <w:instrText xml:space="preserve"> HYPERLINK \l _Toc21672 </w:instrText>
          </w:r>
          <w:r>
            <w:fldChar w:fldCharType="separate"/>
          </w:r>
          <w:r>
            <w:rPr>
              <w:rFonts w:hint="eastAsia"/>
            </w:rPr>
            <w:t xml:space="preserve">2.7 </w:t>
          </w:r>
          <w:r>
            <w:t>信息披露方式</w:t>
          </w:r>
          <w:r>
            <w:tab/>
          </w:r>
          <w:r>
            <w:fldChar w:fldCharType="begin"/>
          </w:r>
          <w:r>
            <w:instrText xml:space="preserve"> PAGEREF _Toc21672 \h </w:instrText>
          </w:r>
          <w:r>
            <w:fldChar w:fldCharType="separate"/>
          </w:r>
          <w:r>
            <w:t>6</w:t>
          </w:r>
          <w:r>
            <w:fldChar w:fldCharType="end"/>
          </w:r>
          <w:r>
            <w:fldChar w:fldCharType="end"/>
          </w:r>
        </w:p>
        <w:p w14:paraId="6685FA20">
          <w:pPr>
            <w:pStyle w:val="10"/>
            <w:tabs>
              <w:tab w:val="right" w:leader="dot" w:pos="8306"/>
            </w:tabs>
          </w:pPr>
          <w:r>
            <w:fldChar w:fldCharType="begin"/>
          </w:r>
          <w:r>
            <w:instrText xml:space="preserve"> HYPERLINK \l _Toc502 </w:instrText>
          </w:r>
          <w:r>
            <w:fldChar w:fldCharType="separate"/>
          </w:r>
          <w:r>
            <w:rPr>
              <w:rFonts w:hint="eastAsia"/>
            </w:rPr>
            <w:t xml:space="preserve">2.8 </w:t>
          </w:r>
          <w:r>
            <w:t>其他相关资料</w:t>
          </w:r>
          <w:r>
            <w:tab/>
          </w:r>
          <w:r>
            <w:fldChar w:fldCharType="begin"/>
          </w:r>
          <w:r>
            <w:instrText xml:space="preserve"> PAGEREF _Toc502 \h </w:instrText>
          </w:r>
          <w:r>
            <w:fldChar w:fldCharType="separate"/>
          </w:r>
          <w:r>
            <w:t>7</w:t>
          </w:r>
          <w:r>
            <w:fldChar w:fldCharType="end"/>
          </w:r>
          <w:r>
            <w:fldChar w:fldCharType="end"/>
          </w:r>
        </w:p>
        <w:p w14:paraId="13CA4894">
          <w:pPr>
            <w:pStyle w:val="8"/>
            <w:tabs>
              <w:tab w:val="right" w:leader="dot" w:pos="8306"/>
            </w:tabs>
          </w:pPr>
          <w:r>
            <w:fldChar w:fldCharType="begin"/>
          </w:r>
          <w:r>
            <w:instrText xml:space="preserve"> HYPERLINK \l _Toc1996 </w:instrText>
          </w:r>
          <w:r>
            <w:fldChar w:fldCharType="separate"/>
          </w:r>
          <w:r>
            <w:rPr>
              <w:rFonts w:hint="eastAsia"/>
            </w:rPr>
            <w:t xml:space="preserve">§3 </w:t>
          </w:r>
          <w:r>
            <w:t>主要财务指标、基金净值表现及利润分配情况</w:t>
          </w:r>
          <w:r>
            <w:tab/>
          </w:r>
          <w:r>
            <w:fldChar w:fldCharType="begin"/>
          </w:r>
          <w:r>
            <w:instrText xml:space="preserve"> PAGEREF _Toc1996 \h </w:instrText>
          </w:r>
          <w:r>
            <w:fldChar w:fldCharType="separate"/>
          </w:r>
          <w:r>
            <w:t>8</w:t>
          </w:r>
          <w:r>
            <w:fldChar w:fldCharType="end"/>
          </w:r>
          <w:r>
            <w:fldChar w:fldCharType="end"/>
          </w:r>
        </w:p>
        <w:p w14:paraId="13952B13">
          <w:pPr>
            <w:pStyle w:val="10"/>
            <w:tabs>
              <w:tab w:val="right" w:leader="dot" w:pos="8306"/>
            </w:tabs>
          </w:pPr>
          <w:r>
            <w:fldChar w:fldCharType="begin"/>
          </w:r>
          <w:r>
            <w:instrText xml:space="preserve"> HYPERLINK \l _Toc15734 </w:instrText>
          </w:r>
          <w:r>
            <w:fldChar w:fldCharType="separate"/>
          </w:r>
          <w:r>
            <w:rPr>
              <w:rFonts w:hint="eastAsia"/>
            </w:rPr>
            <w:t xml:space="preserve">3.1 </w:t>
          </w:r>
          <w:r>
            <w:t>主要会计数据和财务指标</w:t>
          </w:r>
          <w:r>
            <w:tab/>
          </w:r>
          <w:r>
            <w:fldChar w:fldCharType="begin"/>
          </w:r>
          <w:r>
            <w:instrText xml:space="preserve"> PAGEREF _Toc15734 \h </w:instrText>
          </w:r>
          <w:r>
            <w:fldChar w:fldCharType="separate"/>
          </w:r>
          <w:r>
            <w:t>8</w:t>
          </w:r>
          <w:r>
            <w:fldChar w:fldCharType="end"/>
          </w:r>
          <w:r>
            <w:fldChar w:fldCharType="end"/>
          </w:r>
        </w:p>
        <w:p w14:paraId="3349A376">
          <w:pPr>
            <w:pStyle w:val="10"/>
            <w:tabs>
              <w:tab w:val="right" w:leader="dot" w:pos="8306"/>
            </w:tabs>
          </w:pPr>
          <w:r>
            <w:fldChar w:fldCharType="begin"/>
          </w:r>
          <w:r>
            <w:instrText xml:space="preserve"> HYPERLINK \l _Toc13733 </w:instrText>
          </w:r>
          <w:r>
            <w:fldChar w:fldCharType="separate"/>
          </w:r>
          <w:r>
            <w:rPr>
              <w:rFonts w:hint="eastAsia"/>
            </w:rPr>
            <w:t xml:space="preserve">3.2 </w:t>
          </w:r>
          <w:r>
            <w:t>基金净值表现</w:t>
          </w:r>
          <w:r>
            <w:tab/>
          </w:r>
          <w:r>
            <w:fldChar w:fldCharType="begin"/>
          </w:r>
          <w:r>
            <w:instrText xml:space="preserve"> PAGEREF _Toc13733 \h </w:instrText>
          </w:r>
          <w:r>
            <w:fldChar w:fldCharType="separate"/>
          </w:r>
          <w:r>
            <w:t>9</w:t>
          </w:r>
          <w:r>
            <w:fldChar w:fldCharType="end"/>
          </w:r>
          <w:r>
            <w:fldChar w:fldCharType="end"/>
          </w:r>
        </w:p>
        <w:p w14:paraId="7135824B">
          <w:pPr>
            <w:pStyle w:val="10"/>
            <w:tabs>
              <w:tab w:val="right" w:leader="dot" w:pos="8306"/>
            </w:tabs>
          </w:pPr>
          <w:r>
            <w:fldChar w:fldCharType="begin"/>
          </w:r>
          <w:r>
            <w:instrText xml:space="preserve"> HYPERLINK \l _Toc30082 </w:instrText>
          </w:r>
          <w:r>
            <w:fldChar w:fldCharType="separate"/>
          </w:r>
          <w:r>
            <w:rPr>
              <w:rFonts w:hint="eastAsia"/>
            </w:rPr>
            <w:t xml:space="preserve">3.3 </w:t>
          </w:r>
          <w:r>
            <w:t>过去三年基金的利润分配情况</w:t>
          </w:r>
          <w:r>
            <w:tab/>
          </w:r>
          <w:r>
            <w:fldChar w:fldCharType="begin"/>
          </w:r>
          <w:r>
            <w:instrText xml:space="preserve"> PAGEREF _Toc30082 \h </w:instrText>
          </w:r>
          <w:r>
            <w:fldChar w:fldCharType="separate"/>
          </w:r>
          <w:r>
            <w:t>11</w:t>
          </w:r>
          <w:r>
            <w:fldChar w:fldCharType="end"/>
          </w:r>
          <w:r>
            <w:fldChar w:fldCharType="end"/>
          </w:r>
        </w:p>
        <w:p w14:paraId="3EFA21B5">
          <w:pPr>
            <w:pStyle w:val="8"/>
            <w:tabs>
              <w:tab w:val="right" w:leader="dot" w:pos="8306"/>
            </w:tabs>
          </w:pPr>
          <w:r>
            <w:fldChar w:fldCharType="begin"/>
          </w:r>
          <w:r>
            <w:instrText xml:space="preserve"> HYPERLINK \l _Toc8411 </w:instrText>
          </w:r>
          <w:r>
            <w:fldChar w:fldCharType="separate"/>
          </w:r>
          <w:r>
            <w:rPr>
              <w:rFonts w:hint="eastAsia"/>
            </w:rPr>
            <w:t xml:space="preserve">§4 </w:t>
          </w:r>
          <w:r>
            <w:t>管理人报告</w:t>
          </w:r>
          <w:r>
            <w:tab/>
          </w:r>
          <w:r>
            <w:fldChar w:fldCharType="begin"/>
          </w:r>
          <w:r>
            <w:instrText xml:space="preserve"> PAGEREF _Toc8411 \h </w:instrText>
          </w:r>
          <w:r>
            <w:fldChar w:fldCharType="separate"/>
          </w:r>
          <w:r>
            <w:t>11</w:t>
          </w:r>
          <w:r>
            <w:fldChar w:fldCharType="end"/>
          </w:r>
          <w:r>
            <w:fldChar w:fldCharType="end"/>
          </w:r>
        </w:p>
        <w:p w14:paraId="4CC144D6">
          <w:pPr>
            <w:pStyle w:val="10"/>
            <w:tabs>
              <w:tab w:val="right" w:leader="dot" w:pos="8306"/>
            </w:tabs>
          </w:pPr>
          <w:r>
            <w:fldChar w:fldCharType="begin"/>
          </w:r>
          <w:r>
            <w:instrText xml:space="preserve"> HYPERLINK \l _Toc29045 </w:instrText>
          </w:r>
          <w:r>
            <w:fldChar w:fldCharType="separate"/>
          </w:r>
          <w:r>
            <w:rPr>
              <w:rFonts w:hint="eastAsia"/>
            </w:rPr>
            <w:t xml:space="preserve">4.1 </w:t>
          </w:r>
          <w:r>
            <w:t>基金管理人及基金经理情况</w:t>
          </w:r>
          <w:r>
            <w:tab/>
          </w:r>
          <w:r>
            <w:fldChar w:fldCharType="begin"/>
          </w:r>
          <w:r>
            <w:instrText xml:space="preserve"> PAGEREF _Toc29045 \h </w:instrText>
          </w:r>
          <w:r>
            <w:fldChar w:fldCharType="separate"/>
          </w:r>
          <w:r>
            <w:t>11</w:t>
          </w:r>
          <w:r>
            <w:fldChar w:fldCharType="end"/>
          </w:r>
          <w:r>
            <w:fldChar w:fldCharType="end"/>
          </w:r>
        </w:p>
        <w:p w14:paraId="5305264D">
          <w:pPr>
            <w:pStyle w:val="10"/>
            <w:tabs>
              <w:tab w:val="right" w:leader="dot" w:pos="8306"/>
            </w:tabs>
          </w:pPr>
          <w:r>
            <w:fldChar w:fldCharType="begin"/>
          </w:r>
          <w:r>
            <w:instrText xml:space="preserve"> HYPERLINK \l _Toc3430 </w:instrText>
          </w:r>
          <w:r>
            <w:fldChar w:fldCharType="separate"/>
          </w:r>
          <w:r>
            <w:rPr>
              <w:rFonts w:hint="eastAsia"/>
            </w:rPr>
            <w:t xml:space="preserve">4.2 </w:t>
          </w:r>
          <w:r>
            <w:t>境外投资顾问为本基金提供投资建议的主要成员简介</w:t>
          </w:r>
          <w:r>
            <w:tab/>
          </w:r>
          <w:r>
            <w:fldChar w:fldCharType="begin"/>
          </w:r>
          <w:r>
            <w:instrText xml:space="preserve"> PAGEREF _Toc3430 \h </w:instrText>
          </w:r>
          <w:r>
            <w:fldChar w:fldCharType="separate"/>
          </w:r>
          <w:r>
            <w:t>15</w:t>
          </w:r>
          <w:r>
            <w:fldChar w:fldCharType="end"/>
          </w:r>
          <w:r>
            <w:fldChar w:fldCharType="end"/>
          </w:r>
        </w:p>
        <w:p w14:paraId="1D17229E">
          <w:pPr>
            <w:pStyle w:val="10"/>
            <w:tabs>
              <w:tab w:val="right" w:leader="dot" w:pos="8306"/>
            </w:tabs>
          </w:pPr>
          <w:r>
            <w:fldChar w:fldCharType="begin"/>
          </w:r>
          <w:r>
            <w:instrText xml:space="preserve"> HYPERLINK \l _Toc16198 </w:instrText>
          </w:r>
          <w:r>
            <w:fldChar w:fldCharType="separate"/>
          </w:r>
          <w:r>
            <w:rPr>
              <w:rFonts w:hint="eastAsia"/>
            </w:rPr>
            <w:t xml:space="preserve">4.3 </w:t>
          </w:r>
          <w:r>
            <w:t>管理人对报告期内本基金运作遵规守信情况的说明</w:t>
          </w:r>
          <w:r>
            <w:tab/>
          </w:r>
          <w:r>
            <w:fldChar w:fldCharType="begin"/>
          </w:r>
          <w:r>
            <w:instrText xml:space="preserve"> PAGEREF _Toc16198 \h </w:instrText>
          </w:r>
          <w:r>
            <w:fldChar w:fldCharType="separate"/>
          </w:r>
          <w:r>
            <w:t>15</w:t>
          </w:r>
          <w:r>
            <w:fldChar w:fldCharType="end"/>
          </w:r>
          <w:r>
            <w:fldChar w:fldCharType="end"/>
          </w:r>
        </w:p>
        <w:p w14:paraId="3E432920">
          <w:pPr>
            <w:pStyle w:val="10"/>
            <w:tabs>
              <w:tab w:val="right" w:leader="dot" w:pos="8306"/>
            </w:tabs>
          </w:pPr>
          <w:r>
            <w:fldChar w:fldCharType="begin"/>
          </w:r>
          <w:r>
            <w:instrText xml:space="preserve"> HYPERLINK \l _Toc19388 </w:instrText>
          </w:r>
          <w:r>
            <w:fldChar w:fldCharType="separate"/>
          </w:r>
          <w:r>
            <w:rPr>
              <w:rFonts w:hint="eastAsia"/>
            </w:rPr>
            <w:t xml:space="preserve">4.4 </w:t>
          </w:r>
          <w:r>
            <w:t>管理人对报告期内公平交易情况的专项说明</w:t>
          </w:r>
          <w:r>
            <w:tab/>
          </w:r>
          <w:r>
            <w:fldChar w:fldCharType="begin"/>
          </w:r>
          <w:r>
            <w:instrText xml:space="preserve"> PAGEREF _Toc19388 \h </w:instrText>
          </w:r>
          <w:r>
            <w:fldChar w:fldCharType="separate"/>
          </w:r>
          <w:r>
            <w:t>15</w:t>
          </w:r>
          <w:r>
            <w:fldChar w:fldCharType="end"/>
          </w:r>
          <w:r>
            <w:fldChar w:fldCharType="end"/>
          </w:r>
        </w:p>
        <w:p w14:paraId="52F51DE5">
          <w:pPr>
            <w:pStyle w:val="10"/>
            <w:tabs>
              <w:tab w:val="right" w:leader="dot" w:pos="8306"/>
            </w:tabs>
          </w:pPr>
          <w:r>
            <w:fldChar w:fldCharType="begin"/>
          </w:r>
          <w:r>
            <w:instrText xml:space="preserve"> HYPERLINK \l _Toc26247 </w:instrText>
          </w:r>
          <w:r>
            <w:fldChar w:fldCharType="separate"/>
          </w:r>
          <w:r>
            <w:rPr>
              <w:rFonts w:hint="eastAsia"/>
            </w:rPr>
            <w:t xml:space="preserve">4.5 </w:t>
          </w:r>
          <w:r>
            <w:t>管理人对报告期内基金的投资策略和业绩表现的说明</w:t>
          </w:r>
          <w:r>
            <w:tab/>
          </w:r>
          <w:r>
            <w:fldChar w:fldCharType="begin"/>
          </w:r>
          <w:r>
            <w:instrText xml:space="preserve"> PAGEREF _Toc26247 \h </w:instrText>
          </w:r>
          <w:r>
            <w:fldChar w:fldCharType="separate"/>
          </w:r>
          <w:r>
            <w:t>16</w:t>
          </w:r>
          <w:r>
            <w:fldChar w:fldCharType="end"/>
          </w:r>
          <w:r>
            <w:fldChar w:fldCharType="end"/>
          </w:r>
        </w:p>
        <w:p w14:paraId="2BCF378D">
          <w:pPr>
            <w:pStyle w:val="10"/>
            <w:tabs>
              <w:tab w:val="right" w:leader="dot" w:pos="8306"/>
            </w:tabs>
          </w:pPr>
          <w:r>
            <w:fldChar w:fldCharType="begin"/>
          </w:r>
          <w:r>
            <w:instrText xml:space="preserve"> HYPERLINK \l _Toc8787 </w:instrText>
          </w:r>
          <w:r>
            <w:fldChar w:fldCharType="separate"/>
          </w:r>
          <w:r>
            <w:rPr>
              <w:rFonts w:hint="eastAsia"/>
            </w:rPr>
            <w:t xml:space="preserve">4.6 </w:t>
          </w:r>
          <w:r>
            <w:t>管理人对宏观经济、证券市场及行业走势的简要展望</w:t>
          </w:r>
          <w:r>
            <w:tab/>
          </w:r>
          <w:r>
            <w:fldChar w:fldCharType="begin"/>
          </w:r>
          <w:r>
            <w:instrText xml:space="preserve"> PAGEREF _Toc8787 \h </w:instrText>
          </w:r>
          <w:r>
            <w:fldChar w:fldCharType="separate"/>
          </w:r>
          <w:r>
            <w:t>16</w:t>
          </w:r>
          <w:r>
            <w:fldChar w:fldCharType="end"/>
          </w:r>
          <w:r>
            <w:fldChar w:fldCharType="end"/>
          </w:r>
        </w:p>
        <w:p w14:paraId="69039DC4">
          <w:pPr>
            <w:pStyle w:val="10"/>
            <w:tabs>
              <w:tab w:val="right" w:leader="dot" w:pos="8306"/>
            </w:tabs>
          </w:pPr>
          <w:r>
            <w:fldChar w:fldCharType="begin"/>
          </w:r>
          <w:r>
            <w:instrText xml:space="preserve"> HYPERLINK \l _Toc9303 </w:instrText>
          </w:r>
          <w:r>
            <w:fldChar w:fldCharType="separate"/>
          </w:r>
          <w:r>
            <w:rPr>
              <w:rFonts w:hint="eastAsia"/>
            </w:rPr>
            <w:t xml:space="preserve">4.7 </w:t>
          </w:r>
          <w:r>
            <w:t>管理人内部有关本基金的监察稽核工作情况</w:t>
          </w:r>
          <w:r>
            <w:tab/>
          </w:r>
          <w:r>
            <w:fldChar w:fldCharType="begin"/>
          </w:r>
          <w:r>
            <w:instrText xml:space="preserve"> PAGEREF _Toc9303 \h </w:instrText>
          </w:r>
          <w:r>
            <w:fldChar w:fldCharType="separate"/>
          </w:r>
          <w:r>
            <w:t>17</w:t>
          </w:r>
          <w:r>
            <w:fldChar w:fldCharType="end"/>
          </w:r>
          <w:r>
            <w:fldChar w:fldCharType="end"/>
          </w:r>
        </w:p>
        <w:p w14:paraId="566CB90D">
          <w:pPr>
            <w:pStyle w:val="10"/>
            <w:tabs>
              <w:tab w:val="right" w:leader="dot" w:pos="8306"/>
            </w:tabs>
          </w:pPr>
          <w:r>
            <w:fldChar w:fldCharType="begin"/>
          </w:r>
          <w:r>
            <w:instrText xml:space="preserve"> HYPERLINK \l _Toc12359 </w:instrText>
          </w:r>
          <w:r>
            <w:fldChar w:fldCharType="separate"/>
          </w:r>
          <w:r>
            <w:rPr>
              <w:rFonts w:hint="eastAsia"/>
            </w:rPr>
            <w:t xml:space="preserve">4.8 </w:t>
          </w:r>
          <w:r>
            <w:t>管理人对报告期内基金估值程序等事项的说明</w:t>
          </w:r>
          <w:r>
            <w:tab/>
          </w:r>
          <w:r>
            <w:fldChar w:fldCharType="begin"/>
          </w:r>
          <w:r>
            <w:instrText xml:space="preserve"> PAGEREF _Toc12359 \h </w:instrText>
          </w:r>
          <w:r>
            <w:fldChar w:fldCharType="separate"/>
          </w:r>
          <w:r>
            <w:t>18</w:t>
          </w:r>
          <w:r>
            <w:fldChar w:fldCharType="end"/>
          </w:r>
          <w:r>
            <w:fldChar w:fldCharType="end"/>
          </w:r>
        </w:p>
        <w:p w14:paraId="2C3119A0">
          <w:pPr>
            <w:pStyle w:val="10"/>
            <w:tabs>
              <w:tab w:val="right" w:leader="dot" w:pos="8306"/>
            </w:tabs>
          </w:pPr>
          <w:r>
            <w:fldChar w:fldCharType="begin"/>
          </w:r>
          <w:r>
            <w:instrText xml:space="preserve"> HYPERLINK \l _Toc32755 </w:instrText>
          </w:r>
          <w:r>
            <w:fldChar w:fldCharType="separate"/>
          </w:r>
          <w:r>
            <w:rPr>
              <w:rFonts w:hint="eastAsia"/>
            </w:rPr>
            <w:t xml:space="preserve">4.9 </w:t>
          </w:r>
          <w:r>
            <w:t>管理人对报告期内基金利润分配情况的说明</w:t>
          </w:r>
          <w:r>
            <w:tab/>
          </w:r>
          <w:r>
            <w:fldChar w:fldCharType="begin"/>
          </w:r>
          <w:r>
            <w:instrText xml:space="preserve"> PAGEREF _Toc32755 \h </w:instrText>
          </w:r>
          <w:r>
            <w:fldChar w:fldCharType="separate"/>
          </w:r>
          <w:r>
            <w:t>18</w:t>
          </w:r>
          <w:r>
            <w:fldChar w:fldCharType="end"/>
          </w:r>
          <w:r>
            <w:fldChar w:fldCharType="end"/>
          </w:r>
        </w:p>
        <w:p w14:paraId="160FFA49">
          <w:pPr>
            <w:pStyle w:val="10"/>
            <w:tabs>
              <w:tab w:val="right" w:leader="dot" w:pos="8306"/>
            </w:tabs>
          </w:pPr>
          <w:r>
            <w:fldChar w:fldCharType="begin"/>
          </w:r>
          <w:r>
            <w:instrText xml:space="preserve"> HYPERLINK \l _Toc31272 </w:instrText>
          </w:r>
          <w:r>
            <w:fldChar w:fldCharType="separate"/>
          </w:r>
          <w:r>
            <w:rPr>
              <w:rFonts w:hint="eastAsia"/>
            </w:rPr>
            <w:t xml:space="preserve">4.10 </w:t>
          </w:r>
          <w:r>
            <w:t>报告期内基金持有人数或基金资产净值预警说明</w:t>
          </w:r>
          <w:r>
            <w:tab/>
          </w:r>
          <w:r>
            <w:fldChar w:fldCharType="begin"/>
          </w:r>
          <w:r>
            <w:instrText xml:space="preserve"> PAGEREF _Toc31272 \h </w:instrText>
          </w:r>
          <w:r>
            <w:fldChar w:fldCharType="separate"/>
          </w:r>
          <w:r>
            <w:t>18</w:t>
          </w:r>
          <w:r>
            <w:fldChar w:fldCharType="end"/>
          </w:r>
          <w:r>
            <w:fldChar w:fldCharType="end"/>
          </w:r>
        </w:p>
        <w:p w14:paraId="387C065C">
          <w:pPr>
            <w:pStyle w:val="8"/>
            <w:tabs>
              <w:tab w:val="right" w:leader="dot" w:pos="8306"/>
            </w:tabs>
          </w:pPr>
          <w:r>
            <w:fldChar w:fldCharType="begin"/>
          </w:r>
          <w:r>
            <w:instrText xml:space="preserve"> HYPERLINK \l _Toc17614 </w:instrText>
          </w:r>
          <w:r>
            <w:fldChar w:fldCharType="separate"/>
          </w:r>
          <w:r>
            <w:rPr>
              <w:rFonts w:hint="eastAsia"/>
            </w:rPr>
            <w:t xml:space="preserve">§5 </w:t>
          </w:r>
          <w:r>
            <w:t>托管人报告</w:t>
          </w:r>
          <w:r>
            <w:tab/>
          </w:r>
          <w:r>
            <w:fldChar w:fldCharType="begin"/>
          </w:r>
          <w:r>
            <w:instrText xml:space="preserve"> PAGEREF _Toc17614 \h </w:instrText>
          </w:r>
          <w:r>
            <w:fldChar w:fldCharType="separate"/>
          </w:r>
          <w:r>
            <w:t>19</w:t>
          </w:r>
          <w:r>
            <w:fldChar w:fldCharType="end"/>
          </w:r>
          <w:r>
            <w:fldChar w:fldCharType="end"/>
          </w:r>
        </w:p>
        <w:p w14:paraId="72CA1B98">
          <w:pPr>
            <w:pStyle w:val="10"/>
            <w:tabs>
              <w:tab w:val="right" w:leader="dot" w:pos="8306"/>
            </w:tabs>
          </w:pPr>
          <w:r>
            <w:fldChar w:fldCharType="begin"/>
          </w:r>
          <w:r>
            <w:instrText xml:space="preserve"> HYPERLINK \l _Toc6713 </w:instrText>
          </w:r>
          <w:r>
            <w:fldChar w:fldCharType="separate"/>
          </w:r>
          <w:r>
            <w:rPr>
              <w:rFonts w:hint="eastAsia"/>
            </w:rPr>
            <w:t xml:space="preserve">5.1 </w:t>
          </w:r>
          <w:r>
            <w:t>报告期内本基金托管人遵规守信情况声明</w:t>
          </w:r>
          <w:r>
            <w:tab/>
          </w:r>
          <w:r>
            <w:fldChar w:fldCharType="begin"/>
          </w:r>
          <w:r>
            <w:instrText xml:space="preserve"> PAGEREF _Toc6713 \h </w:instrText>
          </w:r>
          <w:r>
            <w:fldChar w:fldCharType="separate"/>
          </w:r>
          <w:r>
            <w:t>19</w:t>
          </w:r>
          <w:r>
            <w:fldChar w:fldCharType="end"/>
          </w:r>
          <w:r>
            <w:fldChar w:fldCharType="end"/>
          </w:r>
        </w:p>
        <w:p w14:paraId="4320B0FA">
          <w:pPr>
            <w:pStyle w:val="10"/>
            <w:tabs>
              <w:tab w:val="right" w:leader="dot" w:pos="8306"/>
            </w:tabs>
          </w:pPr>
          <w:r>
            <w:fldChar w:fldCharType="begin"/>
          </w:r>
          <w:r>
            <w:instrText xml:space="preserve"> HYPERLINK \l _Toc5714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_Toc5714 \h </w:instrText>
          </w:r>
          <w:r>
            <w:fldChar w:fldCharType="separate"/>
          </w:r>
          <w:r>
            <w:t>19</w:t>
          </w:r>
          <w:r>
            <w:fldChar w:fldCharType="end"/>
          </w:r>
          <w:r>
            <w:fldChar w:fldCharType="end"/>
          </w:r>
        </w:p>
        <w:p w14:paraId="408ACD14">
          <w:pPr>
            <w:pStyle w:val="10"/>
            <w:tabs>
              <w:tab w:val="right" w:leader="dot" w:pos="8306"/>
            </w:tabs>
          </w:pPr>
          <w:r>
            <w:fldChar w:fldCharType="begin"/>
          </w:r>
          <w:r>
            <w:instrText xml:space="preserve"> HYPERLINK \l _Toc6057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_Toc6057 \h </w:instrText>
          </w:r>
          <w:r>
            <w:fldChar w:fldCharType="separate"/>
          </w:r>
          <w:r>
            <w:t>19</w:t>
          </w:r>
          <w:r>
            <w:fldChar w:fldCharType="end"/>
          </w:r>
          <w:r>
            <w:fldChar w:fldCharType="end"/>
          </w:r>
        </w:p>
        <w:p w14:paraId="79A53876">
          <w:pPr>
            <w:pStyle w:val="8"/>
            <w:tabs>
              <w:tab w:val="right" w:leader="dot" w:pos="8306"/>
            </w:tabs>
          </w:pPr>
          <w:r>
            <w:fldChar w:fldCharType="begin"/>
          </w:r>
          <w:r>
            <w:instrText xml:space="preserve"> HYPERLINK \l _Toc12982 </w:instrText>
          </w:r>
          <w:r>
            <w:fldChar w:fldCharType="separate"/>
          </w:r>
          <w:r>
            <w:rPr>
              <w:rFonts w:hint="eastAsia"/>
            </w:rPr>
            <w:t xml:space="preserve">§6 </w:t>
          </w:r>
          <w:r>
            <w:t>审计报告</w:t>
          </w:r>
          <w:r>
            <w:tab/>
          </w:r>
          <w:r>
            <w:fldChar w:fldCharType="begin"/>
          </w:r>
          <w:r>
            <w:instrText xml:space="preserve"> PAGEREF _Toc12982 \h </w:instrText>
          </w:r>
          <w:r>
            <w:fldChar w:fldCharType="separate"/>
          </w:r>
          <w:r>
            <w:t>19</w:t>
          </w:r>
          <w:r>
            <w:fldChar w:fldCharType="end"/>
          </w:r>
          <w:r>
            <w:fldChar w:fldCharType="end"/>
          </w:r>
        </w:p>
        <w:p w14:paraId="4D7AE601">
          <w:pPr>
            <w:pStyle w:val="10"/>
            <w:tabs>
              <w:tab w:val="right" w:leader="dot" w:pos="8306"/>
            </w:tabs>
          </w:pPr>
          <w:r>
            <w:fldChar w:fldCharType="begin"/>
          </w:r>
          <w:r>
            <w:instrText xml:space="preserve"> HYPERLINK \l _Toc17544 </w:instrText>
          </w:r>
          <w:r>
            <w:fldChar w:fldCharType="separate"/>
          </w:r>
          <w:r>
            <w:rPr>
              <w:rFonts w:hint="eastAsia"/>
            </w:rPr>
            <w:t xml:space="preserve">6.1 </w:t>
          </w:r>
          <w:r>
            <w:t>审计报告基本信息</w:t>
          </w:r>
          <w:r>
            <w:tab/>
          </w:r>
          <w:r>
            <w:fldChar w:fldCharType="begin"/>
          </w:r>
          <w:r>
            <w:instrText xml:space="preserve"> PAGEREF _Toc17544 \h </w:instrText>
          </w:r>
          <w:r>
            <w:fldChar w:fldCharType="separate"/>
          </w:r>
          <w:r>
            <w:t>19</w:t>
          </w:r>
          <w:r>
            <w:fldChar w:fldCharType="end"/>
          </w:r>
          <w:r>
            <w:fldChar w:fldCharType="end"/>
          </w:r>
        </w:p>
        <w:p w14:paraId="35ED7BA4">
          <w:pPr>
            <w:pStyle w:val="10"/>
            <w:tabs>
              <w:tab w:val="right" w:leader="dot" w:pos="8306"/>
            </w:tabs>
          </w:pPr>
          <w:r>
            <w:fldChar w:fldCharType="begin"/>
          </w:r>
          <w:r>
            <w:instrText xml:space="preserve"> HYPERLINK \l _Toc26005 </w:instrText>
          </w:r>
          <w:r>
            <w:fldChar w:fldCharType="separate"/>
          </w:r>
          <w:r>
            <w:rPr>
              <w:rFonts w:hint="eastAsia"/>
            </w:rPr>
            <w:t xml:space="preserve">6.2 </w:t>
          </w:r>
          <w:r>
            <w:t>审计报告的基本内容</w:t>
          </w:r>
          <w:r>
            <w:tab/>
          </w:r>
          <w:r>
            <w:fldChar w:fldCharType="begin"/>
          </w:r>
          <w:r>
            <w:instrText xml:space="preserve"> PAGEREF _Toc26005 \h </w:instrText>
          </w:r>
          <w:r>
            <w:fldChar w:fldCharType="separate"/>
          </w:r>
          <w:r>
            <w:t>19</w:t>
          </w:r>
          <w:r>
            <w:fldChar w:fldCharType="end"/>
          </w:r>
          <w:r>
            <w:fldChar w:fldCharType="end"/>
          </w:r>
        </w:p>
        <w:p w14:paraId="13DAA169">
          <w:pPr>
            <w:pStyle w:val="8"/>
            <w:tabs>
              <w:tab w:val="right" w:leader="dot" w:pos="8306"/>
            </w:tabs>
          </w:pPr>
          <w:r>
            <w:fldChar w:fldCharType="begin"/>
          </w:r>
          <w:r>
            <w:instrText xml:space="preserve"> HYPERLINK \l _Toc16529 </w:instrText>
          </w:r>
          <w:r>
            <w:fldChar w:fldCharType="separate"/>
          </w:r>
          <w:r>
            <w:rPr>
              <w:rFonts w:hint="eastAsia"/>
            </w:rPr>
            <w:t xml:space="preserve">§7 </w:t>
          </w:r>
          <w:r>
            <w:t>年度财务报表</w:t>
          </w:r>
          <w:r>
            <w:tab/>
          </w:r>
          <w:r>
            <w:fldChar w:fldCharType="begin"/>
          </w:r>
          <w:r>
            <w:instrText xml:space="preserve"> PAGEREF _Toc16529 \h </w:instrText>
          </w:r>
          <w:r>
            <w:fldChar w:fldCharType="separate"/>
          </w:r>
          <w:r>
            <w:t>22</w:t>
          </w:r>
          <w:r>
            <w:fldChar w:fldCharType="end"/>
          </w:r>
          <w:r>
            <w:fldChar w:fldCharType="end"/>
          </w:r>
        </w:p>
        <w:p w14:paraId="5E654DB4">
          <w:pPr>
            <w:pStyle w:val="10"/>
            <w:tabs>
              <w:tab w:val="right" w:leader="dot" w:pos="8306"/>
            </w:tabs>
          </w:pPr>
          <w:r>
            <w:fldChar w:fldCharType="begin"/>
          </w:r>
          <w:r>
            <w:instrText xml:space="preserve"> HYPERLINK \l _Toc28712 </w:instrText>
          </w:r>
          <w:r>
            <w:fldChar w:fldCharType="separate"/>
          </w:r>
          <w:r>
            <w:rPr>
              <w:rFonts w:hint="eastAsia"/>
            </w:rPr>
            <w:t xml:space="preserve">7.1 </w:t>
          </w:r>
          <w:r>
            <w:t>资产负债表</w:t>
          </w:r>
          <w:r>
            <w:tab/>
          </w:r>
          <w:r>
            <w:fldChar w:fldCharType="begin"/>
          </w:r>
          <w:r>
            <w:instrText xml:space="preserve"> PAGEREF _Toc28712 \h </w:instrText>
          </w:r>
          <w:r>
            <w:fldChar w:fldCharType="separate"/>
          </w:r>
          <w:r>
            <w:t>22</w:t>
          </w:r>
          <w:r>
            <w:fldChar w:fldCharType="end"/>
          </w:r>
          <w:r>
            <w:fldChar w:fldCharType="end"/>
          </w:r>
        </w:p>
        <w:p w14:paraId="02B18CDA">
          <w:pPr>
            <w:pStyle w:val="10"/>
            <w:tabs>
              <w:tab w:val="right" w:leader="dot" w:pos="8306"/>
            </w:tabs>
          </w:pPr>
          <w:r>
            <w:fldChar w:fldCharType="begin"/>
          </w:r>
          <w:r>
            <w:instrText xml:space="preserve"> HYPERLINK \l _Toc28404 </w:instrText>
          </w:r>
          <w:r>
            <w:fldChar w:fldCharType="separate"/>
          </w:r>
          <w:r>
            <w:rPr>
              <w:rFonts w:hint="eastAsia"/>
            </w:rPr>
            <w:t xml:space="preserve">7.2 </w:t>
          </w:r>
          <w:r>
            <w:t>利润表</w:t>
          </w:r>
          <w:r>
            <w:tab/>
          </w:r>
          <w:r>
            <w:fldChar w:fldCharType="begin"/>
          </w:r>
          <w:r>
            <w:instrText xml:space="preserve"> PAGEREF _Toc28404 \h </w:instrText>
          </w:r>
          <w:r>
            <w:fldChar w:fldCharType="separate"/>
          </w:r>
          <w:r>
            <w:t>23</w:t>
          </w:r>
          <w:r>
            <w:fldChar w:fldCharType="end"/>
          </w:r>
          <w:r>
            <w:fldChar w:fldCharType="end"/>
          </w:r>
        </w:p>
        <w:p w14:paraId="2FE98FFF">
          <w:pPr>
            <w:pStyle w:val="10"/>
            <w:tabs>
              <w:tab w:val="right" w:leader="dot" w:pos="8306"/>
            </w:tabs>
          </w:pPr>
          <w:r>
            <w:fldChar w:fldCharType="begin"/>
          </w:r>
          <w:r>
            <w:instrText xml:space="preserve"> HYPERLINK \l _Toc7241 </w:instrText>
          </w:r>
          <w:r>
            <w:fldChar w:fldCharType="separate"/>
          </w:r>
          <w:r>
            <w:rPr>
              <w:rFonts w:hint="eastAsia"/>
            </w:rPr>
            <w:t xml:space="preserve">7.3 </w:t>
          </w:r>
          <w:r>
            <w:t>净资产变动表</w:t>
          </w:r>
          <w:r>
            <w:tab/>
          </w:r>
          <w:r>
            <w:fldChar w:fldCharType="begin"/>
          </w:r>
          <w:r>
            <w:instrText xml:space="preserve"> PAGEREF _Toc7241 \h </w:instrText>
          </w:r>
          <w:r>
            <w:fldChar w:fldCharType="separate"/>
          </w:r>
          <w:r>
            <w:t>25</w:t>
          </w:r>
          <w:r>
            <w:fldChar w:fldCharType="end"/>
          </w:r>
          <w:r>
            <w:fldChar w:fldCharType="end"/>
          </w:r>
        </w:p>
        <w:p w14:paraId="1212CA2A">
          <w:pPr>
            <w:pStyle w:val="10"/>
            <w:tabs>
              <w:tab w:val="right" w:leader="dot" w:pos="8306"/>
            </w:tabs>
          </w:pPr>
          <w:r>
            <w:fldChar w:fldCharType="begin"/>
          </w:r>
          <w:r>
            <w:instrText xml:space="preserve"> HYPERLINK \l _Toc24523 </w:instrText>
          </w:r>
          <w:r>
            <w:fldChar w:fldCharType="separate"/>
          </w:r>
          <w:r>
            <w:rPr>
              <w:rFonts w:hint="eastAsia"/>
            </w:rPr>
            <w:t xml:space="preserve">7.4 </w:t>
          </w:r>
          <w:r>
            <w:t>报表附注</w:t>
          </w:r>
          <w:r>
            <w:tab/>
          </w:r>
          <w:r>
            <w:fldChar w:fldCharType="begin"/>
          </w:r>
          <w:r>
            <w:instrText xml:space="preserve"> PAGEREF _Toc24523 \h </w:instrText>
          </w:r>
          <w:r>
            <w:fldChar w:fldCharType="separate"/>
          </w:r>
          <w:r>
            <w:t>27</w:t>
          </w:r>
          <w:r>
            <w:fldChar w:fldCharType="end"/>
          </w:r>
          <w:r>
            <w:fldChar w:fldCharType="end"/>
          </w:r>
        </w:p>
        <w:p w14:paraId="4FC73434">
          <w:pPr>
            <w:pStyle w:val="8"/>
            <w:tabs>
              <w:tab w:val="right" w:leader="dot" w:pos="8306"/>
            </w:tabs>
          </w:pPr>
          <w:r>
            <w:fldChar w:fldCharType="begin"/>
          </w:r>
          <w:r>
            <w:instrText xml:space="preserve"> HYPERLINK \l _Toc6324 </w:instrText>
          </w:r>
          <w:r>
            <w:fldChar w:fldCharType="separate"/>
          </w:r>
          <w:r>
            <w:rPr>
              <w:rFonts w:hint="eastAsia"/>
            </w:rPr>
            <w:t xml:space="preserve">§8 </w:t>
          </w:r>
          <w:r>
            <w:t>投资组合报告</w:t>
          </w:r>
          <w:r>
            <w:tab/>
          </w:r>
          <w:r>
            <w:fldChar w:fldCharType="begin"/>
          </w:r>
          <w:r>
            <w:instrText xml:space="preserve"> PAGEREF _Toc6324 \h </w:instrText>
          </w:r>
          <w:r>
            <w:fldChar w:fldCharType="separate"/>
          </w:r>
          <w:r>
            <w:t>54</w:t>
          </w:r>
          <w:r>
            <w:fldChar w:fldCharType="end"/>
          </w:r>
          <w:r>
            <w:fldChar w:fldCharType="end"/>
          </w:r>
        </w:p>
        <w:p w14:paraId="7FD93889">
          <w:pPr>
            <w:pStyle w:val="10"/>
            <w:tabs>
              <w:tab w:val="right" w:leader="dot" w:pos="8306"/>
            </w:tabs>
          </w:pPr>
          <w:r>
            <w:fldChar w:fldCharType="begin"/>
          </w:r>
          <w:r>
            <w:instrText xml:space="preserve"> HYPERLINK \l _Toc29151 </w:instrText>
          </w:r>
          <w:r>
            <w:fldChar w:fldCharType="separate"/>
          </w:r>
          <w:r>
            <w:rPr>
              <w:rFonts w:hint="eastAsia"/>
            </w:rPr>
            <w:t xml:space="preserve">8.1 </w:t>
          </w:r>
          <w:r>
            <w:t>期末基金资产组合情况</w:t>
          </w:r>
          <w:r>
            <w:tab/>
          </w:r>
          <w:r>
            <w:fldChar w:fldCharType="begin"/>
          </w:r>
          <w:r>
            <w:instrText xml:space="preserve"> PAGEREF _Toc29151 \h </w:instrText>
          </w:r>
          <w:r>
            <w:fldChar w:fldCharType="separate"/>
          </w:r>
          <w:r>
            <w:t>54</w:t>
          </w:r>
          <w:r>
            <w:fldChar w:fldCharType="end"/>
          </w:r>
          <w:r>
            <w:fldChar w:fldCharType="end"/>
          </w:r>
        </w:p>
        <w:p w14:paraId="12E44A31">
          <w:pPr>
            <w:pStyle w:val="10"/>
            <w:tabs>
              <w:tab w:val="right" w:leader="dot" w:pos="8306"/>
            </w:tabs>
          </w:pPr>
          <w:r>
            <w:fldChar w:fldCharType="begin"/>
          </w:r>
          <w:r>
            <w:instrText xml:space="preserve"> HYPERLINK \l _Toc28698 </w:instrText>
          </w:r>
          <w:r>
            <w:fldChar w:fldCharType="separate"/>
          </w:r>
          <w:r>
            <w:rPr>
              <w:rFonts w:hint="eastAsia"/>
            </w:rPr>
            <w:t xml:space="preserve">8.2 </w:t>
          </w:r>
          <w:r>
            <w:t>期末在各个国家（地区）证券市场的权益投资分布</w:t>
          </w:r>
          <w:r>
            <w:tab/>
          </w:r>
          <w:r>
            <w:fldChar w:fldCharType="begin"/>
          </w:r>
          <w:r>
            <w:instrText xml:space="preserve"> PAGEREF _Toc28698 \h </w:instrText>
          </w:r>
          <w:r>
            <w:fldChar w:fldCharType="separate"/>
          </w:r>
          <w:r>
            <w:t>55</w:t>
          </w:r>
          <w:r>
            <w:fldChar w:fldCharType="end"/>
          </w:r>
          <w:r>
            <w:fldChar w:fldCharType="end"/>
          </w:r>
        </w:p>
        <w:p w14:paraId="2D9D641A">
          <w:pPr>
            <w:pStyle w:val="10"/>
            <w:tabs>
              <w:tab w:val="right" w:leader="dot" w:pos="8306"/>
            </w:tabs>
          </w:pPr>
          <w:r>
            <w:fldChar w:fldCharType="begin"/>
          </w:r>
          <w:r>
            <w:instrText xml:space="preserve"> HYPERLINK \l _Toc22500 </w:instrText>
          </w:r>
          <w:r>
            <w:fldChar w:fldCharType="separate"/>
          </w:r>
          <w:r>
            <w:rPr>
              <w:rFonts w:hint="eastAsia"/>
            </w:rPr>
            <w:t xml:space="preserve">8.3 </w:t>
          </w:r>
          <w:r>
            <w:t>期末按行业分类的权益投资组合</w:t>
          </w:r>
          <w:r>
            <w:tab/>
          </w:r>
          <w:r>
            <w:fldChar w:fldCharType="begin"/>
          </w:r>
          <w:r>
            <w:instrText xml:space="preserve"> PAGEREF _Toc22500 \h </w:instrText>
          </w:r>
          <w:r>
            <w:fldChar w:fldCharType="separate"/>
          </w:r>
          <w:r>
            <w:t>55</w:t>
          </w:r>
          <w:r>
            <w:fldChar w:fldCharType="end"/>
          </w:r>
          <w:r>
            <w:fldChar w:fldCharType="end"/>
          </w:r>
        </w:p>
        <w:p w14:paraId="1DE9D21A">
          <w:pPr>
            <w:pStyle w:val="10"/>
            <w:tabs>
              <w:tab w:val="right" w:leader="dot" w:pos="8306"/>
            </w:tabs>
          </w:pPr>
          <w:r>
            <w:fldChar w:fldCharType="begin"/>
          </w:r>
          <w:r>
            <w:instrText xml:space="preserve"> HYPERLINK \l _Toc14851 </w:instrText>
          </w:r>
          <w:r>
            <w:fldChar w:fldCharType="separate"/>
          </w:r>
          <w:r>
            <w:rPr>
              <w:rFonts w:hint="eastAsia"/>
            </w:rPr>
            <w:t xml:space="preserve">8.4 </w:t>
          </w:r>
          <w:r>
            <w:t>期末按公允价值占基金资产净值比例大小排序的权益投资明细</w:t>
          </w:r>
          <w:r>
            <w:tab/>
          </w:r>
          <w:r>
            <w:fldChar w:fldCharType="begin"/>
          </w:r>
          <w:r>
            <w:instrText xml:space="preserve"> PAGEREF _Toc14851 \h </w:instrText>
          </w:r>
          <w:r>
            <w:fldChar w:fldCharType="separate"/>
          </w:r>
          <w:r>
            <w:t>55</w:t>
          </w:r>
          <w:r>
            <w:fldChar w:fldCharType="end"/>
          </w:r>
          <w:r>
            <w:fldChar w:fldCharType="end"/>
          </w:r>
        </w:p>
        <w:p w14:paraId="08919D51">
          <w:pPr>
            <w:pStyle w:val="10"/>
            <w:tabs>
              <w:tab w:val="right" w:leader="dot" w:pos="8306"/>
            </w:tabs>
          </w:pPr>
          <w:r>
            <w:fldChar w:fldCharType="begin"/>
          </w:r>
          <w:r>
            <w:instrText xml:space="preserve"> HYPERLINK \l _Toc17502 </w:instrText>
          </w:r>
          <w:r>
            <w:fldChar w:fldCharType="separate"/>
          </w:r>
          <w:r>
            <w:rPr>
              <w:rFonts w:hint="eastAsia"/>
            </w:rPr>
            <w:t xml:space="preserve">8.5 </w:t>
          </w:r>
          <w:r>
            <w:t>报告期内权益投资组合的重大变动</w:t>
          </w:r>
          <w:r>
            <w:tab/>
          </w:r>
          <w:r>
            <w:fldChar w:fldCharType="begin"/>
          </w:r>
          <w:r>
            <w:instrText xml:space="preserve"> PAGEREF _Toc17502 \h </w:instrText>
          </w:r>
          <w:r>
            <w:fldChar w:fldCharType="separate"/>
          </w:r>
          <w:r>
            <w:t>55</w:t>
          </w:r>
          <w:r>
            <w:fldChar w:fldCharType="end"/>
          </w:r>
          <w:r>
            <w:fldChar w:fldCharType="end"/>
          </w:r>
        </w:p>
        <w:p w14:paraId="593FEFC8">
          <w:pPr>
            <w:pStyle w:val="10"/>
            <w:tabs>
              <w:tab w:val="right" w:leader="dot" w:pos="8306"/>
            </w:tabs>
          </w:pPr>
          <w:r>
            <w:fldChar w:fldCharType="begin"/>
          </w:r>
          <w:r>
            <w:instrText xml:space="preserve"> HYPERLINK \l _Toc23446 </w:instrText>
          </w:r>
          <w:r>
            <w:fldChar w:fldCharType="separate"/>
          </w:r>
          <w:r>
            <w:rPr>
              <w:rFonts w:hint="eastAsia"/>
            </w:rPr>
            <w:t xml:space="preserve">8.6 </w:t>
          </w:r>
          <w:r>
            <w:t>期末按债券信用等级分类的债券投资组合</w:t>
          </w:r>
          <w:r>
            <w:tab/>
          </w:r>
          <w:r>
            <w:fldChar w:fldCharType="begin"/>
          </w:r>
          <w:r>
            <w:instrText xml:space="preserve"> PAGEREF _Toc23446 \h </w:instrText>
          </w:r>
          <w:r>
            <w:fldChar w:fldCharType="separate"/>
          </w:r>
          <w:r>
            <w:t>56</w:t>
          </w:r>
          <w:r>
            <w:fldChar w:fldCharType="end"/>
          </w:r>
          <w:r>
            <w:fldChar w:fldCharType="end"/>
          </w:r>
        </w:p>
        <w:p w14:paraId="45A44B85">
          <w:pPr>
            <w:pStyle w:val="10"/>
            <w:tabs>
              <w:tab w:val="right" w:leader="dot" w:pos="8306"/>
            </w:tabs>
          </w:pPr>
          <w:r>
            <w:fldChar w:fldCharType="begin"/>
          </w:r>
          <w:r>
            <w:instrText xml:space="preserve"> HYPERLINK \l _Toc22977 </w:instrText>
          </w:r>
          <w:r>
            <w:fldChar w:fldCharType="separate"/>
          </w:r>
          <w:r>
            <w:rPr>
              <w:rFonts w:hint="eastAsia"/>
            </w:rPr>
            <w:t xml:space="preserve">8.7 </w:t>
          </w:r>
          <w:r>
            <w:t>期末按公允价值占基金资产净值比例大小排名的前五名债券投资明细</w:t>
          </w:r>
          <w:r>
            <w:tab/>
          </w:r>
          <w:r>
            <w:fldChar w:fldCharType="begin"/>
          </w:r>
          <w:r>
            <w:instrText xml:space="preserve"> PAGEREF _Toc22977 \h </w:instrText>
          </w:r>
          <w:r>
            <w:fldChar w:fldCharType="separate"/>
          </w:r>
          <w:r>
            <w:t>56</w:t>
          </w:r>
          <w:r>
            <w:fldChar w:fldCharType="end"/>
          </w:r>
          <w:r>
            <w:fldChar w:fldCharType="end"/>
          </w:r>
        </w:p>
        <w:p w14:paraId="0D5A8FFD">
          <w:pPr>
            <w:pStyle w:val="10"/>
            <w:tabs>
              <w:tab w:val="right" w:leader="dot" w:pos="8306"/>
            </w:tabs>
          </w:pPr>
          <w:r>
            <w:fldChar w:fldCharType="begin"/>
          </w:r>
          <w:r>
            <w:instrText xml:space="preserve"> HYPERLINK \l _Toc8123 </w:instrText>
          </w:r>
          <w:r>
            <w:fldChar w:fldCharType="separate"/>
          </w:r>
          <w:r>
            <w:rPr>
              <w:rFonts w:hint="eastAsia"/>
            </w:rPr>
            <w:t xml:space="preserve">8.8 </w:t>
          </w:r>
          <w:r>
            <w:t>期末按公允价值占基金资产净值比例大小排名的前十名资产支持证券投资明细</w:t>
          </w:r>
          <w:r>
            <w:tab/>
          </w:r>
          <w:r>
            <w:fldChar w:fldCharType="begin"/>
          </w:r>
          <w:r>
            <w:instrText xml:space="preserve"> PAGEREF _Toc8123 \h </w:instrText>
          </w:r>
          <w:r>
            <w:fldChar w:fldCharType="separate"/>
          </w:r>
          <w:r>
            <w:t>56</w:t>
          </w:r>
          <w:r>
            <w:fldChar w:fldCharType="end"/>
          </w:r>
          <w:r>
            <w:fldChar w:fldCharType="end"/>
          </w:r>
        </w:p>
        <w:p w14:paraId="36FCA989">
          <w:pPr>
            <w:pStyle w:val="10"/>
            <w:tabs>
              <w:tab w:val="right" w:leader="dot" w:pos="8306"/>
            </w:tabs>
          </w:pPr>
          <w:r>
            <w:fldChar w:fldCharType="begin"/>
          </w:r>
          <w:r>
            <w:instrText xml:space="preserve"> HYPERLINK \l _Toc10384 </w:instrText>
          </w:r>
          <w:r>
            <w:fldChar w:fldCharType="separate"/>
          </w:r>
          <w:r>
            <w:rPr>
              <w:rFonts w:hint="eastAsia"/>
            </w:rPr>
            <w:t xml:space="preserve">8.9 </w:t>
          </w:r>
          <w:r>
            <w:t>期末按公允价值占基金资产净值比例大小排名的前五名金融衍生品投资明细</w:t>
          </w:r>
          <w:r>
            <w:tab/>
          </w:r>
          <w:r>
            <w:fldChar w:fldCharType="begin"/>
          </w:r>
          <w:r>
            <w:instrText xml:space="preserve"> PAGEREF _Toc10384 \h </w:instrText>
          </w:r>
          <w:r>
            <w:fldChar w:fldCharType="separate"/>
          </w:r>
          <w:r>
            <w:t>56</w:t>
          </w:r>
          <w:r>
            <w:fldChar w:fldCharType="end"/>
          </w:r>
          <w:r>
            <w:fldChar w:fldCharType="end"/>
          </w:r>
        </w:p>
        <w:p w14:paraId="7D09B891">
          <w:pPr>
            <w:pStyle w:val="10"/>
            <w:tabs>
              <w:tab w:val="right" w:leader="dot" w:pos="8306"/>
            </w:tabs>
          </w:pPr>
          <w:r>
            <w:fldChar w:fldCharType="begin"/>
          </w:r>
          <w:r>
            <w:instrText xml:space="preserve"> HYPERLINK \l _Toc26932 </w:instrText>
          </w:r>
          <w:r>
            <w:fldChar w:fldCharType="separate"/>
          </w:r>
          <w:r>
            <w:rPr>
              <w:rFonts w:hint="eastAsia"/>
            </w:rPr>
            <w:t xml:space="preserve">8.10 </w:t>
          </w:r>
          <w:r>
            <w:t>期末按公允价值占基金资产净值比例大小排序的前十名基金投资明细</w:t>
          </w:r>
          <w:r>
            <w:tab/>
          </w:r>
          <w:r>
            <w:fldChar w:fldCharType="begin"/>
          </w:r>
          <w:r>
            <w:instrText xml:space="preserve"> PAGEREF _Toc26932 \h </w:instrText>
          </w:r>
          <w:r>
            <w:fldChar w:fldCharType="separate"/>
          </w:r>
          <w:r>
            <w:t>56</w:t>
          </w:r>
          <w:r>
            <w:fldChar w:fldCharType="end"/>
          </w:r>
          <w:r>
            <w:fldChar w:fldCharType="end"/>
          </w:r>
        </w:p>
        <w:p w14:paraId="13BF980F">
          <w:pPr>
            <w:pStyle w:val="10"/>
            <w:tabs>
              <w:tab w:val="right" w:leader="dot" w:pos="8306"/>
            </w:tabs>
          </w:pPr>
          <w:r>
            <w:fldChar w:fldCharType="begin"/>
          </w:r>
          <w:r>
            <w:instrText xml:space="preserve"> HYPERLINK \l _Toc5005 </w:instrText>
          </w:r>
          <w:r>
            <w:fldChar w:fldCharType="separate"/>
          </w:r>
          <w:r>
            <w:rPr>
              <w:rFonts w:hint="eastAsia"/>
            </w:rPr>
            <w:t xml:space="preserve">8.11 </w:t>
          </w:r>
          <w:r>
            <w:t>投资组合报告附注</w:t>
          </w:r>
          <w:r>
            <w:tab/>
          </w:r>
          <w:r>
            <w:fldChar w:fldCharType="begin"/>
          </w:r>
          <w:r>
            <w:instrText xml:space="preserve"> PAGEREF _Toc5005 \h </w:instrText>
          </w:r>
          <w:r>
            <w:fldChar w:fldCharType="separate"/>
          </w:r>
          <w:r>
            <w:t>56</w:t>
          </w:r>
          <w:r>
            <w:fldChar w:fldCharType="end"/>
          </w:r>
          <w:r>
            <w:fldChar w:fldCharType="end"/>
          </w:r>
        </w:p>
        <w:p w14:paraId="404496ED">
          <w:pPr>
            <w:pStyle w:val="8"/>
            <w:tabs>
              <w:tab w:val="right" w:leader="dot" w:pos="8306"/>
            </w:tabs>
          </w:pPr>
          <w:r>
            <w:fldChar w:fldCharType="begin"/>
          </w:r>
          <w:r>
            <w:instrText xml:space="preserve"> HYPERLINK \l _Toc5795 </w:instrText>
          </w:r>
          <w:r>
            <w:fldChar w:fldCharType="separate"/>
          </w:r>
          <w:r>
            <w:rPr>
              <w:rFonts w:hint="eastAsia"/>
            </w:rPr>
            <w:t xml:space="preserve">§9 </w:t>
          </w:r>
          <w:r>
            <w:t>基金份额持有人信息</w:t>
          </w:r>
          <w:r>
            <w:tab/>
          </w:r>
          <w:r>
            <w:fldChar w:fldCharType="begin"/>
          </w:r>
          <w:r>
            <w:instrText xml:space="preserve"> PAGEREF _Toc5795 \h </w:instrText>
          </w:r>
          <w:r>
            <w:fldChar w:fldCharType="separate"/>
          </w:r>
          <w:r>
            <w:t>57</w:t>
          </w:r>
          <w:r>
            <w:fldChar w:fldCharType="end"/>
          </w:r>
          <w:r>
            <w:fldChar w:fldCharType="end"/>
          </w:r>
        </w:p>
        <w:p w14:paraId="0035456C">
          <w:pPr>
            <w:pStyle w:val="10"/>
            <w:tabs>
              <w:tab w:val="right" w:leader="dot" w:pos="8306"/>
            </w:tabs>
          </w:pPr>
          <w:r>
            <w:fldChar w:fldCharType="begin"/>
          </w:r>
          <w:r>
            <w:instrText xml:space="preserve"> HYPERLINK \l _Toc29231 </w:instrText>
          </w:r>
          <w:r>
            <w:fldChar w:fldCharType="separate"/>
          </w:r>
          <w:r>
            <w:rPr>
              <w:rFonts w:hint="eastAsia"/>
            </w:rPr>
            <w:t xml:space="preserve">9.1 </w:t>
          </w:r>
          <w:r>
            <w:t>期末基金份额持有人户数及持有人结构</w:t>
          </w:r>
          <w:r>
            <w:tab/>
          </w:r>
          <w:r>
            <w:fldChar w:fldCharType="begin"/>
          </w:r>
          <w:r>
            <w:instrText xml:space="preserve"> PAGEREF _Toc29231 \h </w:instrText>
          </w:r>
          <w:r>
            <w:fldChar w:fldCharType="separate"/>
          </w:r>
          <w:r>
            <w:t>57</w:t>
          </w:r>
          <w:r>
            <w:fldChar w:fldCharType="end"/>
          </w:r>
          <w:r>
            <w:fldChar w:fldCharType="end"/>
          </w:r>
        </w:p>
        <w:p w14:paraId="5825186E">
          <w:pPr>
            <w:pStyle w:val="10"/>
            <w:tabs>
              <w:tab w:val="right" w:leader="dot" w:pos="8306"/>
            </w:tabs>
          </w:pPr>
          <w:r>
            <w:fldChar w:fldCharType="begin"/>
          </w:r>
          <w:r>
            <w:instrText xml:space="preserve"> HYPERLINK \l _Toc12181 </w:instrText>
          </w:r>
          <w:r>
            <w:fldChar w:fldCharType="separate"/>
          </w:r>
          <w:r>
            <w:rPr>
              <w:rFonts w:hint="eastAsia"/>
            </w:rPr>
            <w:t xml:space="preserve">9.2 </w:t>
          </w:r>
          <w:r>
            <w:t>期末基金管理人的从业人员持有本基金的情况</w:t>
          </w:r>
          <w:r>
            <w:tab/>
          </w:r>
          <w:r>
            <w:fldChar w:fldCharType="begin"/>
          </w:r>
          <w:r>
            <w:instrText xml:space="preserve"> PAGEREF _Toc12181 \h </w:instrText>
          </w:r>
          <w:r>
            <w:fldChar w:fldCharType="separate"/>
          </w:r>
          <w:r>
            <w:t>58</w:t>
          </w:r>
          <w:r>
            <w:fldChar w:fldCharType="end"/>
          </w:r>
          <w:r>
            <w:fldChar w:fldCharType="end"/>
          </w:r>
        </w:p>
        <w:p w14:paraId="119D04A6">
          <w:pPr>
            <w:pStyle w:val="10"/>
            <w:tabs>
              <w:tab w:val="right" w:leader="dot" w:pos="8306"/>
            </w:tabs>
          </w:pPr>
          <w:r>
            <w:fldChar w:fldCharType="begin"/>
          </w:r>
          <w:r>
            <w:instrText xml:space="preserve"> HYPERLINK \l _Toc19446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_Toc19446 \h </w:instrText>
          </w:r>
          <w:r>
            <w:fldChar w:fldCharType="separate"/>
          </w:r>
          <w:r>
            <w:t>58</w:t>
          </w:r>
          <w:r>
            <w:fldChar w:fldCharType="end"/>
          </w:r>
          <w:r>
            <w:fldChar w:fldCharType="end"/>
          </w:r>
        </w:p>
        <w:p w14:paraId="30F6BEF7">
          <w:pPr>
            <w:pStyle w:val="10"/>
            <w:tabs>
              <w:tab w:val="right" w:leader="dot" w:pos="8306"/>
            </w:tabs>
          </w:pPr>
          <w:r>
            <w:fldChar w:fldCharType="begin"/>
          </w:r>
          <w:r>
            <w:instrText xml:space="preserve"> HYPERLINK \l _Toc27400 </w:instrText>
          </w:r>
          <w:r>
            <w:fldChar w:fldCharType="separate"/>
          </w:r>
          <w:r>
            <w:rPr>
              <w:rFonts w:hint="eastAsia"/>
            </w:rPr>
            <w:t xml:space="preserve">9.4 </w:t>
          </w:r>
          <w:r>
            <w:t>报告期末发起式基金发起资金持有份额情况</w:t>
          </w:r>
          <w:r>
            <w:tab/>
          </w:r>
          <w:r>
            <w:fldChar w:fldCharType="begin"/>
          </w:r>
          <w:r>
            <w:instrText xml:space="preserve"> PAGEREF _Toc27400 \h </w:instrText>
          </w:r>
          <w:r>
            <w:fldChar w:fldCharType="separate"/>
          </w:r>
          <w:r>
            <w:t>58</w:t>
          </w:r>
          <w:r>
            <w:fldChar w:fldCharType="end"/>
          </w:r>
          <w:r>
            <w:fldChar w:fldCharType="end"/>
          </w:r>
        </w:p>
        <w:p w14:paraId="436F848B">
          <w:pPr>
            <w:pStyle w:val="8"/>
            <w:tabs>
              <w:tab w:val="right" w:leader="dot" w:pos="8306"/>
            </w:tabs>
          </w:pPr>
          <w:r>
            <w:fldChar w:fldCharType="begin"/>
          </w:r>
          <w:r>
            <w:instrText xml:space="preserve"> HYPERLINK \l _Toc7012 </w:instrText>
          </w:r>
          <w:r>
            <w:fldChar w:fldCharType="separate"/>
          </w:r>
          <w:r>
            <w:rPr>
              <w:rFonts w:hint="eastAsia"/>
            </w:rPr>
            <w:t xml:space="preserve">§10 </w:t>
          </w:r>
          <w:r>
            <w:t>开放式基金份额变动</w:t>
          </w:r>
          <w:r>
            <w:tab/>
          </w:r>
          <w:r>
            <w:fldChar w:fldCharType="begin"/>
          </w:r>
          <w:r>
            <w:instrText xml:space="preserve"> PAGEREF _Toc7012 \h </w:instrText>
          </w:r>
          <w:r>
            <w:fldChar w:fldCharType="separate"/>
          </w:r>
          <w:r>
            <w:t>59</w:t>
          </w:r>
          <w:r>
            <w:fldChar w:fldCharType="end"/>
          </w:r>
          <w:r>
            <w:fldChar w:fldCharType="end"/>
          </w:r>
        </w:p>
        <w:p w14:paraId="210CC46B">
          <w:pPr>
            <w:pStyle w:val="8"/>
            <w:tabs>
              <w:tab w:val="right" w:leader="dot" w:pos="8306"/>
            </w:tabs>
          </w:pPr>
          <w:r>
            <w:fldChar w:fldCharType="begin"/>
          </w:r>
          <w:r>
            <w:instrText xml:space="preserve"> HYPERLINK \l _Toc25353 </w:instrText>
          </w:r>
          <w:r>
            <w:fldChar w:fldCharType="separate"/>
          </w:r>
          <w:r>
            <w:rPr>
              <w:rFonts w:hint="eastAsia"/>
            </w:rPr>
            <w:t xml:space="preserve">§11 </w:t>
          </w:r>
          <w:r>
            <w:t>重大事件揭示</w:t>
          </w:r>
          <w:r>
            <w:tab/>
          </w:r>
          <w:r>
            <w:fldChar w:fldCharType="begin"/>
          </w:r>
          <w:r>
            <w:instrText xml:space="preserve"> PAGEREF _Toc25353 \h </w:instrText>
          </w:r>
          <w:r>
            <w:fldChar w:fldCharType="separate"/>
          </w:r>
          <w:r>
            <w:t>59</w:t>
          </w:r>
          <w:r>
            <w:fldChar w:fldCharType="end"/>
          </w:r>
          <w:r>
            <w:fldChar w:fldCharType="end"/>
          </w:r>
        </w:p>
        <w:p w14:paraId="6C407285">
          <w:pPr>
            <w:pStyle w:val="10"/>
            <w:tabs>
              <w:tab w:val="right" w:leader="dot" w:pos="8306"/>
            </w:tabs>
          </w:pPr>
          <w:r>
            <w:fldChar w:fldCharType="begin"/>
          </w:r>
          <w:r>
            <w:instrText xml:space="preserve"> HYPERLINK \l _Toc15769 </w:instrText>
          </w:r>
          <w:r>
            <w:fldChar w:fldCharType="separate"/>
          </w:r>
          <w:r>
            <w:rPr>
              <w:rFonts w:hint="eastAsia"/>
            </w:rPr>
            <w:t xml:space="preserve">11.1 </w:t>
          </w:r>
          <w:r>
            <w:t>基金份额持有人大会决议</w:t>
          </w:r>
          <w:r>
            <w:tab/>
          </w:r>
          <w:r>
            <w:fldChar w:fldCharType="begin"/>
          </w:r>
          <w:r>
            <w:instrText xml:space="preserve"> PAGEREF _Toc15769 \h </w:instrText>
          </w:r>
          <w:r>
            <w:fldChar w:fldCharType="separate"/>
          </w:r>
          <w:r>
            <w:t>59</w:t>
          </w:r>
          <w:r>
            <w:fldChar w:fldCharType="end"/>
          </w:r>
          <w:r>
            <w:fldChar w:fldCharType="end"/>
          </w:r>
        </w:p>
        <w:p w14:paraId="7C1B3DA7">
          <w:pPr>
            <w:pStyle w:val="10"/>
            <w:tabs>
              <w:tab w:val="right" w:leader="dot" w:pos="8306"/>
            </w:tabs>
          </w:pPr>
          <w:r>
            <w:fldChar w:fldCharType="begin"/>
          </w:r>
          <w:r>
            <w:instrText xml:space="preserve"> HYPERLINK \l _Toc9823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_Toc9823 \h </w:instrText>
          </w:r>
          <w:r>
            <w:fldChar w:fldCharType="separate"/>
          </w:r>
          <w:r>
            <w:t>59</w:t>
          </w:r>
          <w:r>
            <w:fldChar w:fldCharType="end"/>
          </w:r>
          <w:r>
            <w:fldChar w:fldCharType="end"/>
          </w:r>
        </w:p>
        <w:p w14:paraId="3FA840BA">
          <w:pPr>
            <w:pStyle w:val="10"/>
            <w:tabs>
              <w:tab w:val="right" w:leader="dot" w:pos="8306"/>
            </w:tabs>
          </w:pPr>
          <w:r>
            <w:fldChar w:fldCharType="begin"/>
          </w:r>
          <w:r>
            <w:instrText xml:space="preserve"> HYPERLINK \l _Toc7136 </w:instrText>
          </w:r>
          <w:r>
            <w:fldChar w:fldCharType="separate"/>
          </w:r>
          <w:r>
            <w:rPr>
              <w:rFonts w:hint="eastAsia"/>
            </w:rPr>
            <w:t xml:space="preserve">11.3 </w:t>
          </w:r>
          <w:r>
            <w:t>涉及基金管理人、基金财产、基金托管业务的诉讼</w:t>
          </w:r>
          <w:r>
            <w:tab/>
          </w:r>
          <w:r>
            <w:fldChar w:fldCharType="begin"/>
          </w:r>
          <w:r>
            <w:instrText xml:space="preserve"> PAGEREF _Toc7136 \h </w:instrText>
          </w:r>
          <w:r>
            <w:fldChar w:fldCharType="separate"/>
          </w:r>
          <w:r>
            <w:t>59</w:t>
          </w:r>
          <w:r>
            <w:fldChar w:fldCharType="end"/>
          </w:r>
          <w:r>
            <w:fldChar w:fldCharType="end"/>
          </w:r>
        </w:p>
        <w:p w14:paraId="5B0A0427">
          <w:pPr>
            <w:pStyle w:val="10"/>
            <w:tabs>
              <w:tab w:val="right" w:leader="dot" w:pos="8306"/>
            </w:tabs>
          </w:pPr>
          <w:r>
            <w:fldChar w:fldCharType="begin"/>
          </w:r>
          <w:r>
            <w:instrText xml:space="preserve"> HYPERLINK \l _Toc8277 </w:instrText>
          </w:r>
          <w:r>
            <w:fldChar w:fldCharType="separate"/>
          </w:r>
          <w:r>
            <w:rPr>
              <w:rFonts w:hint="eastAsia"/>
            </w:rPr>
            <w:t xml:space="preserve">11.4 </w:t>
          </w:r>
          <w:r>
            <w:t>基金投资策略的改变</w:t>
          </w:r>
          <w:r>
            <w:tab/>
          </w:r>
          <w:r>
            <w:fldChar w:fldCharType="begin"/>
          </w:r>
          <w:r>
            <w:instrText xml:space="preserve"> PAGEREF _Toc8277 \h </w:instrText>
          </w:r>
          <w:r>
            <w:fldChar w:fldCharType="separate"/>
          </w:r>
          <w:r>
            <w:t>59</w:t>
          </w:r>
          <w:r>
            <w:fldChar w:fldCharType="end"/>
          </w:r>
          <w:r>
            <w:fldChar w:fldCharType="end"/>
          </w:r>
        </w:p>
        <w:p w14:paraId="68E81677">
          <w:pPr>
            <w:pStyle w:val="10"/>
            <w:tabs>
              <w:tab w:val="right" w:leader="dot" w:pos="8306"/>
            </w:tabs>
          </w:pPr>
          <w:r>
            <w:fldChar w:fldCharType="begin"/>
          </w:r>
          <w:r>
            <w:instrText xml:space="preserve"> HYPERLINK \l _Toc18106 </w:instrText>
          </w:r>
          <w:r>
            <w:fldChar w:fldCharType="separate"/>
          </w:r>
          <w:r>
            <w:rPr>
              <w:rFonts w:hint="eastAsia"/>
            </w:rPr>
            <w:t xml:space="preserve">11.5 </w:t>
          </w:r>
          <w:r>
            <w:t>为基金进行审计的会计师事务所情况</w:t>
          </w:r>
          <w:r>
            <w:tab/>
          </w:r>
          <w:r>
            <w:fldChar w:fldCharType="begin"/>
          </w:r>
          <w:r>
            <w:instrText xml:space="preserve"> PAGEREF _Toc18106 \h </w:instrText>
          </w:r>
          <w:r>
            <w:fldChar w:fldCharType="separate"/>
          </w:r>
          <w:r>
            <w:t>60</w:t>
          </w:r>
          <w:r>
            <w:fldChar w:fldCharType="end"/>
          </w:r>
          <w:r>
            <w:fldChar w:fldCharType="end"/>
          </w:r>
        </w:p>
        <w:p w14:paraId="4F1C6996">
          <w:pPr>
            <w:pStyle w:val="10"/>
            <w:tabs>
              <w:tab w:val="right" w:leader="dot" w:pos="8306"/>
            </w:tabs>
          </w:pPr>
          <w:r>
            <w:fldChar w:fldCharType="begin"/>
          </w:r>
          <w:r>
            <w:instrText xml:space="preserve"> HYPERLINK \l _Toc20523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_Toc20523 \h </w:instrText>
          </w:r>
          <w:r>
            <w:fldChar w:fldCharType="separate"/>
          </w:r>
          <w:r>
            <w:t>60</w:t>
          </w:r>
          <w:r>
            <w:fldChar w:fldCharType="end"/>
          </w:r>
          <w:r>
            <w:fldChar w:fldCharType="end"/>
          </w:r>
        </w:p>
        <w:p w14:paraId="4D988804">
          <w:pPr>
            <w:pStyle w:val="10"/>
            <w:tabs>
              <w:tab w:val="right" w:leader="dot" w:pos="8306"/>
            </w:tabs>
          </w:pPr>
          <w:r>
            <w:fldChar w:fldCharType="begin"/>
          </w:r>
          <w:r>
            <w:instrText xml:space="preserve"> HYPERLINK \l _Toc13864 </w:instrText>
          </w:r>
          <w:r>
            <w:fldChar w:fldCharType="separate"/>
          </w:r>
          <w:r>
            <w:rPr>
              <w:rFonts w:hint="eastAsia"/>
            </w:rPr>
            <w:t xml:space="preserve">11.7 </w:t>
          </w:r>
          <w:r>
            <w:t>基金租用证券公司交易单元的有关情况</w:t>
          </w:r>
          <w:r>
            <w:tab/>
          </w:r>
          <w:r>
            <w:fldChar w:fldCharType="begin"/>
          </w:r>
          <w:r>
            <w:instrText xml:space="preserve"> PAGEREF _Toc13864 \h </w:instrText>
          </w:r>
          <w:r>
            <w:fldChar w:fldCharType="separate"/>
          </w:r>
          <w:r>
            <w:t>61</w:t>
          </w:r>
          <w:r>
            <w:fldChar w:fldCharType="end"/>
          </w:r>
          <w:r>
            <w:fldChar w:fldCharType="end"/>
          </w:r>
        </w:p>
        <w:p w14:paraId="139164CF">
          <w:pPr>
            <w:pStyle w:val="10"/>
            <w:tabs>
              <w:tab w:val="right" w:leader="dot" w:pos="8306"/>
            </w:tabs>
          </w:pPr>
          <w:r>
            <w:fldChar w:fldCharType="begin"/>
          </w:r>
          <w:r>
            <w:instrText xml:space="preserve"> HYPERLINK \l _Toc21684 </w:instrText>
          </w:r>
          <w:r>
            <w:fldChar w:fldCharType="separate"/>
          </w:r>
          <w:r>
            <w:rPr>
              <w:rFonts w:hint="eastAsia"/>
            </w:rPr>
            <w:t xml:space="preserve">11.8 </w:t>
          </w:r>
          <w:r>
            <w:t>其他重大事件</w:t>
          </w:r>
          <w:r>
            <w:tab/>
          </w:r>
          <w:r>
            <w:fldChar w:fldCharType="begin"/>
          </w:r>
          <w:r>
            <w:instrText xml:space="preserve"> PAGEREF _Toc21684 \h </w:instrText>
          </w:r>
          <w:r>
            <w:fldChar w:fldCharType="separate"/>
          </w:r>
          <w:r>
            <w:t>62</w:t>
          </w:r>
          <w:r>
            <w:fldChar w:fldCharType="end"/>
          </w:r>
          <w:r>
            <w:fldChar w:fldCharType="end"/>
          </w:r>
        </w:p>
        <w:p w14:paraId="3B22F5E1">
          <w:pPr>
            <w:pStyle w:val="8"/>
            <w:tabs>
              <w:tab w:val="right" w:leader="dot" w:pos="8306"/>
            </w:tabs>
          </w:pPr>
          <w:r>
            <w:fldChar w:fldCharType="begin"/>
          </w:r>
          <w:r>
            <w:instrText xml:space="preserve"> HYPERLINK \l _Toc16697 </w:instrText>
          </w:r>
          <w:r>
            <w:fldChar w:fldCharType="separate"/>
          </w:r>
          <w:r>
            <w:rPr>
              <w:rFonts w:hint="eastAsia"/>
            </w:rPr>
            <w:t xml:space="preserve">§12 </w:t>
          </w:r>
          <w:r>
            <w:t>影响投资者决策的其他重要信息</w:t>
          </w:r>
          <w:r>
            <w:tab/>
          </w:r>
          <w:r>
            <w:fldChar w:fldCharType="begin"/>
          </w:r>
          <w:r>
            <w:instrText xml:space="preserve"> PAGEREF _Toc16697 \h </w:instrText>
          </w:r>
          <w:r>
            <w:fldChar w:fldCharType="separate"/>
          </w:r>
          <w:r>
            <w:t>63</w:t>
          </w:r>
          <w:r>
            <w:fldChar w:fldCharType="end"/>
          </w:r>
          <w:r>
            <w:fldChar w:fldCharType="end"/>
          </w:r>
        </w:p>
        <w:p w14:paraId="52B8513E">
          <w:pPr>
            <w:pStyle w:val="10"/>
            <w:tabs>
              <w:tab w:val="right" w:leader="dot" w:pos="8306"/>
            </w:tabs>
          </w:pPr>
          <w:r>
            <w:fldChar w:fldCharType="begin"/>
          </w:r>
          <w:r>
            <w:instrText xml:space="preserve"> HYPERLINK \l _Toc13857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_Toc13857 \h </w:instrText>
          </w:r>
          <w:r>
            <w:fldChar w:fldCharType="separate"/>
          </w:r>
          <w:r>
            <w:t>63</w:t>
          </w:r>
          <w:r>
            <w:fldChar w:fldCharType="end"/>
          </w:r>
          <w:r>
            <w:fldChar w:fldCharType="end"/>
          </w:r>
        </w:p>
        <w:p w14:paraId="3AE752A8">
          <w:pPr>
            <w:pStyle w:val="10"/>
            <w:tabs>
              <w:tab w:val="right" w:leader="dot" w:pos="8306"/>
            </w:tabs>
          </w:pPr>
          <w:r>
            <w:fldChar w:fldCharType="begin"/>
          </w:r>
          <w:r>
            <w:instrText xml:space="preserve"> HYPERLINK \l _Toc12080 </w:instrText>
          </w:r>
          <w:r>
            <w:fldChar w:fldCharType="separate"/>
          </w:r>
          <w:r>
            <w:rPr>
              <w:rFonts w:hint="eastAsia"/>
            </w:rPr>
            <w:t xml:space="preserve">12.2 </w:t>
          </w:r>
          <w:r>
            <w:t>影响投资者决策的其他重要信息</w:t>
          </w:r>
          <w:r>
            <w:tab/>
          </w:r>
          <w:r>
            <w:fldChar w:fldCharType="begin"/>
          </w:r>
          <w:r>
            <w:instrText xml:space="preserve"> PAGEREF _Toc12080 \h </w:instrText>
          </w:r>
          <w:r>
            <w:fldChar w:fldCharType="separate"/>
          </w:r>
          <w:r>
            <w:t>63</w:t>
          </w:r>
          <w:r>
            <w:fldChar w:fldCharType="end"/>
          </w:r>
          <w:r>
            <w:fldChar w:fldCharType="end"/>
          </w:r>
        </w:p>
        <w:p w14:paraId="7A1DD020">
          <w:pPr>
            <w:pStyle w:val="8"/>
            <w:tabs>
              <w:tab w:val="right" w:leader="dot" w:pos="8306"/>
            </w:tabs>
          </w:pPr>
          <w:r>
            <w:fldChar w:fldCharType="begin"/>
          </w:r>
          <w:r>
            <w:instrText xml:space="preserve"> HYPERLINK \l _Toc26395 </w:instrText>
          </w:r>
          <w:r>
            <w:fldChar w:fldCharType="separate"/>
          </w:r>
          <w:r>
            <w:rPr>
              <w:rFonts w:hint="eastAsia"/>
            </w:rPr>
            <w:t xml:space="preserve">§13 </w:t>
          </w:r>
          <w:r>
            <w:t>备查文件目录</w:t>
          </w:r>
          <w:r>
            <w:tab/>
          </w:r>
          <w:r>
            <w:fldChar w:fldCharType="begin"/>
          </w:r>
          <w:r>
            <w:instrText xml:space="preserve"> PAGEREF _Toc26395 \h </w:instrText>
          </w:r>
          <w:r>
            <w:fldChar w:fldCharType="separate"/>
          </w:r>
          <w:r>
            <w:t>63</w:t>
          </w:r>
          <w:r>
            <w:fldChar w:fldCharType="end"/>
          </w:r>
          <w:r>
            <w:fldChar w:fldCharType="end"/>
          </w:r>
        </w:p>
        <w:p w14:paraId="2FE1BFA0">
          <w:pPr>
            <w:pStyle w:val="10"/>
            <w:tabs>
              <w:tab w:val="right" w:leader="dot" w:pos="8306"/>
            </w:tabs>
          </w:pPr>
          <w:r>
            <w:fldChar w:fldCharType="begin"/>
          </w:r>
          <w:r>
            <w:instrText xml:space="preserve"> HYPERLINK \l _Toc5825 </w:instrText>
          </w:r>
          <w:r>
            <w:fldChar w:fldCharType="separate"/>
          </w:r>
          <w:r>
            <w:rPr>
              <w:rFonts w:hint="eastAsia"/>
            </w:rPr>
            <w:t xml:space="preserve">13.1 </w:t>
          </w:r>
          <w:r>
            <w:t>备查文件目录</w:t>
          </w:r>
          <w:r>
            <w:tab/>
          </w:r>
          <w:r>
            <w:fldChar w:fldCharType="begin"/>
          </w:r>
          <w:r>
            <w:instrText xml:space="preserve"> PAGEREF _Toc5825 \h </w:instrText>
          </w:r>
          <w:r>
            <w:fldChar w:fldCharType="separate"/>
          </w:r>
          <w:r>
            <w:t>64</w:t>
          </w:r>
          <w:r>
            <w:fldChar w:fldCharType="end"/>
          </w:r>
          <w:r>
            <w:fldChar w:fldCharType="end"/>
          </w:r>
        </w:p>
        <w:p w14:paraId="2D8D56B6">
          <w:pPr>
            <w:pStyle w:val="10"/>
            <w:tabs>
              <w:tab w:val="right" w:leader="dot" w:pos="8306"/>
            </w:tabs>
          </w:pPr>
          <w:r>
            <w:fldChar w:fldCharType="begin"/>
          </w:r>
          <w:r>
            <w:instrText xml:space="preserve"> HYPERLINK \l _Toc32650 </w:instrText>
          </w:r>
          <w:r>
            <w:fldChar w:fldCharType="separate"/>
          </w:r>
          <w:r>
            <w:rPr>
              <w:rFonts w:hint="eastAsia"/>
            </w:rPr>
            <w:t xml:space="preserve">13.2 </w:t>
          </w:r>
          <w:r>
            <w:t>存放地点</w:t>
          </w:r>
          <w:r>
            <w:tab/>
          </w:r>
          <w:r>
            <w:fldChar w:fldCharType="begin"/>
          </w:r>
          <w:r>
            <w:instrText xml:space="preserve"> PAGEREF _Toc32650 \h </w:instrText>
          </w:r>
          <w:r>
            <w:fldChar w:fldCharType="separate"/>
          </w:r>
          <w:r>
            <w:t>64</w:t>
          </w:r>
          <w:r>
            <w:fldChar w:fldCharType="end"/>
          </w:r>
          <w:r>
            <w:fldChar w:fldCharType="end"/>
          </w:r>
        </w:p>
        <w:p w14:paraId="4C905355">
          <w:pPr>
            <w:pStyle w:val="10"/>
            <w:tabs>
              <w:tab w:val="right" w:leader="dot" w:pos="8306"/>
            </w:tabs>
          </w:pPr>
          <w:r>
            <w:fldChar w:fldCharType="begin"/>
          </w:r>
          <w:r>
            <w:instrText xml:space="preserve"> HYPERLINK \l _Toc9260 </w:instrText>
          </w:r>
          <w:r>
            <w:fldChar w:fldCharType="separate"/>
          </w:r>
          <w:r>
            <w:rPr>
              <w:rFonts w:hint="eastAsia"/>
            </w:rPr>
            <w:t xml:space="preserve">13.3 </w:t>
          </w:r>
          <w:r>
            <w:t>查阅方式</w:t>
          </w:r>
          <w:r>
            <w:tab/>
          </w:r>
          <w:r>
            <w:fldChar w:fldCharType="begin"/>
          </w:r>
          <w:r>
            <w:instrText xml:space="preserve"> PAGEREF _Toc9260 \h </w:instrText>
          </w:r>
          <w:r>
            <w:fldChar w:fldCharType="separate"/>
          </w:r>
          <w:r>
            <w:t>64</w:t>
          </w:r>
          <w:r>
            <w:fldChar w:fldCharType="end"/>
          </w:r>
          <w:r>
            <w:fldChar w:fldCharType="end"/>
          </w:r>
        </w:p>
        <w:p w14:paraId="36775084">
          <w:r>
            <w:fldChar w:fldCharType="end"/>
          </w:r>
        </w:p>
      </w:sdtContent>
    </w:sdt>
    <w:p w14:paraId="0CACAC5F">
      <w:pPr>
        <w:pStyle w:val="26"/>
        <w:pageBreakBefore/>
      </w:pPr>
      <w:bookmarkStart w:id="5" w:name="_Toc14806"/>
      <w:r>
        <w:t>基金简介</w:t>
      </w:r>
      <w:bookmarkEnd w:id="5"/>
    </w:p>
    <w:p w14:paraId="6C3C7DB5">
      <w:pPr>
        <w:pStyle w:val="23"/>
      </w:pPr>
      <w:bookmarkStart w:id="6" w:name="_Toc76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29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60B19F">
            <w:r>
              <w:rPr>
                <w:rFonts w:hint="eastAsia"/>
              </w:rPr>
              <w:t>基金名称</w:t>
            </w:r>
          </w:p>
        </w:tc>
        <w:tc>
          <w:tcPr>
            <w:tcW w:w="2768" w:type="dxa"/>
            <w:gridSpan w:val="2"/>
            <w:vAlign w:val="center"/>
          </w:tcPr>
          <w:p w14:paraId="02E8D29B">
            <w:r>
              <w:rPr>
                <w:rFonts w:hint="eastAsia"/>
              </w:rPr>
              <w:t>南方基金南方东英富时亚太低碳精选交易型开放式指数证券投资基金发起式联接基金（QDII）</w:t>
            </w:r>
          </w:p>
        </w:tc>
      </w:tr>
      <w:tr w14:paraId="2336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D3CCD5">
            <w:r>
              <w:rPr>
                <w:rFonts w:hint="eastAsia"/>
              </w:rPr>
              <w:t>基金简称</w:t>
            </w:r>
          </w:p>
        </w:tc>
        <w:tc>
          <w:tcPr>
            <w:tcW w:w="2768" w:type="dxa"/>
            <w:gridSpan w:val="2"/>
            <w:vAlign w:val="center"/>
          </w:tcPr>
          <w:p w14:paraId="66705265">
            <w:r>
              <w:rPr>
                <w:rFonts w:hint="eastAsia"/>
              </w:rPr>
              <w:t>南方富时亚太低碳精选ETF发起联接（QDII）</w:t>
            </w:r>
          </w:p>
        </w:tc>
      </w:tr>
      <w:tr w14:paraId="1021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5CFFDF">
            <w:r>
              <w:rPr>
                <w:rFonts w:hint="eastAsia"/>
              </w:rPr>
              <w:t>基金主代码</w:t>
            </w:r>
          </w:p>
        </w:tc>
        <w:tc>
          <w:tcPr>
            <w:tcW w:w="2768" w:type="dxa"/>
            <w:gridSpan w:val="2"/>
            <w:vAlign w:val="center"/>
          </w:tcPr>
          <w:p w14:paraId="4A6CA477">
            <w:r>
              <w:rPr>
                <w:rFonts w:hint="eastAsia"/>
              </w:rPr>
              <w:t>021189</w:t>
            </w:r>
          </w:p>
        </w:tc>
      </w:tr>
      <w:tr w14:paraId="40EE4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30479B">
            <w:r>
              <w:rPr>
                <w:rFonts w:hint="eastAsia"/>
              </w:rPr>
              <w:t>交易代码</w:t>
            </w:r>
          </w:p>
        </w:tc>
        <w:tc>
          <w:tcPr>
            <w:tcW w:w="2768" w:type="dxa"/>
            <w:gridSpan w:val="2"/>
            <w:vAlign w:val="center"/>
          </w:tcPr>
          <w:p w14:paraId="2184F03F">
            <w:r>
              <w:rPr>
                <w:rFonts w:hint="eastAsia"/>
              </w:rPr>
              <w:t>021189</w:t>
            </w:r>
          </w:p>
        </w:tc>
      </w:tr>
      <w:tr w14:paraId="488E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68FE10">
            <w:r>
              <w:rPr>
                <w:rFonts w:hint="eastAsia"/>
              </w:rPr>
              <w:t>基金运作方式</w:t>
            </w:r>
          </w:p>
        </w:tc>
        <w:tc>
          <w:tcPr>
            <w:tcW w:w="2768" w:type="dxa"/>
            <w:gridSpan w:val="2"/>
            <w:vAlign w:val="center"/>
          </w:tcPr>
          <w:p w14:paraId="427906EF">
            <w:r>
              <w:rPr>
                <w:rFonts w:hint="eastAsia"/>
              </w:rPr>
              <w:t>契约型开放式</w:t>
            </w:r>
          </w:p>
        </w:tc>
      </w:tr>
      <w:tr w14:paraId="0E998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4A6924">
            <w:r>
              <w:rPr>
                <w:rFonts w:hint="eastAsia"/>
              </w:rPr>
              <w:t>基金合同生效日</w:t>
            </w:r>
          </w:p>
        </w:tc>
        <w:tc>
          <w:tcPr>
            <w:tcW w:w="2768" w:type="dxa"/>
            <w:gridSpan w:val="2"/>
            <w:vAlign w:val="center"/>
          </w:tcPr>
          <w:p w14:paraId="7CA62F32">
            <w:r>
              <w:rPr>
                <w:rFonts w:hint="eastAsia"/>
              </w:rPr>
              <w:t>2024年5月21日</w:t>
            </w:r>
          </w:p>
        </w:tc>
      </w:tr>
      <w:tr w14:paraId="4C003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850180">
            <w:r>
              <w:rPr>
                <w:rFonts w:hint="eastAsia"/>
              </w:rPr>
              <w:t>基金管理人</w:t>
            </w:r>
          </w:p>
        </w:tc>
        <w:tc>
          <w:tcPr>
            <w:tcW w:w="2768" w:type="dxa"/>
            <w:gridSpan w:val="2"/>
            <w:vAlign w:val="center"/>
          </w:tcPr>
          <w:p w14:paraId="0BEFAA1F">
            <w:r>
              <w:rPr>
                <w:rFonts w:hint="eastAsia"/>
              </w:rPr>
              <w:t>南方基金管理股份有限公司</w:t>
            </w:r>
          </w:p>
        </w:tc>
      </w:tr>
      <w:tr w14:paraId="6828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5C858F">
            <w:r>
              <w:rPr>
                <w:rFonts w:hint="eastAsia"/>
              </w:rPr>
              <w:t>基金托管人</w:t>
            </w:r>
          </w:p>
        </w:tc>
        <w:tc>
          <w:tcPr>
            <w:tcW w:w="2768" w:type="dxa"/>
            <w:gridSpan w:val="2"/>
            <w:vAlign w:val="center"/>
          </w:tcPr>
          <w:p w14:paraId="34E46DA4">
            <w:r>
              <w:rPr>
                <w:rFonts w:hint="eastAsia"/>
              </w:rPr>
              <w:t>招商银行股份有限公司</w:t>
            </w:r>
          </w:p>
        </w:tc>
      </w:tr>
      <w:tr w14:paraId="7A15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A2C189">
            <w:r>
              <w:rPr>
                <w:rFonts w:hint="eastAsia"/>
              </w:rPr>
              <w:t>报告期末基金份额总额</w:t>
            </w:r>
          </w:p>
        </w:tc>
        <w:tc>
          <w:tcPr>
            <w:tcW w:w="2768" w:type="dxa"/>
            <w:gridSpan w:val="2"/>
            <w:vAlign w:val="center"/>
          </w:tcPr>
          <w:p w14:paraId="3D921A65">
            <w:r>
              <w:rPr>
                <w:rFonts w:hint="eastAsia"/>
              </w:rPr>
              <w:t>218,514,398.68份</w:t>
            </w:r>
          </w:p>
        </w:tc>
      </w:tr>
      <w:tr w14:paraId="5AA2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E6FE28">
            <w:r>
              <w:rPr>
                <w:rFonts w:hint="eastAsia"/>
              </w:rPr>
              <w:t>基金合同存续期</w:t>
            </w:r>
          </w:p>
        </w:tc>
        <w:tc>
          <w:tcPr>
            <w:tcW w:w="2768" w:type="dxa"/>
            <w:gridSpan w:val="2"/>
            <w:vAlign w:val="center"/>
          </w:tcPr>
          <w:p w14:paraId="43B1738D">
            <w:r>
              <w:rPr>
                <w:rFonts w:hint="eastAsia"/>
              </w:rPr>
              <w:t>不定期</w:t>
            </w:r>
          </w:p>
        </w:tc>
      </w:tr>
      <w:tr w14:paraId="7285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BCA6CD">
            <w:r>
              <w:rPr>
                <w:rFonts w:hint="eastAsia"/>
              </w:rPr>
              <w:t>下属分级基金的基金简称</w:t>
            </w:r>
          </w:p>
        </w:tc>
        <w:tc>
          <w:tcPr>
            <w:tcW w:w="2768" w:type="dxa"/>
            <w:vAlign w:val="center"/>
          </w:tcPr>
          <w:p w14:paraId="294BD483">
            <w:r>
              <w:rPr>
                <w:rFonts w:hint="eastAsia"/>
              </w:rPr>
              <w:t>南方富时亚太低碳精选ETF发起联接（QDII）A</w:t>
            </w:r>
          </w:p>
        </w:tc>
        <w:tc>
          <w:tcPr>
            <w:tcW w:w="2768" w:type="dxa"/>
            <w:vAlign w:val="center"/>
          </w:tcPr>
          <w:p w14:paraId="50BF2F22">
            <w:r>
              <w:rPr>
                <w:rFonts w:hint="eastAsia"/>
              </w:rPr>
              <w:t>南方富时亚太低碳精选ETF发起联接（QDII）C</w:t>
            </w:r>
          </w:p>
        </w:tc>
      </w:tr>
      <w:tr w14:paraId="40BA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FAF0D0">
            <w:r>
              <w:rPr>
                <w:rFonts w:hint="eastAsia"/>
              </w:rPr>
              <w:t>下属分级基金的交易代码</w:t>
            </w:r>
          </w:p>
        </w:tc>
        <w:tc>
          <w:tcPr>
            <w:tcW w:w="2768" w:type="dxa"/>
            <w:vAlign w:val="center"/>
          </w:tcPr>
          <w:p w14:paraId="6CEC1B78">
            <w:r>
              <w:rPr>
                <w:rFonts w:hint="eastAsia"/>
              </w:rPr>
              <w:t>021189</w:t>
            </w:r>
          </w:p>
        </w:tc>
        <w:tc>
          <w:tcPr>
            <w:tcW w:w="2768" w:type="dxa"/>
            <w:vAlign w:val="center"/>
          </w:tcPr>
          <w:p w14:paraId="3A6A0D5E">
            <w:r>
              <w:rPr>
                <w:rFonts w:hint="eastAsia"/>
              </w:rPr>
              <w:t>021190</w:t>
            </w:r>
          </w:p>
        </w:tc>
      </w:tr>
      <w:tr w14:paraId="492E8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51F097">
            <w:r>
              <w:rPr>
                <w:rFonts w:hint="eastAsia"/>
              </w:rPr>
              <w:t>报告期末下属分级基金的份额总额</w:t>
            </w:r>
          </w:p>
        </w:tc>
        <w:tc>
          <w:tcPr>
            <w:tcW w:w="2768" w:type="dxa"/>
            <w:vAlign w:val="center"/>
          </w:tcPr>
          <w:p w14:paraId="2354A5EC">
            <w:r>
              <w:rPr>
                <w:rFonts w:hint="eastAsia"/>
              </w:rPr>
              <w:t>51,114,300.05份</w:t>
            </w:r>
          </w:p>
        </w:tc>
        <w:tc>
          <w:tcPr>
            <w:tcW w:w="2768" w:type="dxa"/>
            <w:vAlign w:val="center"/>
          </w:tcPr>
          <w:p w14:paraId="79D5ABD3">
            <w:r>
              <w:rPr>
                <w:rFonts w:hint="eastAsia"/>
              </w:rPr>
              <w:t>167,400,098.63份</w:t>
            </w:r>
          </w:p>
        </w:tc>
      </w:tr>
    </w:tbl>
    <w:p w14:paraId="7D3B126F">
      <w:pPr>
        <w:pStyle w:val="47"/>
        <w:rPr>
          <w:rFonts w:hint="eastAsia"/>
        </w:rPr>
      </w:pPr>
      <w:r>
        <w:rPr>
          <w:rFonts w:hint="eastAsia"/>
        </w:rPr>
        <w:t>注：1.根据南方基金管理股份有限公司2024年12月5日发布的《关于南方基金南方东英银河联昌富时亚太低碳精选交易型开放式指数证券投资基金（QDII）及联接基金变更基金名称并修改法律文件的公告》，自2024年12月5日起，本基金的基金名称变更为“南方基金南方东英富时亚太低碳精选交易型开放式指数证券投资基金发起式联接基金（QDII）”。</w:t>
      </w:r>
    </w:p>
    <w:p w14:paraId="1704DFE0">
      <w:pPr>
        <w:pStyle w:val="47"/>
        <w:rPr>
          <w:rFonts w:hint="eastAsia"/>
        </w:rPr>
      </w:pPr>
      <w:r>
        <w:tab/>
      </w:r>
      <w:r>
        <w:rPr>
          <w:rFonts w:hint="eastAsia"/>
        </w:rPr>
        <w:t>2.为便于投资者理解，根据《公开募集证券投资基金信息披露管理办法》等法律法规及相关基金基金合同等规定，南方基金管理股份有限公司决定自2026年3月9日起，变更该基金份额的基金简称，相关基金代码不变。具体情况参见2026年3月4日发布的《南方基金管理股份有限公司关于旗下部分基金变更基金简称的公告》。</w:t>
      </w:r>
    </w:p>
    <w:p w14:paraId="44E6CD86">
      <w:pPr>
        <w:pStyle w:val="23"/>
      </w:pPr>
      <w:bookmarkStart w:id="7" w:name="_Toc1916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917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047FA1">
            <w:r>
              <w:rPr>
                <w:rFonts w:hint="eastAsia"/>
              </w:rPr>
              <w:t>投资目标</w:t>
            </w:r>
          </w:p>
        </w:tc>
        <w:tc>
          <w:tcPr>
            <w:tcW w:w="6644" w:type="dxa"/>
            <w:vAlign w:val="center"/>
          </w:tcPr>
          <w:p w14:paraId="59C49481">
            <w:r>
              <w:rPr>
                <w:rFonts w:hint="eastAsia"/>
              </w:rPr>
              <w:t>本基金通过投资于目标ETF，紧密跟踪标的指数，追求与业绩比较基准相似的回报。</w:t>
            </w:r>
          </w:p>
        </w:tc>
      </w:tr>
      <w:tr w14:paraId="396B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534B06">
            <w:r>
              <w:rPr>
                <w:rFonts w:hint="eastAsia"/>
              </w:rPr>
              <w:t>投资策略</w:t>
            </w:r>
          </w:p>
        </w:tc>
        <w:tc>
          <w:tcPr>
            <w:tcW w:w="6644" w:type="dxa"/>
            <w:vAlign w:val="center"/>
          </w:tcPr>
          <w:p w14:paraId="3B2CADCA">
            <w:pPr>
              <w:jc w:val="both"/>
            </w:pPr>
            <w:r>
              <w:rPr>
                <w:rFonts w:hint="eastAsia"/>
              </w:rPr>
              <w:t>本基金为被动式指数基金，主要投资于目标ETF。本基金并不参与目标ETF的管理。在正常市场情况下，本基金力争净值增长率与业绩比较基准之间的日均跟踪偏离度不超过0.35%，年跟踪误差不超过4%。主要投资策略包括：资产配置策略、目标ETF投资策略、成份股、备选成份股投资策略、金融衍生品投资策略、债券投资策略、可转换债券及可交换债券投资策略、资产支持证券投资策略、存托凭证投资策略、境内融资及转融通证券出借业务投资策略、境外市场基金投资策略、境外回购交易及证券借贷交易策略等以更好的跟踪标的指数，实现基金投资目标。</w:t>
            </w:r>
          </w:p>
        </w:tc>
      </w:tr>
      <w:tr w14:paraId="768B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00FA40">
            <w:r>
              <w:rPr>
                <w:rFonts w:hint="eastAsia"/>
              </w:rPr>
              <w:t>业绩比较基准</w:t>
            </w:r>
          </w:p>
        </w:tc>
        <w:tc>
          <w:tcPr>
            <w:tcW w:w="6644" w:type="dxa"/>
            <w:vAlign w:val="center"/>
          </w:tcPr>
          <w:p w14:paraId="14433442">
            <w:pPr>
              <w:jc w:val="both"/>
            </w:pPr>
            <w:r>
              <w:rPr>
                <w:rFonts w:hint="eastAsia"/>
              </w:rPr>
              <w:t>本基金的标的指数为富时亚太低碳精选指数，及其未来可能发生的变更。本基金业绩比较基准为经估值汇率调整后的标的指数收益率×95%+银行人民币活期存款利率（税后）×5%。</w:t>
            </w:r>
          </w:p>
        </w:tc>
      </w:tr>
      <w:tr w14:paraId="7939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26F9FF">
            <w:r>
              <w:rPr>
                <w:rFonts w:hint="eastAsia"/>
              </w:rPr>
              <w:t>风险收益特征</w:t>
            </w:r>
          </w:p>
        </w:tc>
        <w:tc>
          <w:tcPr>
            <w:tcW w:w="6644" w:type="dxa"/>
            <w:vAlign w:val="center"/>
          </w:tcPr>
          <w:p w14:paraId="438A9049">
            <w:pPr>
              <w:jc w:val="both"/>
              <w:rPr>
                <w:rFonts w:hint="eastAsia"/>
              </w:rPr>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
</w:t>
            </w:r>
            <w:r>
              <w:rPr>
                <w:rFonts w:hint="eastAsia"/>
              </w:rPr>
              <w:br w:type="textWrapping"/>
            </w:r>
            <w:r>
              <w:rPr>
                <w:rFonts w:hint="eastAsia"/>
              </w:rPr>
              <w:t>本基金资产投资于境外证券，除了需要承担与境内证券投资基金类似的市场波动风险等一般投资风险之外，本基金还面临汇率风险、股价波动风险等境外证券市场投资所面临的特别投资风险。</w:t>
            </w:r>
          </w:p>
        </w:tc>
      </w:tr>
    </w:tbl>
    <w:p w14:paraId="1E554AE0">
      <w:pPr>
        <w:pStyle w:val="23"/>
      </w:pPr>
      <w:bookmarkStart w:id="8" w:name="_Toc23009"/>
      <w:r>
        <w:t>目标基金基本情况</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0C7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41BD35">
            <w:r>
              <w:rPr>
                <w:rFonts w:hint="eastAsia"/>
              </w:rPr>
              <w:t>基金名称</w:t>
            </w:r>
          </w:p>
        </w:tc>
        <w:tc>
          <w:tcPr>
            <w:tcW w:w="4153" w:type="dxa"/>
            <w:vAlign w:val="center"/>
          </w:tcPr>
          <w:p w14:paraId="7A65AAF0">
            <w:r>
              <w:rPr>
                <w:rFonts w:hint="eastAsia"/>
              </w:rPr>
              <w:t>南方基金南方东英富时亚太低碳精选交易型开放式指数证券投资基金（QDII）</w:t>
            </w:r>
          </w:p>
        </w:tc>
      </w:tr>
      <w:tr w14:paraId="3FC22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18F5AA">
            <w:r>
              <w:rPr>
                <w:rFonts w:hint="eastAsia"/>
              </w:rPr>
              <w:t>基金主代码</w:t>
            </w:r>
          </w:p>
        </w:tc>
        <w:tc>
          <w:tcPr>
            <w:tcW w:w="4153" w:type="dxa"/>
            <w:vAlign w:val="center"/>
          </w:tcPr>
          <w:p w14:paraId="5C020CD9">
            <w:r>
              <w:rPr>
                <w:rFonts w:hint="eastAsia"/>
              </w:rPr>
              <w:t>159687</w:t>
            </w:r>
          </w:p>
        </w:tc>
      </w:tr>
      <w:tr w14:paraId="4017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AD168A">
            <w:r>
              <w:rPr>
                <w:rFonts w:hint="eastAsia"/>
              </w:rPr>
              <w:t>基金运作方式</w:t>
            </w:r>
          </w:p>
        </w:tc>
        <w:tc>
          <w:tcPr>
            <w:tcW w:w="4153" w:type="dxa"/>
            <w:vAlign w:val="center"/>
          </w:tcPr>
          <w:p w14:paraId="3D8E4673">
            <w:r>
              <w:rPr>
                <w:rFonts w:hint="eastAsia"/>
              </w:rPr>
              <w:t>交易型开放式</w:t>
            </w:r>
          </w:p>
        </w:tc>
      </w:tr>
      <w:tr w14:paraId="6661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E10501">
            <w:r>
              <w:rPr>
                <w:rFonts w:hint="eastAsia"/>
              </w:rPr>
              <w:t>基金合同生效日</w:t>
            </w:r>
          </w:p>
        </w:tc>
        <w:tc>
          <w:tcPr>
            <w:tcW w:w="4153" w:type="dxa"/>
            <w:vAlign w:val="center"/>
          </w:tcPr>
          <w:p w14:paraId="0F939E18">
            <w:r>
              <w:rPr>
                <w:rFonts w:hint="eastAsia"/>
              </w:rPr>
              <w:t>2022年12月16日</w:t>
            </w:r>
          </w:p>
        </w:tc>
      </w:tr>
      <w:tr w14:paraId="4EB7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5AC0A4">
            <w:r>
              <w:rPr>
                <w:rFonts w:hint="eastAsia"/>
              </w:rPr>
              <w:t>基金份额上市的证券交易所</w:t>
            </w:r>
          </w:p>
        </w:tc>
        <w:tc>
          <w:tcPr>
            <w:tcW w:w="4153" w:type="dxa"/>
            <w:vAlign w:val="center"/>
          </w:tcPr>
          <w:p w14:paraId="148DFA6D">
            <w:r>
              <w:rPr>
                <w:rFonts w:hint="eastAsia"/>
              </w:rPr>
              <w:t>深圳证券交易所</w:t>
            </w:r>
          </w:p>
        </w:tc>
      </w:tr>
      <w:tr w14:paraId="47B21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065C46">
            <w:r>
              <w:rPr>
                <w:rFonts w:hint="eastAsia"/>
              </w:rPr>
              <w:t>上市日期</w:t>
            </w:r>
          </w:p>
        </w:tc>
        <w:tc>
          <w:tcPr>
            <w:tcW w:w="4153" w:type="dxa"/>
            <w:vAlign w:val="center"/>
          </w:tcPr>
          <w:p w14:paraId="45C083F6">
            <w:r>
              <w:rPr>
                <w:rFonts w:hint="eastAsia"/>
              </w:rPr>
              <w:t>2022年12月30日</w:t>
            </w:r>
          </w:p>
        </w:tc>
      </w:tr>
      <w:tr w14:paraId="2658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7497C8">
            <w:r>
              <w:rPr>
                <w:rFonts w:hint="eastAsia"/>
              </w:rPr>
              <w:t>基金管理人名称</w:t>
            </w:r>
          </w:p>
        </w:tc>
        <w:tc>
          <w:tcPr>
            <w:tcW w:w="4153" w:type="dxa"/>
            <w:vAlign w:val="center"/>
          </w:tcPr>
          <w:p w14:paraId="28E5490F">
            <w:r>
              <w:rPr>
                <w:rFonts w:hint="eastAsia"/>
              </w:rPr>
              <w:t>南方基金管理股份有限公司</w:t>
            </w:r>
          </w:p>
        </w:tc>
      </w:tr>
      <w:tr w14:paraId="42F6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58D466">
            <w:r>
              <w:rPr>
                <w:rFonts w:hint="eastAsia"/>
              </w:rPr>
              <w:t>基金托管人名称</w:t>
            </w:r>
          </w:p>
        </w:tc>
        <w:tc>
          <w:tcPr>
            <w:tcW w:w="4153" w:type="dxa"/>
            <w:vAlign w:val="center"/>
          </w:tcPr>
          <w:p w14:paraId="73D59311">
            <w:r>
              <w:rPr>
                <w:rFonts w:hint="eastAsia"/>
              </w:rPr>
              <w:t>招商银行股份有限公司</w:t>
            </w:r>
          </w:p>
        </w:tc>
      </w:tr>
    </w:tbl>
    <w:p w14:paraId="4E3BBCA1">
      <w:pPr>
        <w:pStyle w:val="23"/>
      </w:pPr>
      <w:bookmarkStart w:id="9" w:name="_Toc18166"/>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7E0BF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ED33BB">
            <w:r>
              <w:rPr>
                <w:rFonts w:hint="eastAsia"/>
              </w:rPr>
              <w:t>投资目标</w:t>
            </w:r>
          </w:p>
        </w:tc>
        <w:tc>
          <w:tcPr>
            <w:tcW w:w="6921" w:type="dxa"/>
            <w:vAlign w:val="center"/>
          </w:tcPr>
          <w:p w14:paraId="55D67931">
            <w:r>
              <w:rPr>
                <w:rFonts w:hint="eastAsia"/>
              </w:rPr>
              <w:t>本基金主要通过投资于标的ETF，力求紧密跟踪标的指数，追求跟踪偏离度和跟踪误差最小化。</w:t>
            </w:r>
          </w:p>
        </w:tc>
      </w:tr>
      <w:tr w14:paraId="3CA6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837F6">
            <w:r>
              <w:rPr>
                <w:rFonts w:hint="eastAsia"/>
              </w:rPr>
              <w:t>投资策略</w:t>
            </w:r>
          </w:p>
        </w:tc>
        <w:tc>
          <w:tcPr>
            <w:tcW w:w="6921" w:type="dxa"/>
            <w:vAlign w:val="center"/>
          </w:tcPr>
          <w:p w14:paraId="2CA24CFC">
            <w:pPr>
              <w:jc w:val="both"/>
            </w:pPr>
            <w:r>
              <w:rPr>
                <w:rFonts w:hint="eastAsia"/>
              </w:rPr>
              <w:t>本基金以标的ETF作为其主要投资标的，方便投资人通过本基金投资标的ETF。本基金并不参与标的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主要投资策略包括：资产配置策略，标的ETF投资策略，标的指数成份股、备选成份股投资策略，金融衍生品投资策略，债券投资策略，资产支持证券投资策略，境内融资及转融通证券出借业务投资策略，境内存托凭证投资策略，境外回购交易及证券借贷交易策略等以更好的跟踪标的指数，实现基金投资目标。</w:t>
            </w:r>
          </w:p>
        </w:tc>
      </w:tr>
      <w:tr w14:paraId="0163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9550F0">
            <w:r>
              <w:rPr>
                <w:rFonts w:hint="eastAsia"/>
              </w:rPr>
              <w:t>业绩比较基准</w:t>
            </w:r>
          </w:p>
        </w:tc>
        <w:tc>
          <w:tcPr>
            <w:tcW w:w="6921" w:type="dxa"/>
            <w:vAlign w:val="center"/>
          </w:tcPr>
          <w:p w14:paraId="1FF44065">
            <w:pPr>
              <w:jc w:val="both"/>
            </w:pPr>
            <w:r>
              <w:rPr>
                <w:rFonts w:hint="eastAsia"/>
              </w:rPr>
              <w:t>本基金的业绩比较基准为经估值汇率调整的富时亚太低碳精选指数（FTSE Asia Pacific Low Carbon Select Index）收益率。</w:t>
            </w:r>
          </w:p>
        </w:tc>
      </w:tr>
      <w:tr w14:paraId="6021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CCDD7">
            <w:r>
              <w:rPr>
                <w:rFonts w:hint="eastAsia"/>
              </w:rPr>
              <w:t>风险收益特征</w:t>
            </w:r>
          </w:p>
        </w:tc>
        <w:tc>
          <w:tcPr>
            <w:tcW w:w="6921" w:type="dxa"/>
            <w:vAlign w:val="center"/>
          </w:tcPr>
          <w:p w14:paraId="1118DF27">
            <w:pPr>
              <w:jc w:val="both"/>
              <w:rPr>
                <w:rFonts w:hint="eastAsia"/>
              </w:rPr>
            </w:pPr>
            <w:r>
              <w:rPr>
                <w:rFonts w:hint="eastAsia"/>
              </w:rPr>
              <w:t>本基金属于股票型基金，一般而言，其长期平均风险与预期收益水平高于混合型基金、债券型基金与货币市场基金。本基金主要通过投资于标的ETF跟踪标的指数表现，具有与标的指数以及标的指数所代表的境外证券市场相似的风险收益特征。
</w:t>
            </w:r>
            <w:r>
              <w:rPr>
                <w:rFonts w:hint="eastAsia"/>
              </w:rPr>
              <w:br w:type="textWrapping"/>
            </w:r>
            <w:r>
              <w:rPr>
                <w:rFonts w:hint="eastAsia"/>
              </w:rPr>
              <w:t>本基金主要投资新加坡证券市场上市的ETF，除了需要承担与境内证券投资基金类似的市场波动风险等一般投资风险之外，本基金还面临汇率风险等境外证券市场投资所面临的特别投资风险。</w:t>
            </w:r>
          </w:p>
        </w:tc>
      </w:tr>
    </w:tbl>
    <w:p w14:paraId="6F08669D">
      <w:pPr>
        <w:pStyle w:val="23"/>
      </w:pPr>
      <w:bookmarkStart w:id="10" w:name="_Toc1927"/>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69A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0A40ACC">
            <w:r>
              <w:rPr>
                <w:rFonts w:hint="eastAsia"/>
              </w:rPr>
              <w:t>项目</w:t>
            </w:r>
          </w:p>
        </w:tc>
        <w:tc>
          <w:tcPr>
            <w:tcW w:w="2270" w:type="dxa"/>
            <w:vAlign w:val="center"/>
          </w:tcPr>
          <w:p w14:paraId="5BD28940">
            <w:r>
              <w:rPr>
                <w:rFonts w:hint="eastAsia"/>
              </w:rPr>
              <w:t>基金管理人</w:t>
            </w:r>
          </w:p>
        </w:tc>
        <w:tc>
          <w:tcPr>
            <w:tcW w:w="2990" w:type="dxa"/>
            <w:vAlign w:val="center"/>
          </w:tcPr>
          <w:p w14:paraId="4501551D">
            <w:r>
              <w:rPr>
                <w:rFonts w:hint="eastAsia"/>
              </w:rPr>
              <w:t>基金托管人</w:t>
            </w:r>
          </w:p>
        </w:tc>
      </w:tr>
      <w:tr w14:paraId="564E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B9D6957">
            <w:r>
              <w:rPr>
                <w:rFonts w:hint="eastAsia"/>
              </w:rPr>
              <w:t>名称</w:t>
            </w:r>
          </w:p>
        </w:tc>
        <w:tc>
          <w:tcPr>
            <w:tcW w:w="2270" w:type="dxa"/>
            <w:vAlign w:val="center"/>
          </w:tcPr>
          <w:p w14:paraId="22537546">
            <w:r>
              <w:rPr>
                <w:rFonts w:hint="eastAsia"/>
              </w:rPr>
              <w:t>南方基金管理股份有限公司</w:t>
            </w:r>
          </w:p>
        </w:tc>
        <w:tc>
          <w:tcPr>
            <w:tcW w:w="2990" w:type="dxa"/>
            <w:vAlign w:val="center"/>
          </w:tcPr>
          <w:p w14:paraId="022AE66F">
            <w:r>
              <w:rPr>
                <w:rFonts w:hint="eastAsia"/>
              </w:rPr>
              <w:t>招商银行股份有限公司</w:t>
            </w:r>
          </w:p>
        </w:tc>
      </w:tr>
      <w:tr w14:paraId="23D8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52118EC">
            <w:r>
              <w:rPr>
                <w:rFonts w:hint="eastAsia"/>
              </w:rPr>
              <w:t>信息披露负责人</w:t>
            </w:r>
          </w:p>
        </w:tc>
        <w:tc>
          <w:tcPr>
            <w:tcW w:w="1384" w:type="dxa"/>
            <w:vAlign w:val="center"/>
          </w:tcPr>
          <w:p w14:paraId="5FD0D316">
            <w:r>
              <w:rPr>
                <w:rFonts w:hint="eastAsia"/>
              </w:rPr>
              <w:t>姓名</w:t>
            </w:r>
          </w:p>
        </w:tc>
        <w:tc>
          <w:tcPr>
            <w:tcW w:w="2270" w:type="dxa"/>
            <w:vAlign w:val="center"/>
          </w:tcPr>
          <w:p w14:paraId="29C19AE1">
            <w:r>
              <w:rPr>
                <w:rFonts w:hint="eastAsia"/>
              </w:rPr>
              <w:t>鲍文革</w:t>
            </w:r>
          </w:p>
        </w:tc>
        <w:tc>
          <w:tcPr>
            <w:tcW w:w="2990" w:type="dxa"/>
            <w:vAlign w:val="center"/>
          </w:tcPr>
          <w:p w14:paraId="7016DD49">
            <w:r>
              <w:rPr>
                <w:rFonts w:hint="eastAsia"/>
              </w:rPr>
              <w:t>张姗</w:t>
            </w:r>
          </w:p>
        </w:tc>
      </w:tr>
      <w:tr w14:paraId="0E0F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E034DC5"/>
        </w:tc>
        <w:tc>
          <w:tcPr>
            <w:tcW w:w="1384" w:type="dxa"/>
            <w:vAlign w:val="center"/>
          </w:tcPr>
          <w:p w14:paraId="1183CE19">
            <w:r>
              <w:rPr>
                <w:rFonts w:hint="eastAsia"/>
              </w:rPr>
              <w:t>联系电话</w:t>
            </w:r>
          </w:p>
        </w:tc>
        <w:tc>
          <w:tcPr>
            <w:tcW w:w="2270" w:type="dxa"/>
            <w:vAlign w:val="center"/>
          </w:tcPr>
          <w:p w14:paraId="6F5FCD76">
            <w:r>
              <w:rPr>
                <w:rFonts w:hint="eastAsia"/>
              </w:rPr>
              <w:t>0755-82763888</w:t>
            </w:r>
          </w:p>
        </w:tc>
        <w:tc>
          <w:tcPr>
            <w:tcW w:w="2990" w:type="dxa"/>
            <w:vAlign w:val="center"/>
          </w:tcPr>
          <w:p w14:paraId="158799A8">
            <w:r>
              <w:rPr>
                <w:rFonts w:hint="eastAsia"/>
              </w:rPr>
              <w:t>400-61-95555</w:t>
            </w:r>
          </w:p>
        </w:tc>
      </w:tr>
      <w:tr w14:paraId="2508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5EFD07"/>
        </w:tc>
        <w:tc>
          <w:tcPr>
            <w:tcW w:w="1384" w:type="dxa"/>
            <w:vAlign w:val="center"/>
          </w:tcPr>
          <w:p w14:paraId="5E72B4EA">
            <w:r>
              <w:rPr>
                <w:rFonts w:hint="eastAsia"/>
              </w:rPr>
              <w:t>电子邮箱</w:t>
            </w:r>
          </w:p>
        </w:tc>
        <w:tc>
          <w:tcPr>
            <w:tcW w:w="2270" w:type="dxa"/>
            <w:vAlign w:val="center"/>
          </w:tcPr>
          <w:p w14:paraId="15A63973">
            <w:r>
              <w:rPr>
                <w:rFonts w:hint="eastAsia"/>
              </w:rPr>
              <w:t>manager@southernfund.com</w:t>
            </w:r>
          </w:p>
        </w:tc>
        <w:tc>
          <w:tcPr>
            <w:tcW w:w="2990" w:type="dxa"/>
            <w:vAlign w:val="center"/>
          </w:tcPr>
          <w:p w14:paraId="1EAF1DA3">
            <w:r>
              <w:rPr>
                <w:rFonts w:hint="eastAsia"/>
              </w:rPr>
              <w:t>zhangshan_1027@cmbchina.com</w:t>
            </w:r>
          </w:p>
        </w:tc>
      </w:tr>
      <w:tr w14:paraId="1499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B90E323">
            <w:r>
              <w:rPr>
                <w:rFonts w:hint="eastAsia"/>
              </w:rPr>
              <w:t>客户服务电话</w:t>
            </w:r>
          </w:p>
        </w:tc>
        <w:tc>
          <w:tcPr>
            <w:tcW w:w="2270" w:type="dxa"/>
            <w:vAlign w:val="center"/>
          </w:tcPr>
          <w:p w14:paraId="03443559">
            <w:r>
              <w:rPr>
                <w:rFonts w:hint="eastAsia"/>
              </w:rPr>
              <w:t>400-889-8899</w:t>
            </w:r>
          </w:p>
        </w:tc>
        <w:tc>
          <w:tcPr>
            <w:tcW w:w="2990" w:type="dxa"/>
            <w:vAlign w:val="center"/>
          </w:tcPr>
          <w:p w14:paraId="30CFCD57">
            <w:r>
              <w:rPr>
                <w:rFonts w:hint="eastAsia"/>
              </w:rPr>
              <w:t>400-61-95555</w:t>
            </w:r>
          </w:p>
        </w:tc>
      </w:tr>
      <w:tr w14:paraId="1C51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BF6A228">
            <w:r>
              <w:rPr>
                <w:rFonts w:hint="eastAsia"/>
              </w:rPr>
              <w:t>传真</w:t>
            </w:r>
          </w:p>
        </w:tc>
        <w:tc>
          <w:tcPr>
            <w:tcW w:w="2270" w:type="dxa"/>
            <w:vAlign w:val="center"/>
          </w:tcPr>
          <w:p w14:paraId="3F98030B">
            <w:r>
              <w:rPr>
                <w:rFonts w:hint="eastAsia"/>
              </w:rPr>
              <w:t>0755-82763889</w:t>
            </w:r>
          </w:p>
        </w:tc>
        <w:tc>
          <w:tcPr>
            <w:tcW w:w="2990" w:type="dxa"/>
            <w:vAlign w:val="center"/>
          </w:tcPr>
          <w:p w14:paraId="43320A2C">
            <w:r>
              <w:rPr>
                <w:rFonts w:hint="eastAsia"/>
              </w:rPr>
              <w:t>0755-83195201</w:t>
            </w:r>
          </w:p>
        </w:tc>
      </w:tr>
      <w:tr w14:paraId="5FAF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6714DE">
            <w:r>
              <w:rPr>
                <w:rFonts w:hint="eastAsia"/>
              </w:rPr>
              <w:t>注册地址</w:t>
            </w:r>
          </w:p>
        </w:tc>
        <w:tc>
          <w:tcPr>
            <w:tcW w:w="2270" w:type="dxa"/>
            <w:vAlign w:val="center"/>
          </w:tcPr>
          <w:p w14:paraId="05AF5791">
            <w:r>
              <w:rPr>
                <w:rFonts w:hint="eastAsia"/>
              </w:rPr>
              <w:t>深圳市福田区莲花街道益田路5999号基金大厦32-42楼</w:t>
            </w:r>
          </w:p>
        </w:tc>
        <w:tc>
          <w:tcPr>
            <w:tcW w:w="2990" w:type="dxa"/>
            <w:vAlign w:val="center"/>
          </w:tcPr>
          <w:p w14:paraId="15A82110">
            <w:r>
              <w:rPr>
                <w:rFonts w:hint="eastAsia"/>
              </w:rPr>
              <w:t>深圳市深南大道7088号招商银行大厦</w:t>
            </w:r>
          </w:p>
        </w:tc>
      </w:tr>
      <w:tr w14:paraId="70222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4B89E9">
            <w:r>
              <w:rPr>
                <w:rFonts w:hint="eastAsia"/>
              </w:rPr>
              <w:t>办公地址</w:t>
            </w:r>
          </w:p>
        </w:tc>
        <w:tc>
          <w:tcPr>
            <w:tcW w:w="2270" w:type="dxa"/>
            <w:vAlign w:val="center"/>
          </w:tcPr>
          <w:p w14:paraId="471184CC">
            <w:r>
              <w:rPr>
                <w:rFonts w:hint="eastAsia"/>
              </w:rPr>
              <w:t>深圳市福田区莲花街道益田路5999号基金大厦32-42楼</w:t>
            </w:r>
          </w:p>
        </w:tc>
        <w:tc>
          <w:tcPr>
            <w:tcW w:w="2990" w:type="dxa"/>
            <w:vAlign w:val="center"/>
          </w:tcPr>
          <w:p w14:paraId="4B2DDA71">
            <w:r>
              <w:rPr>
                <w:rFonts w:hint="eastAsia"/>
              </w:rPr>
              <w:t>深圳市深南大道7088号招商银行大厦</w:t>
            </w:r>
          </w:p>
        </w:tc>
      </w:tr>
      <w:tr w14:paraId="1CCF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489315">
            <w:r>
              <w:rPr>
                <w:rFonts w:hint="eastAsia"/>
              </w:rPr>
              <w:t>邮政编码</w:t>
            </w:r>
          </w:p>
        </w:tc>
        <w:tc>
          <w:tcPr>
            <w:tcW w:w="2270" w:type="dxa"/>
            <w:vAlign w:val="center"/>
          </w:tcPr>
          <w:p w14:paraId="52FE8B66">
            <w:r>
              <w:rPr>
                <w:rFonts w:hint="eastAsia"/>
              </w:rPr>
              <w:t>518017</w:t>
            </w:r>
          </w:p>
        </w:tc>
        <w:tc>
          <w:tcPr>
            <w:tcW w:w="2990" w:type="dxa"/>
            <w:vAlign w:val="center"/>
          </w:tcPr>
          <w:p w14:paraId="7CC954F0">
            <w:r>
              <w:rPr>
                <w:rFonts w:hint="eastAsia"/>
              </w:rPr>
              <w:t>518040</w:t>
            </w:r>
          </w:p>
        </w:tc>
      </w:tr>
      <w:tr w14:paraId="75E2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363F32">
            <w:r>
              <w:rPr>
                <w:rFonts w:hint="eastAsia"/>
              </w:rPr>
              <w:t>法定代表人</w:t>
            </w:r>
          </w:p>
        </w:tc>
        <w:tc>
          <w:tcPr>
            <w:tcW w:w="2270" w:type="dxa"/>
            <w:vAlign w:val="center"/>
          </w:tcPr>
          <w:p w14:paraId="69BA61A6">
            <w:r>
              <w:rPr>
                <w:rFonts w:hint="eastAsia"/>
              </w:rPr>
              <w:t>周易</w:t>
            </w:r>
          </w:p>
        </w:tc>
        <w:tc>
          <w:tcPr>
            <w:tcW w:w="2990" w:type="dxa"/>
            <w:vAlign w:val="center"/>
          </w:tcPr>
          <w:p w14:paraId="1F0AD6C4">
            <w:r>
              <w:rPr>
                <w:rFonts w:hint="eastAsia"/>
              </w:rPr>
              <w:t>缪建民</w:t>
            </w:r>
          </w:p>
        </w:tc>
      </w:tr>
    </w:tbl>
    <w:p w14:paraId="30199ADC">
      <w:pPr>
        <w:pStyle w:val="23"/>
      </w:pPr>
      <w:bookmarkStart w:id="11" w:name="_Toc27602"/>
      <w:r>
        <w:t>境外投资顾问和境外资产托管人</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C2E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4394F656">
            <w:r>
              <w:rPr>
                <w:rFonts w:hint="eastAsia"/>
              </w:rPr>
              <w:t>项目</w:t>
            </w:r>
          </w:p>
        </w:tc>
        <w:tc>
          <w:tcPr>
            <w:tcW w:w="2076" w:type="dxa"/>
            <w:vAlign w:val="center"/>
          </w:tcPr>
          <w:p w14:paraId="1DA5E986">
            <w:r>
              <w:rPr>
                <w:rFonts w:hint="eastAsia"/>
              </w:rPr>
              <w:t>境外投资顾问</w:t>
            </w:r>
          </w:p>
        </w:tc>
        <w:tc>
          <w:tcPr>
            <w:tcW w:w="2076" w:type="dxa"/>
            <w:vAlign w:val="center"/>
          </w:tcPr>
          <w:p w14:paraId="4A0AD798">
            <w:r>
              <w:rPr>
                <w:rFonts w:hint="eastAsia"/>
              </w:rPr>
              <w:t>境外资产托管人</w:t>
            </w:r>
          </w:p>
        </w:tc>
      </w:tr>
      <w:tr w14:paraId="633F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9CADE2A">
            <w:r>
              <w:rPr>
                <w:rFonts w:hint="eastAsia"/>
              </w:rPr>
              <w:t>名称</w:t>
            </w:r>
          </w:p>
        </w:tc>
        <w:tc>
          <w:tcPr>
            <w:tcW w:w="2076" w:type="dxa"/>
            <w:vAlign w:val="center"/>
          </w:tcPr>
          <w:p w14:paraId="7DCD80FC">
            <w:r>
              <w:rPr>
                <w:rFonts w:hint="eastAsia"/>
              </w:rPr>
              <w:t>中文</w:t>
            </w:r>
          </w:p>
        </w:tc>
        <w:tc>
          <w:tcPr>
            <w:tcW w:w="2076" w:type="dxa"/>
            <w:vAlign w:val="center"/>
          </w:tcPr>
          <w:p w14:paraId="1CA2D135">
            <w:pPr>
              <w:jc w:val="right"/>
            </w:pPr>
            <w:r>
              <w:rPr>
                <w:rFonts w:hint="eastAsia"/>
              </w:rPr>
              <w:t>-</w:t>
            </w:r>
          </w:p>
        </w:tc>
        <w:tc>
          <w:tcPr>
            <w:tcW w:w="2076" w:type="dxa"/>
            <w:vAlign w:val="center"/>
          </w:tcPr>
          <w:p w14:paraId="3E153520">
            <w:r>
              <w:rPr>
                <w:rFonts w:hint="eastAsia"/>
              </w:rPr>
              <w:t>花旗银行</w:t>
            </w:r>
          </w:p>
        </w:tc>
      </w:tr>
      <w:tr w14:paraId="76D15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3B7FAB6"/>
        </w:tc>
        <w:tc>
          <w:tcPr>
            <w:tcW w:w="2076" w:type="dxa"/>
            <w:vAlign w:val="center"/>
          </w:tcPr>
          <w:p w14:paraId="65DFBE3D">
            <w:r>
              <w:rPr>
                <w:rFonts w:hint="eastAsia"/>
              </w:rPr>
              <w:t>英文</w:t>
            </w:r>
          </w:p>
        </w:tc>
        <w:tc>
          <w:tcPr>
            <w:tcW w:w="2076" w:type="dxa"/>
            <w:vAlign w:val="center"/>
          </w:tcPr>
          <w:p w14:paraId="222C8A21">
            <w:pPr>
              <w:jc w:val="right"/>
            </w:pPr>
            <w:r>
              <w:rPr>
                <w:rFonts w:hint="eastAsia"/>
              </w:rPr>
              <w:t>-</w:t>
            </w:r>
          </w:p>
        </w:tc>
        <w:tc>
          <w:tcPr>
            <w:tcW w:w="2076" w:type="dxa"/>
            <w:vAlign w:val="center"/>
          </w:tcPr>
          <w:p w14:paraId="2AE83909">
            <w:r>
              <w:rPr>
                <w:rFonts w:hint="eastAsia"/>
              </w:rPr>
              <w:t>Citibank, N.A.</w:t>
            </w:r>
          </w:p>
        </w:tc>
      </w:tr>
      <w:tr w14:paraId="7B204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38979ADE">
            <w:r>
              <w:rPr>
                <w:rFonts w:hint="eastAsia"/>
              </w:rPr>
              <w:t>注册地址</w:t>
            </w:r>
          </w:p>
        </w:tc>
        <w:tc>
          <w:tcPr>
            <w:tcW w:w="2076" w:type="dxa"/>
            <w:vAlign w:val="center"/>
          </w:tcPr>
          <w:p w14:paraId="3E81EFBC">
            <w:pPr>
              <w:jc w:val="right"/>
            </w:pPr>
            <w:r>
              <w:rPr>
                <w:rFonts w:hint="eastAsia"/>
              </w:rPr>
              <w:t>-</w:t>
            </w:r>
          </w:p>
        </w:tc>
        <w:tc>
          <w:tcPr>
            <w:tcW w:w="2076" w:type="dxa"/>
            <w:vAlign w:val="center"/>
          </w:tcPr>
          <w:p w14:paraId="2D540EC1">
            <w:r>
              <w:rPr>
                <w:rFonts w:hint="eastAsia"/>
              </w:rPr>
              <w:t>701 East 60th Street North, Sioux Falls, SD57104, USA</w:t>
            </w:r>
          </w:p>
        </w:tc>
      </w:tr>
      <w:tr w14:paraId="06DE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04D7A3E5">
            <w:r>
              <w:rPr>
                <w:rFonts w:hint="eastAsia"/>
              </w:rPr>
              <w:t>办公地址</w:t>
            </w:r>
          </w:p>
        </w:tc>
        <w:tc>
          <w:tcPr>
            <w:tcW w:w="2076" w:type="dxa"/>
            <w:vAlign w:val="center"/>
          </w:tcPr>
          <w:p w14:paraId="20F7714A">
            <w:pPr>
              <w:jc w:val="right"/>
            </w:pPr>
            <w:r>
              <w:rPr>
                <w:rFonts w:hint="eastAsia"/>
              </w:rPr>
              <w:t>-</w:t>
            </w:r>
          </w:p>
        </w:tc>
        <w:tc>
          <w:tcPr>
            <w:tcW w:w="2076" w:type="dxa"/>
            <w:vAlign w:val="center"/>
          </w:tcPr>
          <w:p w14:paraId="066F41DA">
            <w:r>
              <w:rPr>
                <w:rFonts w:hint="eastAsia"/>
              </w:rPr>
              <w:t>50/F Champion Tower, Three Garden Road Central, HK</w:t>
            </w:r>
          </w:p>
        </w:tc>
      </w:tr>
      <w:tr w14:paraId="2142A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229290F5">
            <w:r>
              <w:rPr>
                <w:rFonts w:hint="eastAsia"/>
              </w:rPr>
              <w:t>邮政编码</w:t>
            </w:r>
          </w:p>
        </w:tc>
        <w:tc>
          <w:tcPr>
            <w:tcW w:w="2076" w:type="dxa"/>
            <w:vAlign w:val="center"/>
          </w:tcPr>
          <w:p w14:paraId="3471B365">
            <w:pPr>
              <w:jc w:val="right"/>
            </w:pPr>
            <w:r>
              <w:rPr>
                <w:rFonts w:hint="eastAsia"/>
              </w:rPr>
              <w:t>-</w:t>
            </w:r>
          </w:p>
        </w:tc>
        <w:tc>
          <w:tcPr>
            <w:tcW w:w="2076" w:type="dxa"/>
            <w:vAlign w:val="center"/>
          </w:tcPr>
          <w:p w14:paraId="66C063A5">
            <w:pPr>
              <w:jc w:val="right"/>
            </w:pPr>
            <w:r>
              <w:rPr>
                <w:rFonts w:hint="eastAsia"/>
              </w:rPr>
              <w:t>-</w:t>
            </w:r>
          </w:p>
        </w:tc>
      </w:tr>
    </w:tbl>
    <w:p w14:paraId="065C7C7F">
      <w:pPr>
        <w:pStyle w:val="23"/>
      </w:pPr>
      <w:bookmarkStart w:id="12" w:name="_Toc21672"/>
      <w:r>
        <w:t>信息披露方式</w:t>
      </w:r>
      <w:bookmarkEnd w:id="1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2447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038E84">
            <w:r>
              <w:rPr>
                <w:rFonts w:hint="eastAsia"/>
              </w:rPr>
              <w:t>本基金选定的信息披露报纸名称</w:t>
            </w:r>
          </w:p>
        </w:tc>
        <w:tc>
          <w:tcPr>
            <w:tcW w:w="3322" w:type="dxa"/>
            <w:vAlign w:val="center"/>
          </w:tcPr>
          <w:p w14:paraId="7CA48E28">
            <w:r>
              <w:rPr>
                <w:rFonts w:hint="eastAsia"/>
              </w:rPr>
              <w:t>证券时报</w:t>
            </w:r>
          </w:p>
        </w:tc>
      </w:tr>
      <w:tr w14:paraId="5A5F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1FA7EE">
            <w:r>
              <w:rPr>
                <w:rFonts w:hint="eastAsia"/>
              </w:rPr>
              <w:t>登载基金年度报告正文的管理人互联网网址</w:t>
            </w:r>
          </w:p>
        </w:tc>
        <w:tc>
          <w:tcPr>
            <w:tcW w:w="3322" w:type="dxa"/>
            <w:vAlign w:val="center"/>
          </w:tcPr>
          <w:p w14:paraId="1B55328F">
            <w:r>
              <w:rPr>
                <w:rFonts w:hint="eastAsia"/>
              </w:rPr>
              <w:t>http://www.nffund.com</w:t>
            </w:r>
          </w:p>
        </w:tc>
      </w:tr>
      <w:tr w14:paraId="2C425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55CCE5">
            <w:r>
              <w:rPr>
                <w:rFonts w:hint="eastAsia"/>
              </w:rPr>
              <w:t>基金年度报告备置地点</w:t>
            </w:r>
          </w:p>
        </w:tc>
        <w:tc>
          <w:tcPr>
            <w:tcW w:w="3322" w:type="dxa"/>
            <w:vAlign w:val="center"/>
          </w:tcPr>
          <w:p w14:paraId="61405B94">
            <w:r>
              <w:rPr>
                <w:rFonts w:hint="eastAsia"/>
              </w:rPr>
              <w:t>基金管理人、基金托管人的办公地址、基金上市交易的证券交易所（如有）</w:t>
            </w:r>
          </w:p>
        </w:tc>
      </w:tr>
    </w:tbl>
    <w:p w14:paraId="755A0045">
      <w:pPr>
        <w:pStyle w:val="23"/>
      </w:pPr>
      <w:bookmarkStart w:id="13" w:name="_Toc502"/>
      <w:r>
        <w:t>其他相关资料</w:t>
      </w:r>
      <w:bookmarkEnd w:id="1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BCD2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537C22A">
            <w:pPr>
              <w:jc w:val="center"/>
            </w:pPr>
            <w:r>
              <w:rPr>
                <w:rFonts w:hint="eastAsia"/>
                <w:b/>
              </w:rPr>
              <w:t>项目</w:t>
            </w:r>
          </w:p>
        </w:tc>
        <w:tc>
          <w:tcPr>
            <w:tcW w:w="2907" w:type="dxa"/>
            <w:shd w:val="clear" w:color="auto" w:fill="BFBFBF"/>
            <w:vAlign w:val="center"/>
          </w:tcPr>
          <w:p w14:paraId="7F5AC9AE">
            <w:pPr>
              <w:jc w:val="center"/>
            </w:pPr>
            <w:r>
              <w:rPr>
                <w:rFonts w:hint="eastAsia"/>
                <w:b/>
              </w:rPr>
              <w:t>名称</w:t>
            </w:r>
          </w:p>
        </w:tc>
        <w:tc>
          <w:tcPr>
            <w:tcW w:w="3876" w:type="dxa"/>
            <w:shd w:val="clear" w:color="auto" w:fill="BFBFBF"/>
            <w:vAlign w:val="center"/>
          </w:tcPr>
          <w:p w14:paraId="2CC26BB9">
            <w:pPr>
              <w:jc w:val="center"/>
            </w:pPr>
            <w:r>
              <w:rPr>
                <w:rFonts w:hint="eastAsia"/>
                <w:b/>
              </w:rPr>
              <w:t>办公地址</w:t>
            </w:r>
          </w:p>
        </w:tc>
      </w:tr>
      <w:tr w14:paraId="058D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03832E3">
            <w:r>
              <w:rPr>
                <w:rFonts w:hint="eastAsia"/>
              </w:rPr>
              <w:t>会计师事务所</w:t>
            </w:r>
          </w:p>
        </w:tc>
        <w:tc>
          <w:tcPr>
            <w:tcW w:w="2907" w:type="dxa"/>
            <w:vAlign w:val="center"/>
          </w:tcPr>
          <w:p w14:paraId="0107DF05">
            <w:r>
              <w:rPr>
                <w:rFonts w:hint="eastAsia"/>
              </w:rPr>
              <w:t>容诚会计师事务所（特殊普通合伙）</w:t>
            </w:r>
          </w:p>
        </w:tc>
        <w:tc>
          <w:tcPr>
            <w:tcW w:w="3876" w:type="dxa"/>
            <w:vAlign w:val="center"/>
          </w:tcPr>
          <w:p w14:paraId="2BA115B9">
            <w:r>
              <w:rPr>
                <w:rFonts w:hint="eastAsia"/>
              </w:rPr>
              <w:t>北京市西城区阜成门外大街22号1幢10层1001-1至1001-26</w:t>
            </w:r>
          </w:p>
        </w:tc>
      </w:tr>
      <w:tr w14:paraId="641BB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64D0991">
            <w:r>
              <w:rPr>
                <w:rFonts w:hint="eastAsia"/>
              </w:rPr>
              <w:t>注册登记机构</w:t>
            </w:r>
          </w:p>
        </w:tc>
        <w:tc>
          <w:tcPr>
            <w:tcW w:w="2907" w:type="dxa"/>
            <w:vAlign w:val="center"/>
          </w:tcPr>
          <w:p w14:paraId="10E9594B">
            <w:r>
              <w:rPr>
                <w:rFonts w:hint="eastAsia"/>
              </w:rPr>
              <w:t>南方基金管理股份有限公司</w:t>
            </w:r>
          </w:p>
        </w:tc>
        <w:tc>
          <w:tcPr>
            <w:tcW w:w="3876" w:type="dxa"/>
            <w:vAlign w:val="center"/>
          </w:tcPr>
          <w:p w14:paraId="16F94149">
            <w:r>
              <w:rPr>
                <w:rFonts w:hint="eastAsia"/>
              </w:rPr>
              <w:t>深圳市福田区莲花街道益田路5999号基金大厦32-42楼</w:t>
            </w:r>
          </w:p>
        </w:tc>
      </w:tr>
    </w:tbl>
    <w:p w14:paraId="2327F9A9">
      <w:pPr>
        <w:pStyle w:val="26"/>
        <w:pageBreakBefore/>
      </w:pPr>
      <w:bookmarkStart w:id="14" w:name="_Toc1996"/>
      <w:r>
        <w:t>主要财务指标、基金净值表现及利润分配情况</w:t>
      </w:r>
      <w:bookmarkEnd w:id="14"/>
    </w:p>
    <w:p w14:paraId="58195C36">
      <w:pPr>
        <w:pStyle w:val="23"/>
      </w:pPr>
      <w:bookmarkStart w:id="15" w:name="_Toc15734"/>
      <w:r>
        <w:t>主要会计数据和财务指标</w:t>
      </w:r>
      <w:bookmarkEnd w:id="15"/>
    </w:p>
    <w:p w14:paraId="2E94AF4D">
      <w:pPr>
        <w:jc w:val="right"/>
        <w:rPr>
          <w:rFonts w:hint="eastAsia"/>
        </w:rPr>
      </w:pPr>
      <w:r>
        <w:rPr>
          <w:rFonts w:hint="eastAsia"/>
        </w:rPr>
        <w:t>单位：人民币元</w:t>
      </w:r>
    </w:p>
    <w:p w14:paraId="471E5150">
      <w:pPr>
        <w:pStyle w:val="18"/>
        <w:rPr>
          <w:rFonts w:hint="eastAsia"/>
        </w:rPr>
      </w:pPr>
      <w:r>
        <w:rPr>
          <w:rFonts w:hint="eastAsia"/>
        </w:rPr>
        <w:t>1、南方富时亚太低碳精选ETF发起联接（QDII）A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0E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44F6A5">
            <w:r>
              <w:rPr>
                <w:rFonts w:hint="eastAsia"/>
              </w:rPr>
              <w:t>3.1.1 期间数据和指标</w:t>
            </w:r>
          </w:p>
        </w:tc>
        <w:tc>
          <w:tcPr>
            <w:tcW w:w="2768" w:type="dxa"/>
            <w:vAlign w:val="center"/>
          </w:tcPr>
          <w:p w14:paraId="669AAF9E">
            <w:r>
              <w:rPr>
                <w:rFonts w:hint="eastAsia"/>
              </w:rPr>
              <w:t>2025年</w:t>
            </w:r>
          </w:p>
        </w:tc>
        <w:tc>
          <w:tcPr>
            <w:tcW w:w="2768" w:type="dxa"/>
            <w:vAlign w:val="center"/>
          </w:tcPr>
          <w:p w14:paraId="52870750">
            <w:r>
              <w:rPr>
                <w:rFonts w:hint="eastAsia"/>
              </w:rPr>
              <w:t>2024年5月21日-2024年12月31日</w:t>
            </w:r>
          </w:p>
        </w:tc>
      </w:tr>
      <w:tr w14:paraId="05F4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9C9653">
            <w:r>
              <w:rPr>
                <w:rFonts w:hint="eastAsia"/>
              </w:rPr>
              <w:t>本期已实现收益</w:t>
            </w:r>
          </w:p>
        </w:tc>
        <w:tc>
          <w:tcPr>
            <w:tcW w:w="2768" w:type="dxa"/>
            <w:vAlign w:val="center"/>
          </w:tcPr>
          <w:p w14:paraId="536B9262">
            <w:pPr>
              <w:jc w:val="right"/>
            </w:pPr>
            <w:r>
              <w:rPr>
                <w:rFonts w:hint="eastAsia"/>
              </w:rPr>
              <w:t>539,173.30</w:t>
            </w:r>
          </w:p>
        </w:tc>
        <w:tc>
          <w:tcPr>
            <w:tcW w:w="2768" w:type="dxa"/>
            <w:vAlign w:val="center"/>
          </w:tcPr>
          <w:p w14:paraId="06F8C244">
            <w:pPr>
              <w:jc w:val="right"/>
            </w:pPr>
            <w:r>
              <w:rPr>
                <w:rFonts w:hint="eastAsia"/>
              </w:rPr>
              <w:t>148,901.62</w:t>
            </w:r>
          </w:p>
        </w:tc>
      </w:tr>
      <w:tr w14:paraId="089E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5AAC0B">
            <w:r>
              <w:rPr>
                <w:rFonts w:hint="eastAsia"/>
              </w:rPr>
              <w:t>本期利润</w:t>
            </w:r>
          </w:p>
        </w:tc>
        <w:tc>
          <w:tcPr>
            <w:tcW w:w="2768" w:type="dxa"/>
            <w:vAlign w:val="center"/>
          </w:tcPr>
          <w:p w14:paraId="6B8AE920">
            <w:pPr>
              <w:jc w:val="right"/>
            </w:pPr>
            <w:r>
              <w:rPr>
                <w:rFonts w:hint="eastAsia"/>
              </w:rPr>
              <w:t>5,751,287.19</w:t>
            </w:r>
          </w:p>
        </w:tc>
        <w:tc>
          <w:tcPr>
            <w:tcW w:w="2768" w:type="dxa"/>
            <w:vAlign w:val="center"/>
          </w:tcPr>
          <w:p w14:paraId="5FED47AC">
            <w:pPr>
              <w:jc w:val="right"/>
            </w:pPr>
            <w:r>
              <w:rPr>
                <w:rFonts w:hint="eastAsia"/>
              </w:rPr>
              <w:t>201,163.55</w:t>
            </w:r>
          </w:p>
        </w:tc>
      </w:tr>
      <w:tr w14:paraId="408C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AAE38B">
            <w:r>
              <w:rPr>
                <w:rFonts w:hint="eastAsia"/>
              </w:rPr>
              <w:t>加权平均基金份额本期利润</w:t>
            </w:r>
          </w:p>
        </w:tc>
        <w:tc>
          <w:tcPr>
            <w:tcW w:w="2768" w:type="dxa"/>
            <w:vAlign w:val="center"/>
          </w:tcPr>
          <w:p w14:paraId="1DC83D3A">
            <w:pPr>
              <w:jc w:val="right"/>
            </w:pPr>
            <w:r>
              <w:rPr>
                <w:rFonts w:hint="eastAsia"/>
              </w:rPr>
              <w:t>0.1927</w:t>
            </w:r>
          </w:p>
        </w:tc>
        <w:tc>
          <w:tcPr>
            <w:tcW w:w="2768" w:type="dxa"/>
            <w:vAlign w:val="center"/>
          </w:tcPr>
          <w:p w14:paraId="3ACCC00B">
            <w:pPr>
              <w:jc w:val="right"/>
            </w:pPr>
            <w:r>
              <w:rPr>
                <w:rFonts w:hint="eastAsia"/>
              </w:rPr>
              <w:t>0.0096</w:t>
            </w:r>
          </w:p>
        </w:tc>
      </w:tr>
      <w:tr w14:paraId="3742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E4B2B2">
            <w:r>
              <w:rPr>
                <w:rFonts w:hint="eastAsia"/>
              </w:rPr>
              <w:t>本期加权平均净值利润率</w:t>
            </w:r>
          </w:p>
        </w:tc>
        <w:tc>
          <w:tcPr>
            <w:tcW w:w="2768" w:type="dxa"/>
            <w:vAlign w:val="center"/>
          </w:tcPr>
          <w:p w14:paraId="6E544CFF">
            <w:pPr>
              <w:jc w:val="right"/>
            </w:pPr>
            <w:r>
              <w:rPr>
                <w:rFonts w:hint="eastAsia"/>
              </w:rPr>
              <w:t>16.80%</w:t>
            </w:r>
          </w:p>
        </w:tc>
        <w:tc>
          <w:tcPr>
            <w:tcW w:w="2768" w:type="dxa"/>
            <w:vAlign w:val="center"/>
          </w:tcPr>
          <w:p w14:paraId="208F6756">
            <w:pPr>
              <w:jc w:val="right"/>
            </w:pPr>
            <w:r>
              <w:rPr>
                <w:rFonts w:hint="eastAsia"/>
              </w:rPr>
              <w:t>0.95%</w:t>
            </w:r>
          </w:p>
        </w:tc>
      </w:tr>
      <w:tr w14:paraId="1409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949861">
            <w:r>
              <w:rPr>
                <w:rFonts w:hint="eastAsia"/>
              </w:rPr>
              <w:t>本期基金份额净值增长率</w:t>
            </w:r>
          </w:p>
        </w:tc>
        <w:tc>
          <w:tcPr>
            <w:tcW w:w="2768" w:type="dxa"/>
            <w:vAlign w:val="center"/>
          </w:tcPr>
          <w:p w14:paraId="13D5D212">
            <w:pPr>
              <w:jc w:val="right"/>
            </w:pPr>
            <w:r>
              <w:rPr>
                <w:rFonts w:hint="eastAsia"/>
              </w:rPr>
              <w:t>22.41%</w:t>
            </w:r>
          </w:p>
        </w:tc>
        <w:tc>
          <w:tcPr>
            <w:tcW w:w="2768" w:type="dxa"/>
            <w:vAlign w:val="center"/>
          </w:tcPr>
          <w:p w14:paraId="291DEC26">
            <w:pPr>
              <w:jc w:val="right"/>
            </w:pPr>
            <w:r>
              <w:rPr>
                <w:rFonts w:hint="eastAsia"/>
              </w:rPr>
              <w:t>1.14%</w:t>
            </w:r>
          </w:p>
        </w:tc>
      </w:tr>
      <w:tr w14:paraId="42B91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D59A0F">
            <w:r>
              <w:rPr>
                <w:rFonts w:hint="eastAsia"/>
              </w:rPr>
              <w:t>3.1.2 期末数据和指标</w:t>
            </w:r>
          </w:p>
        </w:tc>
        <w:tc>
          <w:tcPr>
            <w:tcW w:w="2768" w:type="dxa"/>
            <w:vAlign w:val="center"/>
          </w:tcPr>
          <w:p w14:paraId="7C7E8F10">
            <w:r>
              <w:rPr>
                <w:rFonts w:hint="eastAsia"/>
              </w:rPr>
              <w:t>2025年末</w:t>
            </w:r>
          </w:p>
        </w:tc>
        <w:tc>
          <w:tcPr>
            <w:tcW w:w="2768" w:type="dxa"/>
            <w:vAlign w:val="center"/>
          </w:tcPr>
          <w:p w14:paraId="6F84A177">
            <w:r>
              <w:rPr>
                <w:rFonts w:hint="eastAsia"/>
              </w:rPr>
              <w:t>2024年末</w:t>
            </w:r>
          </w:p>
        </w:tc>
      </w:tr>
      <w:tr w14:paraId="51DAE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9283B8">
            <w:r>
              <w:rPr>
                <w:rFonts w:hint="eastAsia"/>
              </w:rPr>
              <w:t>期末可供分配利润</w:t>
            </w:r>
          </w:p>
        </w:tc>
        <w:tc>
          <w:tcPr>
            <w:tcW w:w="2768" w:type="dxa"/>
            <w:vAlign w:val="center"/>
          </w:tcPr>
          <w:p w14:paraId="0465EFD3">
            <w:pPr>
              <w:jc w:val="right"/>
            </w:pPr>
            <w:r>
              <w:rPr>
                <w:rFonts w:hint="eastAsia"/>
              </w:rPr>
              <w:t>1,268,025.67</w:t>
            </w:r>
          </w:p>
        </w:tc>
        <w:tc>
          <w:tcPr>
            <w:tcW w:w="2768" w:type="dxa"/>
            <w:vAlign w:val="center"/>
          </w:tcPr>
          <w:p w14:paraId="7F17F502">
            <w:pPr>
              <w:jc w:val="right"/>
            </w:pPr>
            <w:r>
              <w:rPr>
                <w:rFonts w:hint="eastAsia"/>
              </w:rPr>
              <w:t>144,852.75</w:t>
            </w:r>
          </w:p>
        </w:tc>
      </w:tr>
      <w:tr w14:paraId="4B52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6D9877">
            <w:r>
              <w:rPr>
                <w:rFonts w:hint="eastAsia"/>
              </w:rPr>
              <w:t>期末可供分配基金份额利润</w:t>
            </w:r>
          </w:p>
        </w:tc>
        <w:tc>
          <w:tcPr>
            <w:tcW w:w="2768" w:type="dxa"/>
            <w:vAlign w:val="center"/>
          </w:tcPr>
          <w:p w14:paraId="61A61561">
            <w:pPr>
              <w:jc w:val="right"/>
            </w:pPr>
            <w:r>
              <w:rPr>
                <w:rFonts w:hint="eastAsia"/>
              </w:rPr>
              <w:t>0.0248</w:t>
            </w:r>
          </w:p>
        </w:tc>
        <w:tc>
          <w:tcPr>
            <w:tcW w:w="2768" w:type="dxa"/>
            <w:vAlign w:val="center"/>
          </w:tcPr>
          <w:p w14:paraId="658E72C7">
            <w:pPr>
              <w:jc w:val="right"/>
            </w:pPr>
            <w:r>
              <w:rPr>
                <w:rFonts w:hint="eastAsia"/>
              </w:rPr>
              <w:t>0.0065</w:t>
            </w:r>
          </w:p>
        </w:tc>
      </w:tr>
      <w:tr w14:paraId="5C7D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8A065D">
            <w:r>
              <w:rPr>
                <w:rFonts w:hint="eastAsia"/>
              </w:rPr>
              <w:t>期末基金资产净值</w:t>
            </w:r>
          </w:p>
        </w:tc>
        <w:tc>
          <w:tcPr>
            <w:tcW w:w="2768" w:type="dxa"/>
            <w:vAlign w:val="center"/>
          </w:tcPr>
          <w:p w14:paraId="336CC0FB">
            <w:pPr>
              <w:jc w:val="right"/>
            </w:pPr>
            <w:r>
              <w:rPr>
                <w:rFonts w:hint="eastAsia"/>
              </w:rPr>
              <w:t>63,283,125.12</w:t>
            </w:r>
          </w:p>
        </w:tc>
        <w:tc>
          <w:tcPr>
            <w:tcW w:w="2768" w:type="dxa"/>
            <w:vAlign w:val="center"/>
          </w:tcPr>
          <w:p w14:paraId="18637D5D">
            <w:pPr>
              <w:jc w:val="right"/>
            </w:pPr>
            <w:r>
              <w:rPr>
                <w:rFonts w:hint="eastAsia"/>
              </w:rPr>
              <w:t>22,469,186.28</w:t>
            </w:r>
          </w:p>
        </w:tc>
      </w:tr>
      <w:tr w14:paraId="2329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2EA753">
            <w:r>
              <w:rPr>
                <w:rFonts w:hint="eastAsia"/>
              </w:rPr>
              <w:t>期末基金份额净值</w:t>
            </w:r>
          </w:p>
        </w:tc>
        <w:tc>
          <w:tcPr>
            <w:tcW w:w="2768" w:type="dxa"/>
            <w:vAlign w:val="center"/>
          </w:tcPr>
          <w:p w14:paraId="5701909B">
            <w:pPr>
              <w:jc w:val="right"/>
            </w:pPr>
            <w:r>
              <w:rPr>
                <w:rFonts w:hint="eastAsia"/>
              </w:rPr>
              <w:t>1.2381</w:t>
            </w:r>
          </w:p>
        </w:tc>
        <w:tc>
          <w:tcPr>
            <w:tcW w:w="2768" w:type="dxa"/>
            <w:vAlign w:val="center"/>
          </w:tcPr>
          <w:p w14:paraId="3D2BA081">
            <w:pPr>
              <w:jc w:val="right"/>
            </w:pPr>
            <w:r>
              <w:rPr>
                <w:rFonts w:hint="eastAsia"/>
              </w:rPr>
              <w:t>1.0114</w:t>
            </w:r>
          </w:p>
        </w:tc>
      </w:tr>
      <w:tr w14:paraId="464B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883620">
            <w:r>
              <w:rPr>
                <w:rFonts w:hint="eastAsia"/>
              </w:rPr>
              <w:t>3.1.3 累计期末指标</w:t>
            </w:r>
          </w:p>
        </w:tc>
        <w:tc>
          <w:tcPr>
            <w:tcW w:w="2768" w:type="dxa"/>
            <w:vAlign w:val="center"/>
          </w:tcPr>
          <w:p w14:paraId="2A9FDD80">
            <w:r>
              <w:rPr>
                <w:rFonts w:hint="eastAsia"/>
              </w:rPr>
              <w:t>2025年末</w:t>
            </w:r>
          </w:p>
        </w:tc>
        <w:tc>
          <w:tcPr>
            <w:tcW w:w="2768" w:type="dxa"/>
            <w:vAlign w:val="center"/>
          </w:tcPr>
          <w:p w14:paraId="3B25CBE1">
            <w:r>
              <w:rPr>
                <w:rFonts w:hint="eastAsia"/>
              </w:rPr>
              <w:t>2024年末</w:t>
            </w:r>
          </w:p>
        </w:tc>
      </w:tr>
      <w:tr w14:paraId="59BD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DE8D98">
            <w:r>
              <w:rPr>
                <w:rFonts w:hint="eastAsia"/>
              </w:rPr>
              <w:t>基金份额累计净值增长率</w:t>
            </w:r>
          </w:p>
        </w:tc>
        <w:tc>
          <w:tcPr>
            <w:tcW w:w="2768" w:type="dxa"/>
            <w:vAlign w:val="center"/>
          </w:tcPr>
          <w:p w14:paraId="0C22F9B7">
            <w:pPr>
              <w:jc w:val="right"/>
            </w:pPr>
            <w:r>
              <w:rPr>
                <w:rFonts w:hint="eastAsia"/>
              </w:rPr>
              <w:t>23.81%</w:t>
            </w:r>
          </w:p>
        </w:tc>
        <w:tc>
          <w:tcPr>
            <w:tcW w:w="2768" w:type="dxa"/>
            <w:vAlign w:val="center"/>
          </w:tcPr>
          <w:p w14:paraId="66546809">
            <w:pPr>
              <w:jc w:val="right"/>
            </w:pPr>
            <w:r>
              <w:rPr>
                <w:rFonts w:hint="eastAsia"/>
              </w:rPr>
              <w:t>1.14%</w:t>
            </w:r>
          </w:p>
        </w:tc>
      </w:tr>
    </w:tbl>
    <w:p w14:paraId="2EF885C7">
      <w:pPr>
        <w:pStyle w:val="18"/>
        <w:rPr>
          <w:rFonts w:hint="eastAsia"/>
        </w:rPr>
      </w:pPr>
      <w:r>
        <w:rPr>
          <w:rFonts w:hint="eastAsia"/>
        </w:rPr>
        <w:t>2、南方富时亚太低碳精选ETF发起联接（QDII）C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73C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60CEB7">
            <w:r>
              <w:rPr>
                <w:rFonts w:hint="eastAsia"/>
              </w:rPr>
              <w:t>3.1.1 期间数据和指标</w:t>
            </w:r>
          </w:p>
        </w:tc>
        <w:tc>
          <w:tcPr>
            <w:tcW w:w="2768" w:type="dxa"/>
            <w:vAlign w:val="center"/>
          </w:tcPr>
          <w:p w14:paraId="13742FD8">
            <w:r>
              <w:rPr>
                <w:rFonts w:hint="eastAsia"/>
              </w:rPr>
              <w:t>2025年</w:t>
            </w:r>
          </w:p>
        </w:tc>
        <w:tc>
          <w:tcPr>
            <w:tcW w:w="2768" w:type="dxa"/>
            <w:vAlign w:val="center"/>
          </w:tcPr>
          <w:p w14:paraId="3145522B">
            <w:r>
              <w:rPr>
                <w:rFonts w:hint="eastAsia"/>
              </w:rPr>
              <w:t>2024年5月21日-2024年12月31日</w:t>
            </w:r>
          </w:p>
        </w:tc>
      </w:tr>
      <w:tr w14:paraId="6715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D06D8">
            <w:r>
              <w:rPr>
                <w:rFonts w:hint="eastAsia"/>
              </w:rPr>
              <w:t>本期已实现收益</w:t>
            </w:r>
          </w:p>
        </w:tc>
        <w:tc>
          <w:tcPr>
            <w:tcW w:w="2768" w:type="dxa"/>
            <w:vAlign w:val="center"/>
          </w:tcPr>
          <w:p w14:paraId="45B0485B">
            <w:pPr>
              <w:jc w:val="right"/>
            </w:pPr>
            <w:r>
              <w:rPr>
                <w:rFonts w:hint="eastAsia"/>
              </w:rPr>
              <w:t>934,198.81</w:t>
            </w:r>
          </w:p>
        </w:tc>
        <w:tc>
          <w:tcPr>
            <w:tcW w:w="2768" w:type="dxa"/>
            <w:vAlign w:val="center"/>
          </w:tcPr>
          <w:p w14:paraId="1D0EEAB3">
            <w:pPr>
              <w:jc w:val="right"/>
            </w:pPr>
            <w:r>
              <w:rPr>
                <w:rFonts w:hint="eastAsia"/>
              </w:rPr>
              <w:t>118,793.83</w:t>
            </w:r>
          </w:p>
        </w:tc>
      </w:tr>
      <w:tr w14:paraId="18A9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BDB7A1">
            <w:r>
              <w:rPr>
                <w:rFonts w:hint="eastAsia"/>
              </w:rPr>
              <w:t>本期利润</w:t>
            </w:r>
          </w:p>
        </w:tc>
        <w:tc>
          <w:tcPr>
            <w:tcW w:w="2768" w:type="dxa"/>
            <w:vAlign w:val="center"/>
          </w:tcPr>
          <w:p w14:paraId="47E43B2C">
            <w:pPr>
              <w:jc w:val="right"/>
            </w:pPr>
            <w:r>
              <w:rPr>
                <w:rFonts w:hint="eastAsia"/>
              </w:rPr>
              <w:t>8,667,945.98</w:t>
            </w:r>
          </w:p>
        </w:tc>
        <w:tc>
          <w:tcPr>
            <w:tcW w:w="2768" w:type="dxa"/>
            <w:vAlign w:val="center"/>
          </w:tcPr>
          <w:p w14:paraId="2F837A9E">
            <w:pPr>
              <w:jc w:val="right"/>
            </w:pPr>
            <w:r>
              <w:rPr>
                <w:rFonts w:hint="eastAsia"/>
              </w:rPr>
              <w:t>190,115.01</w:t>
            </w:r>
          </w:p>
        </w:tc>
      </w:tr>
      <w:tr w14:paraId="3BCB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72C049">
            <w:r>
              <w:rPr>
                <w:rFonts w:hint="eastAsia"/>
              </w:rPr>
              <w:t>加权平均基金份额本期利润</w:t>
            </w:r>
          </w:p>
        </w:tc>
        <w:tc>
          <w:tcPr>
            <w:tcW w:w="2768" w:type="dxa"/>
            <w:vAlign w:val="center"/>
          </w:tcPr>
          <w:p w14:paraId="141BEA11">
            <w:pPr>
              <w:jc w:val="right"/>
            </w:pPr>
            <w:r>
              <w:rPr>
                <w:rFonts w:hint="eastAsia"/>
              </w:rPr>
              <w:t>0.1406</w:t>
            </w:r>
          </w:p>
        </w:tc>
        <w:tc>
          <w:tcPr>
            <w:tcW w:w="2768" w:type="dxa"/>
            <w:vAlign w:val="center"/>
          </w:tcPr>
          <w:p w14:paraId="0CBE9B8D">
            <w:pPr>
              <w:jc w:val="right"/>
            </w:pPr>
            <w:r>
              <w:rPr>
                <w:rFonts w:hint="eastAsia"/>
              </w:rPr>
              <w:t>0.0082</w:t>
            </w:r>
          </w:p>
        </w:tc>
      </w:tr>
      <w:tr w14:paraId="109A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FCEE71">
            <w:r>
              <w:rPr>
                <w:rFonts w:hint="eastAsia"/>
              </w:rPr>
              <w:t>本期加权平均净值利润率</w:t>
            </w:r>
          </w:p>
        </w:tc>
        <w:tc>
          <w:tcPr>
            <w:tcW w:w="2768" w:type="dxa"/>
            <w:vAlign w:val="center"/>
          </w:tcPr>
          <w:p w14:paraId="1ECD582D">
            <w:pPr>
              <w:jc w:val="right"/>
            </w:pPr>
            <w:r>
              <w:rPr>
                <w:rFonts w:hint="eastAsia"/>
              </w:rPr>
              <w:t>11.82%</w:t>
            </w:r>
          </w:p>
        </w:tc>
        <w:tc>
          <w:tcPr>
            <w:tcW w:w="2768" w:type="dxa"/>
            <w:vAlign w:val="center"/>
          </w:tcPr>
          <w:p w14:paraId="09CD4461">
            <w:pPr>
              <w:jc w:val="right"/>
            </w:pPr>
            <w:r>
              <w:rPr>
                <w:rFonts w:hint="eastAsia"/>
              </w:rPr>
              <w:t>0.82%</w:t>
            </w:r>
          </w:p>
        </w:tc>
      </w:tr>
      <w:tr w14:paraId="4085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C1EC24">
            <w:r>
              <w:rPr>
                <w:rFonts w:hint="eastAsia"/>
              </w:rPr>
              <w:t>本期基金份额净值增长率</w:t>
            </w:r>
          </w:p>
        </w:tc>
        <w:tc>
          <w:tcPr>
            <w:tcW w:w="2768" w:type="dxa"/>
            <w:vAlign w:val="center"/>
          </w:tcPr>
          <w:p w14:paraId="44A98993">
            <w:pPr>
              <w:jc w:val="right"/>
            </w:pPr>
            <w:r>
              <w:rPr>
                <w:rFonts w:hint="eastAsia"/>
              </w:rPr>
              <w:t>22.16%</w:t>
            </w:r>
          </w:p>
        </w:tc>
        <w:tc>
          <w:tcPr>
            <w:tcW w:w="2768" w:type="dxa"/>
            <w:vAlign w:val="center"/>
          </w:tcPr>
          <w:p w14:paraId="6F3A86DE">
            <w:pPr>
              <w:jc w:val="right"/>
            </w:pPr>
            <w:r>
              <w:rPr>
                <w:rFonts w:hint="eastAsia"/>
              </w:rPr>
              <w:t>1.02%</w:t>
            </w:r>
          </w:p>
        </w:tc>
      </w:tr>
      <w:tr w14:paraId="5EF1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8EA5A0">
            <w:r>
              <w:rPr>
                <w:rFonts w:hint="eastAsia"/>
              </w:rPr>
              <w:t>3.1.2 期末数据和指标</w:t>
            </w:r>
          </w:p>
        </w:tc>
        <w:tc>
          <w:tcPr>
            <w:tcW w:w="2768" w:type="dxa"/>
            <w:vAlign w:val="center"/>
          </w:tcPr>
          <w:p w14:paraId="650CC277">
            <w:r>
              <w:rPr>
                <w:rFonts w:hint="eastAsia"/>
              </w:rPr>
              <w:t>2025年末</w:t>
            </w:r>
          </w:p>
        </w:tc>
        <w:tc>
          <w:tcPr>
            <w:tcW w:w="2768" w:type="dxa"/>
            <w:vAlign w:val="center"/>
          </w:tcPr>
          <w:p w14:paraId="751AB593">
            <w:r>
              <w:rPr>
                <w:rFonts w:hint="eastAsia"/>
              </w:rPr>
              <w:t>2024年末</w:t>
            </w:r>
          </w:p>
        </w:tc>
      </w:tr>
      <w:tr w14:paraId="1ACDB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9BC7D8">
            <w:r>
              <w:rPr>
                <w:rFonts w:hint="eastAsia"/>
              </w:rPr>
              <w:t>期末可供分配利润</w:t>
            </w:r>
          </w:p>
        </w:tc>
        <w:tc>
          <w:tcPr>
            <w:tcW w:w="2768" w:type="dxa"/>
            <w:vAlign w:val="center"/>
          </w:tcPr>
          <w:p w14:paraId="01D8034F">
            <w:pPr>
              <w:jc w:val="right"/>
            </w:pPr>
            <w:r>
              <w:rPr>
                <w:rFonts w:hint="eastAsia"/>
              </w:rPr>
              <w:t>3,570,555.98</w:t>
            </w:r>
          </w:p>
        </w:tc>
        <w:tc>
          <w:tcPr>
            <w:tcW w:w="2768" w:type="dxa"/>
            <w:vAlign w:val="center"/>
          </w:tcPr>
          <w:p w14:paraId="405C2396">
            <w:pPr>
              <w:jc w:val="right"/>
            </w:pPr>
            <w:r>
              <w:rPr>
                <w:rFonts w:hint="eastAsia"/>
              </w:rPr>
              <w:t>90,744.36</w:t>
            </w:r>
          </w:p>
        </w:tc>
      </w:tr>
      <w:tr w14:paraId="2854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D986D9">
            <w:r>
              <w:rPr>
                <w:rFonts w:hint="eastAsia"/>
              </w:rPr>
              <w:t>期末可供分配基金份额利润</w:t>
            </w:r>
          </w:p>
        </w:tc>
        <w:tc>
          <w:tcPr>
            <w:tcW w:w="2768" w:type="dxa"/>
            <w:vAlign w:val="center"/>
          </w:tcPr>
          <w:p w14:paraId="17ACDECF">
            <w:pPr>
              <w:jc w:val="right"/>
            </w:pPr>
            <w:r>
              <w:rPr>
                <w:rFonts w:hint="eastAsia"/>
              </w:rPr>
              <w:t>0.0213</w:t>
            </w:r>
          </w:p>
        </w:tc>
        <w:tc>
          <w:tcPr>
            <w:tcW w:w="2768" w:type="dxa"/>
            <w:vAlign w:val="center"/>
          </w:tcPr>
          <w:p w14:paraId="4446CCF1">
            <w:pPr>
              <w:jc w:val="right"/>
            </w:pPr>
            <w:r>
              <w:rPr>
                <w:rFonts w:hint="eastAsia"/>
              </w:rPr>
              <w:t>0.0053</w:t>
            </w:r>
          </w:p>
        </w:tc>
      </w:tr>
      <w:tr w14:paraId="6D38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9C7C0">
            <w:r>
              <w:rPr>
                <w:rFonts w:hint="eastAsia"/>
              </w:rPr>
              <w:t>期末基金资产净值</w:t>
            </w:r>
          </w:p>
        </w:tc>
        <w:tc>
          <w:tcPr>
            <w:tcW w:w="2768" w:type="dxa"/>
            <w:vAlign w:val="center"/>
          </w:tcPr>
          <w:p w14:paraId="5879C24B">
            <w:pPr>
              <w:jc w:val="right"/>
            </w:pPr>
            <w:r>
              <w:rPr>
                <w:rFonts w:hint="eastAsia"/>
              </w:rPr>
              <w:t>206,591,147.31</w:t>
            </w:r>
          </w:p>
        </w:tc>
        <w:tc>
          <w:tcPr>
            <w:tcW w:w="2768" w:type="dxa"/>
            <w:vAlign w:val="center"/>
          </w:tcPr>
          <w:p w14:paraId="1391A828">
            <w:pPr>
              <w:jc w:val="right"/>
            </w:pPr>
            <w:r>
              <w:rPr>
                <w:rFonts w:hint="eastAsia"/>
              </w:rPr>
              <w:t>17,278,681.84</w:t>
            </w:r>
          </w:p>
        </w:tc>
      </w:tr>
      <w:tr w14:paraId="20D6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108D8F">
            <w:r>
              <w:rPr>
                <w:rFonts w:hint="eastAsia"/>
              </w:rPr>
              <w:t>期末基金份额净值</w:t>
            </w:r>
          </w:p>
        </w:tc>
        <w:tc>
          <w:tcPr>
            <w:tcW w:w="2768" w:type="dxa"/>
            <w:vAlign w:val="center"/>
          </w:tcPr>
          <w:p w14:paraId="3227881A">
            <w:pPr>
              <w:jc w:val="right"/>
            </w:pPr>
            <w:r>
              <w:rPr>
                <w:rFonts w:hint="eastAsia"/>
              </w:rPr>
              <w:t>1.2341</w:t>
            </w:r>
          </w:p>
        </w:tc>
        <w:tc>
          <w:tcPr>
            <w:tcW w:w="2768" w:type="dxa"/>
            <w:vAlign w:val="center"/>
          </w:tcPr>
          <w:p w14:paraId="4874386C">
            <w:pPr>
              <w:jc w:val="right"/>
            </w:pPr>
            <w:r>
              <w:rPr>
                <w:rFonts w:hint="eastAsia"/>
              </w:rPr>
              <w:t>1.0102</w:t>
            </w:r>
          </w:p>
        </w:tc>
      </w:tr>
      <w:tr w14:paraId="1303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77F922">
            <w:r>
              <w:rPr>
                <w:rFonts w:hint="eastAsia"/>
              </w:rPr>
              <w:t>3.1.3 累计期末指标</w:t>
            </w:r>
          </w:p>
        </w:tc>
        <w:tc>
          <w:tcPr>
            <w:tcW w:w="2768" w:type="dxa"/>
            <w:vAlign w:val="center"/>
          </w:tcPr>
          <w:p w14:paraId="77FCB919">
            <w:r>
              <w:rPr>
                <w:rFonts w:hint="eastAsia"/>
              </w:rPr>
              <w:t>2025年末</w:t>
            </w:r>
          </w:p>
        </w:tc>
        <w:tc>
          <w:tcPr>
            <w:tcW w:w="2768" w:type="dxa"/>
            <w:vAlign w:val="center"/>
          </w:tcPr>
          <w:p w14:paraId="13AC51C4">
            <w:r>
              <w:rPr>
                <w:rFonts w:hint="eastAsia"/>
              </w:rPr>
              <w:t>2024年末</w:t>
            </w:r>
          </w:p>
        </w:tc>
      </w:tr>
      <w:tr w14:paraId="08AC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BB3720">
            <w:r>
              <w:rPr>
                <w:rFonts w:hint="eastAsia"/>
              </w:rPr>
              <w:t>基金份额累计净值增长率</w:t>
            </w:r>
          </w:p>
        </w:tc>
        <w:tc>
          <w:tcPr>
            <w:tcW w:w="2768" w:type="dxa"/>
            <w:vAlign w:val="center"/>
          </w:tcPr>
          <w:p w14:paraId="45D40233">
            <w:pPr>
              <w:jc w:val="right"/>
            </w:pPr>
            <w:r>
              <w:rPr>
                <w:rFonts w:hint="eastAsia"/>
              </w:rPr>
              <w:t>23.41%</w:t>
            </w:r>
          </w:p>
        </w:tc>
        <w:tc>
          <w:tcPr>
            <w:tcW w:w="2768" w:type="dxa"/>
            <w:vAlign w:val="center"/>
          </w:tcPr>
          <w:p w14:paraId="1DD11E82">
            <w:pPr>
              <w:jc w:val="right"/>
            </w:pPr>
            <w:r>
              <w:rPr>
                <w:rFonts w:hint="eastAsia"/>
              </w:rPr>
              <w:t>1.02%</w:t>
            </w:r>
          </w:p>
        </w:tc>
      </w:tr>
    </w:tbl>
    <w:p w14:paraId="74F81298">
      <w:pPr>
        <w:pStyle w:val="47"/>
        <w:rPr>
          <w:rFonts w:hint="eastAsia"/>
        </w:rPr>
      </w:pPr>
      <w:r>
        <w:rPr>
          <w:rFonts w:hint="eastAsia"/>
        </w:rPr>
        <w:t>注：基金业绩指标不包括持有人认（申）购或交易基金的各项费用，计入费用后实际收益水平要低于所列数字；</w:t>
      </w:r>
    </w:p>
    <w:p w14:paraId="32376E26">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DA82282">
      <w:pPr>
        <w:pStyle w:val="47"/>
        <w:rPr>
          <w:rFonts w:hint="eastAsia"/>
        </w:rPr>
      </w:pPr>
      <w:r>
        <w:tab/>
      </w:r>
      <w:r>
        <w:rPr>
          <w:rFonts w:hint="eastAsia"/>
        </w:rPr>
        <w:t>对期末可供分配利润，采用期末资产负债表中未分配利润与未分配利润中已实现部分的孰低数。</w:t>
      </w:r>
    </w:p>
    <w:p w14:paraId="15EF1775">
      <w:pPr>
        <w:pStyle w:val="23"/>
      </w:pPr>
      <w:bookmarkStart w:id="16" w:name="_Toc13733"/>
      <w:r>
        <w:t>基金净值表现</w:t>
      </w:r>
      <w:bookmarkEnd w:id="16"/>
    </w:p>
    <w:p w14:paraId="7DFCB231">
      <w:pPr>
        <w:pStyle w:val="28"/>
      </w:pPr>
      <w:bookmarkStart w:id="17" w:name="_Toc17"/>
      <w:r>
        <w:t>基金份额净值增长率及其与同期业绩比较基准收益率的比较</w:t>
      </w:r>
      <w:bookmarkEnd w:id="17"/>
    </w:p>
    <w:p w14:paraId="046334F1">
      <w:pPr>
        <w:pStyle w:val="18"/>
        <w:rPr>
          <w:rFonts w:hint="eastAsia"/>
        </w:rPr>
      </w:pPr>
      <w:r>
        <w:rPr>
          <w:rFonts w:hint="eastAsia"/>
        </w:rPr>
        <w:t>南方富时亚太低碳精选ETF发起联接（QDII）A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90D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3FCD7325">
            <w:pPr>
              <w:jc w:val="center"/>
            </w:pPr>
            <w:r>
              <w:rPr>
                <w:rFonts w:hint="eastAsia"/>
                <w:b/>
              </w:rPr>
              <w:t>阶段</w:t>
            </w:r>
          </w:p>
        </w:tc>
        <w:tc>
          <w:tcPr>
            <w:tcW w:w="1186" w:type="dxa"/>
            <w:shd w:val="clear" w:color="auto" w:fill="BFBFBF"/>
            <w:vAlign w:val="center"/>
          </w:tcPr>
          <w:p w14:paraId="60EA532F">
            <w:pPr>
              <w:jc w:val="center"/>
            </w:pPr>
            <w:r>
              <w:rPr>
                <w:rFonts w:hint="eastAsia"/>
                <w:b/>
              </w:rPr>
              <w:t>份额净值增长率①</w:t>
            </w:r>
          </w:p>
        </w:tc>
        <w:tc>
          <w:tcPr>
            <w:tcW w:w="1186" w:type="dxa"/>
            <w:shd w:val="clear" w:color="auto" w:fill="BFBFBF"/>
            <w:vAlign w:val="center"/>
          </w:tcPr>
          <w:p w14:paraId="737DD266">
            <w:pPr>
              <w:jc w:val="center"/>
            </w:pPr>
            <w:r>
              <w:rPr>
                <w:rFonts w:hint="eastAsia"/>
                <w:b/>
              </w:rPr>
              <w:t>份额净值增长率标准差②</w:t>
            </w:r>
          </w:p>
        </w:tc>
        <w:tc>
          <w:tcPr>
            <w:tcW w:w="1186" w:type="dxa"/>
            <w:shd w:val="clear" w:color="auto" w:fill="BFBFBF"/>
            <w:vAlign w:val="center"/>
          </w:tcPr>
          <w:p w14:paraId="499D6340">
            <w:pPr>
              <w:jc w:val="center"/>
            </w:pPr>
            <w:r>
              <w:rPr>
                <w:rFonts w:hint="eastAsia"/>
                <w:b/>
              </w:rPr>
              <w:t>业绩比较基准收益率③</w:t>
            </w:r>
          </w:p>
        </w:tc>
        <w:tc>
          <w:tcPr>
            <w:tcW w:w="1186" w:type="dxa"/>
            <w:shd w:val="clear" w:color="auto" w:fill="BFBFBF"/>
            <w:vAlign w:val="center"/>
          </w:tcPr>
          <w:p w14:paraId="40EAB82B">
            <w:pPr>
              <w:jc w:val="center"/>
            </w:pPr>
            <w:r>
              <w:rPr>
                <w:rFonts w:hint="eastAsia"/>
                <w:b/>
              </w:rPr>
              <w:t>业绩比较基准收益率标准差④</w:t>
            </w:r>
          </w:p>
        </w:tc>
        <w:tc>
          <w:tcPr>
            <w:tcW w:w="1186" w:type="dxa"/>
            <w:shd w:val="clear" w:color="auto" w:fill="BFBFBF"/>
            <w:vAlign w:val="center"/>
          </w:tcPr>
          <w:p w14:paraId="16DA638F">
            <w:pPr>
              <w:jc w:val="center"/>
            </w:pPr>
            <w:r>
              <w:rPr>
                <w:rFonts w:hint="eastAsia"/>
                <w:b/>
              </w:rPr>
              <w:t>①-③</w:t>
            </w:r>
          </w:p>
        </w:tc>
        <w:tc>
          <w:tcPr>
            <w:tcW w:w="1186" w:type="dxa"/>
            <w:shd w:val="clear" w:color="auto" w:fill="BFBFBF"/>
            <w:vAlign w:val="center"/>
          </w:tcPr>
          <w:p w14:paraId="4D678FE8">
            <w:pPr>
              <w:jc w:val="center"/>
            </w:pPr>
            <w:r>
              <w:rPr>
                <w:rFonts w:hint="eastAsia"/>
                <w:b/>
              </w:rPr>
              <w:t>②-④</w:t>
            </w:r>
          </w:p>
        </w:tc>
      </w:tr>
      <w:tr w14:paraId="3EAD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75F150F">
            <w:r>
              <w:rPr>
                <w:rFonts w:hint="eastAsia"/>
              </w:rPr>
              <w:t>过去三个月</w:t>
            </w:r>
          </w:p>
        </w:tc>
        <w:tc>
          <w:tcPr>
            <w:tcW w:w="1186" w:type="dxa"/>
            <w:vAlign w:val="center"/>
          </w:tcPr>
          <w:p w14:paraId="67EF93FF">
            <w:pPr>
              <w:jc w:val="right"/>
            </w:pPr>
            <w:r>
              <w:rPr>
                <w:rFonts w:hint="eastAsia"/>
              </w:rPr>
              <w:t>1.38%</w:t>
            </w:r>
          </w:p>
        </w:tc>
        <w:tc>
          <w:tcPr>
            <w:tcW w:w="1186" w:type="dxa"/>
            <w:vAlign w:val="center"/>
          </w:tcPr>
          <w:p w14:paraId="4FA0C9C4">
            <w:pPr>
              <w:jc w:val="right"/>
            </w:pPr>
            <w:r>
              <w:rPr>
                <w:rFonts w:hint="eastAsia"/>
              </w:rPr>
              <w:t>0.98%</w:t>
            </w:r>
          </w:p>
        </w:tc>
        <w:tc>
          <w:tcPr>
            <w:tcW w:w="1186" w:type="dxa"/>
            <w:vAlign w:val="center"/>
          </w:tcPr>
          <w:p w14:paraId="5B238142">
            <w:pPr>
              <w:jc w:val="right"/>
            </w:pPr>
            <w:r>
              <w:rPr>
                <w:rFonts w:hint="eastAsia"/>
              </w:rPr>
              <w:t>1.88%</w:t>
            </w:r>
          </w:p>
        </w:tc>
        <w:tc>
          <w:tcPr>
            <w:tcW w:w="1186" w:type="dxa"/>
            <w:vAlign w:val="center"/>
          </w:tcPr>
          <w:p w14:paraId="60AE7880">
            <w:pPr>
              <w:jc w:val="right"/>
            </w:pPr>
            <w:r>
              <w:rPr>
                <w:rFonts w:hint="eastAsia"/>
              </w:rPr>
              <w:t>1.01%</w:t>
            </w:r>
          </w:p>
        </w:tc>
        <w:tc>
          <w:tcPr>
            <w:tcW w:w="1186" w:type="dxa"/>
            <w:vAlign w:val="center"/>
          </w:tcPr>
          <w:p w14:paraId="00062C65">
            <w:pPr>
              <w:jc w:val="right"/>
            </w:pPr>
            <w:r>
              <w:rPr>
                <w:rFonts w:hint="eastAsia"/>
              </w:rPr>
              <w:t>-0.50%</w:t>
            </w:r>
          </w:p>
        </w:tc>
        <w:tc>
          <w:tcPr>
            <w:tcW w:w="1186" w:type="dxa"/>
            <w:vAlign w:val="center"/>
          </w:tcPr>
          <w:p w14:paraId="0B94D1ED">
            <w:pPr>
              <w:jc w:val="right"/>
            </w:pPr>
            <w:r>
              <w:rPr>
                <w:rFonts w:hint="eastAsia"/>
              </w:rPr>
              <w:t>-0.03%</w:t>
            </w:r>
          </w:p>
        </w:tc>
      </w:tr>
      <w:tr w14:paraId="21DDE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85C1069">
            <w:r>
              <w:rPr>
                <w:rFonts w:hint="eastAsia"/>
              </w:rPr>
              <w:t>过去六个月</w:t>
            </w:r>
          </w:p>
        </w:tc>
        <w:tc>
          <w:tcPr>
            <w:tcW w:w="1186" w:type="dxa"/>
            <w:vAlign w:val="center"/>
          </w:tcPr>
          <w:p w14:paraId="36559007">
            <w:pPr>
              <w:jc w:val="right"/>
            </w:pPr>
            <w:r>
              <w:rPr>
                <w:rFonts w:hint="eastAsia"/>
              </w:rPr>
              <w:t>9.87%</w:t>
            </w:r>
          </w:p>
        </w:tc>
        <w:tc>
          <w:tcPr>
            <w:tcW w:w="1186" w:type="dxa"/>
            <w:vAlign w:val="center"/>
          </w:tcPr>
          <w:p w14:paraId="64FCC1D2">
            <w:pPr>
              <w:jc w:val="right"/>
            </w:pPr>
            <w:r>
              <w:rPr>
                <w:rFonts w:hint="eastAsia"/>
              </w:rPr>
              <w:t>0.85%</w:t>
            </w:r>
          </w:p>
        </w:tc>
        <w:tc>
          <w:tcPr>
            <w:tcW w:w="1186" w:type="dxa"/>
            <w:vAlign w:val="center"/>
          </w:tcPr>
          <w:p w14:paraId="3A3FD438">
            <w:pPr>
              <w:jc w:val="right"/>
            </w:pPr>
            <w:r>
              <w:rPr>
                <w:rFonts w:hint="eastAsia"/>
              </w:rPr>
              <w:t>10.81%</w:t>
            </w:r>
          </w:p>
        </w:tc>
        <w:tc>
          <w:tcPr>
            <w:tcW w:w="1186" w:type="dxa"/>
            <w:vAlign w:val="center"/>
          </w:tcPr>
          <w:p w14:paraId="2405199C">
            <w:pPr>
              <w:jc w:val="right"/>
            </w:pPr>
            <w:r>
              <w:rPr>
                <w:rFonts w:hint="eastAsia"/>
              </w:rPr>
              <w:t>0.85%</w:t>
            </w:r>
          </w:p>
        </w:tc>
        <w:tc>
          <w:tcPr>
            <w:tcW w:w="1186" w:type="dxa"/>
            <w:vAlign w:val="center"/>
          </w:tcPr>
          <w:p w14:paraId="6E1141C9">
            <w:pPr>
              <w:jc w:val="right"/>
            </w:pPr>
            <w:r>
              <w:rPr>
                <w:rFonts w:hint="eastAsia"/>
              </w:rPr>
              <w:t>-0.94%</w:t>
            </w:r>
          </w:p>
        </w:tc>
        <w:tc>
          <w:tcPr>
            <w:tcW w:w="1186" w:type="dxa"/>
            <w:vAlign w:val="center"/>
          </w:tcPr>
          <w:p w14:paraId="768EE074">
            <w:pPr>
              <w:jc w:val="right"/>
            </w:pPr>
            <w:r>
              <w:rPr>
                <w:rFonts w:hint="eastAsia"/>
              </w:rPr>
              <w:t>0.00%</w:t>
            </w:r>
          </w:p>
        </w:tc>
      </w:tr>
      <w:tr w14:paraId="3A2F3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975E7CF">
            <w:r>
              <w:rPr>
                <w:rFonts w:hint="eastAsia"/>
              </w:rPr>
              <w:t>过去一年</w:t>
            </w:r>
          </w:p>
        </w:tc>
        <w:tc>
          <w:tcPr>
            <w:tcW w:w="1186" w:type="dxa"/>
            <w:vAlign w:val="center"/>
          </w:tcPr>
          <w:p w14:paraId="2BAF135D">
            <w:pPr>
              <w:jc w:val="right"/>
            </w:pPr>
            <w:r>
              <w:rPr>
                <w:rFonts w:hint="eastAsia"/>
              </w:rPr>
              <w:t>22.41%</w:t>
            </w:r>
          </w:p>
        </w:tc>
        <w:tc>
          <w:tcPr>
            <w:tcW w:w="1186" w:type="dxa"/>
            <w:vAlign w:val="center"/>
          </w:tcPr>
          <w:p w14:paraId="0613BCF8">
            <w:pPr>
              <w:jc w:val="right"/>
            </w:pPr>
            <w:r>
              <w:rPr>
                <w:rFonts w:hint="eastAsia"/>
              </w:rPr>
              <w:t>1.10%</w:t>
            </w:r>
          </w:p>
        </w:tc>
        <w:tc>
          <w:tcPr>
            <w:tcW w:w="1186" w:type="dxa"/>
            <w:vAlign w:val="center"/>
          </w:tcPr>
          <w:p w14:paraId="77716B0A">
            <w:pPr>
              <w:jc w:val="right"/>
            </w:pPr>
            <w:r>
              <w:rPr>
                <w:rFonts w:hint="eastAsia"/>
              </w:rPr>
              <w:t>22.85%</w:t>
            </w:r>
          </w:p>
        </w:tc>
        <w:tc>
          <w:tcPr>
            <w:tcW w:w="1186" w:type="dxa"/>
            <w:vAlign w:val="center"/>
          </w:tcPr>
          <w:p w14:paraId="7982EF69">
            <w:pPr>
              <w:jc w:val="right"/>
            </w:pPr>
            <w:r>
              <w:rPr>
                <w:rFonts w:hint="eastAsia"/>
              </w:rPr>
              <w:t>1.20%</w:t>
            </w:r>
          </w:p>
        </w:tc>
        <w:tc>
          <w:tcPr>
            <w:tcW w:w="1186" w:type="dxa"/>
            <w:vAlign w:val="center"/>
          </w:tcPr>
          <w:p w14:paraId="2175B84B">
            <w:pPr>
              <w:jc w:val="right"/>
            </w:pPr>
            <w:r>
              <w:rPr>
                <w:rFonts w:hint="eastAsia"/>
              </w:rPr>
              <w:t>-0.44%</w:t>
            </w:r>
          </w:p>
        </w:tc>
        <w:tc>
          <w:tcPr>
            <w:tcW w:w="1186" w:type="dxa"/>
            <w:vAlign w:val="center"/>
          </w:tcPr>
          <w:p w14:paraId="6300027E">
            <w:pPr>
              <w:jc w:val="right"/>
            </w:pPr>
            <w:r>
              <w:rPr>
                <w:rFonts w:hint="eastAsia"/>
              </w:rPr>
              <w:t>-0.10%</w:t>
            </w:r>
          </w:p>
        </w:tc>
      </w:tr>
      <w:tr w14:paraId="38E6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4645DC6">
            <w:r>
              <w:rPr>
                <w:rFonts w:hint="eastAsia"/>
              </w:rPr>
              <w:t>自基金合同生效起至今</w:t>
            </w:r>
          </w:p>
        </w:tc>
        <w:tc>
          <w:tcPr>
            <w:tcW w:w="1186" w:type="dxa"/>
            <w:vAlign w:val="center"/>
          </w:tcPr>
          <w:p w14:paraId="4D37D2D4">
            <w:pPr>
              <w:jc w:val="right"/>
            </w:pPr>
            <w:r>
              <w:rPr>
                <w:rFonts w:hint="eastAsia"/>
              </w:rPr>
              <w:t>23.81%</w:t>
            </w:r>
          </w:p>
        </w:tc>
        <w:tc>
          <w:tcPr>
            <w:tcW w:w="1186" w:type="dxa"/>
            <w:vAlign w:val="center"/>
          </w:tcPr>
          <w:p w14:paraId="6799C649">
            <w:pPr>
              <w:jc w:val="right"/>
            </w:pPr>
            <w:r>
              <w:rPr>
                <w:rFonts w:hint="eastAsia"/>
              </w:rPr>
              <w:t>1.07%</w:t>
            </w:r>
          </w:p>
        </w:tc>
        <w:tc>
          <w:tcPr>
            <w:tcW w:w="1186" w:type="dxa"/>
            <w:vAlign w:val="center"/>
          </w:tcPr>
          <w:p w14:paraId="76452D35">
            <w:pPr>
              <w:jc w:val="right"/>
            </w:pPr>
            <w:r>
              <w:rPr>
                <w:rFonts w:hint="eastAsia"/>
              </w:rPr>
              <w:t>24.98%</w:t>
            </w:r>
          </w:p>
        </w:tc>
        <w:tc>
          <w:tcPr>
            <w:tcW w:w="1186" w:type="dxa"/>
            <w:vAlign w:val="center"/>
          </w:tcPr>
          <w:p w14:paraId="1E8887FB">
            <w:pPr>
              <w:jc w:val="right"/>
            </w:pPr>
            <w:r>
              <w:rPr>
                <w:rFonts w:hint="eastAsia"/>
              </w:rPr>
              <w:t>1.18%</w:t>
            </w:r>
          </w:p>
        </w:tc>
        <w:tc>
          <w:tcPr>
            <w:tcW w:w="1186" w:type="dxa"/>
            <w:vAlign w:val="center"/>
          </w:tcPr>
          <w:p w14:paraId="4D040FD6">
            <w:pPr>
              <w:jc w:val="right"/>
            </w:pPr>
            <w:r>
              <w:rPr>
                <w:rFonts w:hint="eastAsia"/>
              </w:rPr>
              <w:t>-1.17%</w:t>
            </w:r>
          </w:p>
        </w:tc>
        <w:tc>
          <w:tcPr>
            <w:tcW w:w="1186" w:type="dxa"/>
            <w:vAlign w:val="center"/>
          </w:tcPr>
          <w:p w14:paraId="4EE651AC">
            <w:pPr>
              <w:jc w:val="right"/>
            </w:pPr>
            <w:r>
              <w:rPr>
                <w:rFonts w:hint="eastAsia"/>
              </w:rPr>
              <w:t>-0.11%</w:t>
            </w:r>
          </w:p>
        </w:tc>
      </w:tr>
    </w:tbl>
    <w:p w14:paraId="70E7E4E5">
      <w:pPr>
        <w:pStyle w:val="18"/>
        <w:rPr>
          <w:rFonts w:hint="eastAsia"/>
        </w:rPr>
      </w:pPr>
      <w:r>
        <w:rPr>
          <w:rFonts w:hint="eastAsia"/>
        </w:rPr>
        <w:t>南方富时亚太低碳精选ETF发起联接（QDII）C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9649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6B44857F">
            <w:pPr>
              <w:jc w:val="center"/>
            </w:pPr>
            <w:r>
              <w:rPr>
                <w:rFonts w:hint="eastAsia"/>
                <w:b/>
              </w:rPr>
              <w:t>阶段</w:t>
            </w:r>
          </w:p>
        </w:tc>
        <w:tc>
          <w:tcPr>
            <w:tcW w:w="1186" w:type="dxa"/>
            <w:shd w:val="clear" w:color="auto" w:fill="BFBFBF"/>
            <w:vAlign w:val="center"/>
          </w:tcPr>
          <w:p w14:paraId="2499ED9A">
            <w:pPr>
              <w:jc w:val="center"/>
            </w:pPr>
            <w:r>
              <w:rPr>
                <w:rFonts w:hint="eastAsia"/>
                <w:b/>
              </w:rPr>
              <w:t>份额净值增长率①</w:t>
            </w:r>
          </w:p>
        </w:tc>
        <w:tc>
          <w:tcPr>
            <w:tcW w:w="1186" w:type="dxa"/>
            <w:shd w:val="clear" w:color="auto" w:fill="BFBFBF"/>
            <w:vAlign w:val="center"/>
          </w:tcPr>
          <w:p w14:paraId="5354E335">
            <w:pPr>
              <w:jc w:val="center"/>
            </w:pPr>
            <w:r>
              <w:rPr>
                <w:rFonts w:hint="eastAsia"/>
                <w:b/>
              </w:rPr>
              <w:t>份额净值增长率标准差②</w:t>
            </w:r>
          </w:p>
        </w:tc>
        <w:tc>
          <w:tcPr>
            <w:tcW w:w="1186" w:type="dxa"/>
            <w:shd w:val="clear" w:color="auto" w:fill="BFBFBF"/>
            <w:vAlign w:val="center"/>
          </w:tcPr>
          <w:p w14:paraId="7B3E91BF">
            <w:pPr>
              <w:jc w:val="center"/>
            </w:pPr>
            <w:r>
              <w:rPr>
                <w:rFonts w:hint="eastAsia"/>
                <w:b/>
              </w:rPr>
              <w:t>业绩比较基准收益率③</w:t>
            </w:r>
          </w:p>
        </w:tc>
        <w:tc>
          <w:tcPr>
            <w:tcW w:w="1186" w:type="dxa"/>
            <w:shd w:val="clear" w:color="auto" w:fill="BFBFBF"/>
            <w:vAlign w:val="center"/>
          </w:tcPr>
          <w:p w14:paraId="24A4DD8A">
            <w:pPr>
              <w:jc w:val="center"/>
            </w:pPr>
            <w:r>
              <w:rPr>
                <w:rFonts w:hint="eastAsia"/>
                <w:b/>
              </w:rPr>
              <w:t>业绩比较基准收益率标准差④</w:t>
            </w:r>
          </w:p>
        </w:tc>
        <w:tc>
          <w:tcPr>
            <w:tcW w:w="1186" w:type="dxa"/>
            <w:shd w:val="clear" w:color="auto" w:fill="BFBFBF"/>
            <w:vAlign w:val="center"/>
          </w:tcPr>
          <w:p w14:paraId="2810D4F9">
            <w:pPr>
              <w:jc w:val="center"/>
            </w:pPr>
            <w:r>
              <w:rPr>
                <w:rFonts w:hint="eastAsia"/>
                <w:b/>
              </w:rPr>
              <w:t>①-③</w:t>
            </w:r>
          </w:p>
        </w:tc>
        <w:tc>
          <w:tcPr>
            <w:tcW w:w="1186" w:type="dxa"/>
            <w:shd w:val="clear" w:color="auto" w:fill="BFBFBF"/>
            <w:vAlign w:val="center"/>
          </w:tcPr>
          <w:p w14:paraId="5B8574C4">
            <w:pPr>
              <w:jc w:val="center"/>
            </w:pPr>
            <w:r>
              <w:rPr>
                <w:rFonts w:hint="eastAsia"/>
                <w:b/>
              </w:rPr>
              <w:t>②-④</w:t>
            </w:r>
          </w:p>
        </w:tc>
      </w:tr>
      <w:tr w14:paraId="030A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9F9D95C">
            <w:r>
              <w:rPr>
                <w:rFonts w:hint="eastAsia"/>
              </w:rPr>
              <w:t>过去三个月</w:t>
            </w:r>
          </w:p>
        </w:tc>
        <w:tc>
          <w:tcPr>
            <w:tcW w:w="1186" w:type="dxa"/>
            <w:vAlign w:val="center"/>
          </w:tcPr>
          <w:p w14:paraId="403D5ABF">
            <w:pPr>
              <w:jc w:val="right"/>
            </w:pPr>
            <w:r>
              <w:rPr>
                <w:rFonts w:hint="eastAsia"/>
              </w:rPr>
              <w:t>1.32%</w:t>
            </w:r>
          </w:p>
        </w:tc>
        <w:tc>
          <w:tcPr>
            <w:tcW w:w="1186" w:type="dxa"/>
            <w:vAlign w:val="center"/>
          </w:tcPr>
          <w:p w14:paraId="590E1507">
            <w:pPr>
              <w:jc w:val="right"/>
            </w:pPr>
            <w:r>
              <w:rPr>
                <w:rFonts w:hint="eastAsia"/>
              </w:rPr>
              <w:t>0.98%</w:t>
            </w:r>
          </w:p>
        </w:tc>
        <w:tc>
          <w:tcPr>
            <w:tcW w:w="1186" w:type="dxa"/>
            <w:vAlign w:val="center"/>
          </w:tcPr>
          <w:p w14:paraId="4C78D684">
            <w:pPr>
              <w:jc w:val="right"/>
            </w:pPr>
            <w:r>
              <w:rPr>
                <w:rFonts w:hint="eastAsia"/>
              </w:rPr>
              <w:t>1.88%</w:t>
            </w:r>
          </w:p>
        </w:tc>
        <w:tc>
          <w:tcPr>
            <w:tcW w:w="1186" w:type="dxa"/>
            <w:vAlign w:val="center"/>
          </w:tcPr>
          <w:p w14:paraId="6F387E1E">
            <w:pPr>
              <w:jc w:val="right"/>
            </w:pPr>
            <w:r>
              <w:rPr>
                <w:rFonts w:hint="eastAsia"/>
              </w:rPr>
              <w:t>1.01%</w:t>
            </w:r>
          </w:p>
        </w:tc>
        <w:tc>
          <w:tcPr>
            <w:tcW w:w="1186" w:type="dxa"/>
            <w:vAlign w:val="center"/>
          </w:tcPr>
          <w:p w14:paraId="7A8A7BBC">
            <w:pPr>
              <w:jc w:val="right"/>
            </w:pPr>
            <w:r>
              <w:rPr>
                <w:rFonts w:hint="eastAsia"/>
              </w:rPr>
              <w:t>-0.56%</w:t>
            </w:r>
          </w:p>
        </w:tc>
        <w:tc>
          <w:tcPr>
            <w:tcW w:w="1186" w:type="dxa"/>
            <w:vAlign w:val="center"/>
          </w:tcPr>
          <w:p w14:paraId="5EEAAA27">
            <w:pPr>
              <w:jc w:val="right"/>
            </w:pPr>
            <w:r>
              <w:rPr>
                <w:rFonts w:hint="eastAsia"/>
              </w:rPr>
              <w:t>-0.03%</w:t>
            </w:r>
          </w:p>
        </w:tc>
      </w:tr>
      <w:tr w14:paraId="49D6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9F8704B">
            <w:r>
              <w:rPr>
                <w:rFonts w:hint="eastAsia"/>
              </w:rPr>
              <w:t>过去六个月</w:t>
            </w:r>
          </w:p>
        </w:tc>
        <w:tc>
          <w:tcPr>
            <w:tcW w:w="1186" w:type="dxa"/>
            <w:vAlign w:val="center"/>
          </w:tcPr>
          <w:p w14:paraId="7B02CA29">
            <w:pPr>
              <w:jc w:val="right"/>
            </w:pPr>
            <w:r>
              <w:rPr>
                <w:rFonts w:hint="eastAsia"/>
              </w:rPr>
              <w:t>9.76%</w:t>
            </w:r>
          </w:p>
        </w:tc>
        <w:tc>
          <w:tcPr>
            <w:tcW w:w="1186" w:type="dxa"/>
            <w:vAlign w:val="center"/>
          </w:tcPr>
          <w:p w14:paraId="205B271A">
            <w:pPr>
              <w:jc w:val="right"/>
            </w:pPr>
            <w:r>
              <w:rPr>
                <w:rFonts w:hint="eastAsia"/>
              </w:rPr>
              <w:t>0.84%</w:t>
            </w:r>
          </w:p>
        </w:tc>
        <w:tc>
          <w:tcPr>
            <w:tcW w:w="1186" w:type="dxa"/>
            <w:vAlign w:val="center"/>
          </w:tcPr>
          <w:p w14:paraId="7BAA5FF7">
            <w:pPr>
              <w:jc w:val="right"/>
            </w:pPr>
            <w:r>
              <w:rPr>
                <w:rFonts w:hint="eastAsia"/>
              </w:rPr>
              <w:t>10.81%</w:t>
            </w:r>
          </w:p>
        </w:tc>
        <w:tc>
          <w:tcPr>
            <w:tcW w:w="1186" w:type="dxa"/>
            <w:vAlign w:val="center"/>
          </w:tcPr>
          <w:p w14:paraId="044A4B23">
            <w:pPr>
              <w:jc w:val="right"/>
            </w:pPr>
            <w:r>
              <w:rPr>
                <w:rFonts w:hint="eastAsia"/>
              </w:rPr>
              <w:t>0.85%</w:t>
            </w:r>
          </w:p>
        </w:tc>
        <w:tc>
          <w:tcPr>
            <w:tcW w:w="1186" w:type="dxa"/>
            <w:vAlign w:val="center"/>
          </w:tcPr>
          <w:p w14:paraId="4E30BD6A">
            <w:pPr>
              <w:jc w:val="right"/>
            </w:pPr>
            <w:r>
              <w:rPr>
                <w:rFonts w:hint="eastAsia"/>
              </w:rPr>
              <w:t>-1.05%</w:t>
            </w:r>
          </w:p>
        </w:tc>
        <w:tc>
          <w:tcPr>
            <w:tcW w:w="1186" w:type="dxa"/>
            <w:vAlign w:val="center"/>
          </w:tcPr>
          <w:p w14:paraId="52462652">
            <w:pPr>
              <w:jc w:val="right"/>
            </w:pPr>
            <w:r>
              <w:rPr>
                <w:rFonts w:hint="eastAsia"/>
              </w:rPr>
              <w:t>-0.01%</w:t>
            </w:r>
          </w:p>
        </w:tc>
      </w:tr>
      <w:tr w14:paraId="2267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FD7BF27">
            <w:r>
              <w:rPr>
                <w:rFonts w:hint="eastAsia"/>
              </w:rPr>
              <w:t>过去一年</w:t>
            </w:r>
          </w:p>
        </w:tc>
        <w:tc>
          <w:tcPr>
            <w:tcW w:w="1186" w:type="dxa"/>
            <w:vAlign w:val="center"/>
          </w:tcPr>
          <w:p w14:paraId="7CF78C02">
            <w:pPr>
              <w:jc w:val="right"/>
            </w:pPr>
            <w:r>
              <w:rPr>
                <w:rFonts w:hint="eastAsia"/>
              </w:rPr>
              <w:t>22.16%</w:t>
            </w:r>
          </w:p>
        </w:tc>
        <w:tc>
          <w:tcPr>
            <w:tcW w:w="1186" w:type="dxa"/>
            <w:vAlign w:val="center"/>
          </w:tcPr>
          <w:p w14:paraId="308B1A5B">
            <w:pPr>
              <w:jc w:val="right"/>
            </w:pPr>
            <w:r>
              <w:rPr>
                <w:rFonts w:hint="eastAsia"/>
              </w:rPr>
              <w:t>1.10%</w:t>
            </w:r>
          </w:p>
        </w:tc>
        <w:tc>
          <w:tcPr>
            <w:tcW w:w="1186" w:type="dxa"/>
            <w:vAlign w:val="center"/>
          </w:tcPr>
          <w:p w14:paraId="01C67E10">
            <w:pPr>
              <w:jc w:val="right"/>
            </w:pPr>
            <w:r>
              <w:rPr>
                <w:rFonts w:hint="eastAsia"/>
              </w:rPr>
              <w:t>22.85%</w:t>
            </w:r>
          </w:p>
        </w:tc>
        <w:tc>
          <w:tcPr>
            <w:tcW w:w="1186" w:type="dxa"/>
            <w:vAlign w:val="center"/>
          </w:tcPr>
          <w:p w14:paraId="48961FB1">
            <w:pPr>
              <w:jc w:val="right"/>
            </w:pPr>
            <w:r>
              <w:rPr>
                <w:rFonts w:hint="eastAsia"/>
              </w:rPr>
              <w:t>1.20%</w:t>
            </w:r>
          </w:p>
        </w:tc>
        <w:tc>
          <w:tcPr>
            <w:tcW w:w="1186" w:type="dxa"/>
            <w:vAlign w:val="center"/>
          </w:tcPr>
          <w:p w14:paraId="65DAFB3C">
            <w:pPr>
              <w:jc w:val="right"/>
            </w:pPr>
            <w:r>
              <w:rPr>
                <w:rFonts w:hint="eastAsia"/>
              </w:rPr>
              <w:t>-0.69%</w:t>
            </w:r>
          </w:p>
        </w:tc>
        <w:tc>
          <w:tcPr>
            <w:tcW w:w="1186" w:type="dxa"/>
            <w:vAlign w:val="center"/>
          </w:tcPr>
          <w:p w14:paraId="67B76DCB">
            <w:pPr>
              <w:jc w:val="right"/>
            </w:pPr>
            <w:r>
              <w:rPr>
                <w:rFonts w:hint="eastAsia"/>
              </w:rPr>
              <w:t>-0.10%</w:t>
            </w:r>
          </w:p>
        </w:tc>
      </w:tr>
      <w:tr w14:paraId="4B64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47A221F">
            <w:r>
              <w:rPr>
                <w:rFonts w:hint="eastAsia"/>
              </w:rPr>
              <w:t>自基金合同生效起至今</w:t>
            </w:r>
          </w:p>
        </w:tc>
        <w:tc>
          <w:tcPr>
            <w:tcW w:w="1186" w:type="dxa"/>
            <w:vAlign w:val="center"/>
          </w:tcPr>
          <w:p w14:paraId="5694802E">
            <w:pPr>
              <w:jc w:val="right"/>
            </w:pPr>
            <w:r>
              <w:rPr>
                <w:rFonts w:hint="eastAsia"/>
              </w:rPr>
              <w:t>23.41%</w:t>
            </w:r>
          </w:p>
        </w:tc>
        <w:tc>
          <w:tcPr>
            <w:tcW w:w="1186" w:type="dxa"/>
            <w:vAlign w:val="center"/>
          </w:tcPr>
          <w:p w14:paraId="002CAF32">
            <w:pPr>
              <w:jc w:val="right"/>
            </w:pPr>
            <w:r>
              <w:rPr>
                <w:rFonts w:hint="eastAsia"/>
              </w:rPr>
              <w:t>1.07%</w:t>
            </w:r>
          </w:p>
        </w:tc>
        <w:tc>
          <w:tcPr>
            <w:tcW w:w="1186" w:type="dxa"/>
            <w:vAlign w:val="center"/>
          </w:tcPr>
          <w:p w14:paraId="73116C7D">
            <w:pPr>
              <w:jc w:val="right"/>
            </w:pPr>
            <w:r>
              <w:rPr>
                <w:rFonts w:hint="eastAsia"/>
              </w:rPr>
              <w:t>24.98%</w:t>
            </w:r>
          </w:p>
        </w:tc>
        <w:tc>
          <w:tcPr>
            <w:tcW w:w="1186" w:type="dxa"/>
            <w:vAlign w:val="center"/>
          </w:tcPr>
          <w:p w14:paraId="1E342040">
            <w:pPr>
              <w:jc w:val="right"/>
            </w:pPr>
            <w:r>
              <w:rPr>
                <w:rFonts w:hint="eastAsia"/>
              </w:rPr>
              <w:t>1.18%</w:t>
            </w:r>
          </w:p>
        </w:tc>
        <w:tc>
          <w:tcPr>
            <w:tcW w:w="1186" w:type="dxa"/>
            <w:vAlign w:val="center"/>
          </w:tcPr>
          <w:p w14:paraId="37FA8FE2">
            <w:pPr>
              <w:jc w:val="right"/>
            </w:pPr>
            <w:r>
              <w:rPr>
                <w:rFonts w:hint="eastAsia"/>
              </w:rPr>
              <w:t>-1.57%</w:t>
            </w:r>
          </w:p>
        </w:tc>
        <w:tc>
          <w:tcPr>
            <w:tcW w:w="1186" w:type="dxa"/>
            <w:vAlign w:val="center"/>
          </w:tcPr>
          <w:p w14:paraId="7775E8A8">
            <w:pPr>
              <w:jc w:val="right"/>
            </w:pPr>
            <w:r>
              <w:rPr>
                <w:rFonts w:hint="eastAsia"/>
              </w:rPr>
              <w:t>-0.11%</w:t>
            </w:r>
          </w:p>
        </w:tc>
      </w:tr>
    </w:tbl>
    <w:p w14:paraId="2D90E887">
      <w:pPr>
        <w:pStyle w:val="28"/>
      </w:pPr>
      <w:bookmarkStart w:id="18" w:name="_Toc18"/>
      <w:r>
        <w:t>自基金合同生效以来基金份额累计净值增长率变动及其与同期业绩比较基准收益率变动的比较</w:t>
      </w:r>
      <w:bookmarkEnd w:id="18"/>
    </w:p>
    <w:p w14:paraId="4899222A">
      <w:pPr>
        <w:jc w:val="center"/>
      </w:pPr>
      <w:r>
        <w:drawing>
          <wp:inline distT="0" distB="0" distL="114300" distR="114300">
            <wp:extent cx="5274310" cy="30276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028312"/>
                    </a:xfrm>
                    <a:prstGeom prst="rect">
                      <a:avLst/>
                    </a:prstGeom>
                  </pic:spPr>
                </pic:pic>
              </a:graphicData>
            </a:graphic>
          </wp:inline>
        </w:drawing>
      </w:r>
    </w:p>
    <w:p w14:paraId="7B486211">
      <w:pPr>
        <w:jc w:val="center"/>
      </w:pPr>
      <w:r>
        <w:drawing>
          <wp:inline distT="0" distB="0" distL="114300" distR="114300">
            <wp:extent cx="5274310" cy="30276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028312"/>
                    </a:xfrm>
                    <a:prstGeom prst="rect">
                      <a:avLst/>
                    </a:prstGeom>
                  </pic:spPr>
                </pic:pic>
              </a:graphicData>
            </a:graphic>
          </wp:inline>
        </w:drawing>
      </w:r>
    </w:p>
    <w:p w14:paraId="2A4E1F7B">
      <w:pPr>
        <w:pStyle w:val="28"/>
      </w:pPr>
      <w:bookmarkStart w:id="19" w:name="_Toc19"/>
      <w:r>
        <w:t>自基金合同生效以来基金每年净值增长率及其与同期业绩比较基准收益率的比较</w:t>
      </w:r>
      <w:bookmarkEnd w:id="19"/>
    </w:p>
    <w:p w14:paraId="4C2BCFE7">
      <w:pPr>
        <w:jc w:val="center"/>
      </w:pPr>
      <w:r>
        <w:drawing>
          <wp:inline distT="0" distB="0" distL="114300" distR="114300">
            <wp:extent cx="5274310" cy="3046095"/>
            <wp:effectExtent l="0" t="0" r="2540"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046309"/>
                    </a:xfrm>
                    <a:prstGeom prst="rect">
                      <a:avLst/>
                    </a:prstGeom>
                  </pic:spPr>
                </pic:pic>
              </a:graphicData>
            </a:graphic>
          </wp:inline>
        </w:drawing>
      </w:r>
    </w:p>
    <w:p w14:paraId="4EA09E0A">
      <w:pPr>
        <w:jc w:val="center"/>
      </w:pPr>
      <w:r>
        <w:drawing>
          <wp:inline distT="0" distB="0" distL="114300" distR="114300">
            <wp:extent cx="5274310" cy="3049905"/>
            <wp:effectExtent l="0" t="0" r="2540"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050286"/>
                    </a:xfrm>
                    <a:prstGeom prst="rect">
                      <a:avLst/>
                    </a:prstGeom>
                  </pic:spPr>
                </pic:pic>
              </a:graphicData>
            </a:graphic>
          </wp:inline>
        </w:drawing>
      </w:r>
    </w:p>
    <w:p w14:paraId="384AC4BD">
      <w:pPr>
        <w:pStyle w:val="47"/>
        <w:rPr>
          <w:rFonts w:hint="eastAsia"/>
        </w:rPr>
      </w:pPr>
      <w:r>
        <w:rPr>
          <w:rFonts w:hint="eastAsia"/>
        </w:rPr>
        <w:t>注：基金合同生效当年按实际存续期计算，不按整个自然年度进行折算。</w:t>
      </w:r>
    </w:p>
    <w:p w14:paraId="1158C455">
      <w:pPr>
        <w:pStyle w:val="23"/>
      </w:pPr>
      <w:bookmarkStart w:id="20" w:name="_Toc30082"/>
      <w:r>
        <w:t>过去三年基金的利润分配情况</w:t>
      </w:r>
      <w:bookmarkEnd w:id="20"/>
    </w:p>
    <w:p w14:paraId="3A044AD8">
      <w:pPr>
        <w:pStyle w:val="18"/>
        <w:rPr>
          <w:rFonts w:hint="eastAsia"/>
        </w:rPr>
      </w:pPr>
      <w:r>
        <w:rPr>
          <w:rFonts w:hint="eastAsia"/>
        </w:rPr>
        <w:t>本基金于2024年5月21日成立，自基金合同生效日以来未进行利润分配。</w:t>
      </w:r>
    </w:p>
    <w:p w14:paraId="37EC677D">
      <w:pPr>
        <w:pStyle w:val="26"/>
      </w:pPr>
      <w:bookmarkStart w:id="21" w:name="_Toc8411"/>
      <w:r>
        <w:t>管理人报告</w:t>
      </w:r>
      <w:bookmarkEnd w:id="21"/>
    </w:p>
    <w:p w14:paraId="6521705D">
      <w:pPr>
        <w:pStyle w:val="23"/>
      </w:pPr>
      <w:bookmarkStart w:id="22" w:name="_Toc29045"/>
      <w:r>
        <w:t>基金管理人及基金经理情况</w:t>
      </w:r>
      <w:bookmarkEnd w:id="22"/>
    </w:p>
    <w:p w14:paraId="380007E6">
      <w:pPr>
        <w:pStyle w:val="28"/>
      </w:pPr>
      <w:bookmarkStart w:id="23" w:name="_Toc23"/>
      <w:r>
        <w:t>基金管理人及其管理基金的经验</w:t>
      </w:r>
      <w:bookmarkEnd w:id="23"/>
    </w:p>
    <w:p w14:paraId="36E7970A">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6839DD8">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3A15D19">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A7BAE49">
      <w:pPr>
        <w:pStyle w:val="28"/>
      </w:pPr>
      <w:bookmarkStart w:id="24" w:name="_Toc24"/>
      <w:r>
        <w:t>基金经理（或基金经理小组）及基金经理助理简介</w:t>
      </w:r>
      <w:bookmarkEnd w:id="2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BAF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B541D3A">
            <w:pPr>
              <w:jc w:val="center"/>
            </w:pPr>
            <w:r>
              <w:rPr>
                <w:rFonts w:hint="eastAsia"/>
                <w:b/>
              </w:rPr>
              <w:t>姓名</w:t>
            </w:r>
          </w:p>
        </w:tc>
        <w:tc>
          <w:tcPr>
            <w:tcW w:w="830" w:type="dxa"/>
            <w:vMerge w:val="restart"/>
            <w:shd w:val="clear" w:color="auto" w:fill="BFBFBF"/>
            <w:vAlign w:val="center"/>
          </w:tcPr>
          <w:p w14:paraId="6962AE40">
            <w:pPr>
              <w:jc w:val="center"/>
            </w:pPr>
            <w:r>
              <w:rPr>
                <w:rFonts w:hint="eastAsia"/>
                <w:b/>
              </w:rPr>
              <w:t>职务</w:t>
            </w:r>
          </w:p>
        </w:tc>
        <w:tc>
          <w:tcPr>
            <w:tcW w:w="1090" w:type="dxa"/>
            <w:gridSpan w:val="2"/>
            <w:shd w:val="clear" w:color="auto" w:fill="BFBFBF"/>
            <w:vAlign w:val="center"/>
          </w:tcPr>
          <w:p w14:paraId="47A038AA">
            <w:pPr>
              <w:jc w:val="center"/>
            </w:pPr>
            <w:r>
              <w:rPr>
                <w:rFonts w:hint="eastAsia"/>
                <w:b/>
              </w:rPr>
              <w:t>任本基金的基金经理（助理）期限</w:t>
            </w:r>
          </w:p>
        </w:tc>
        <w:tc>
          <w:tcPr>
            <w:tcW w:w="686" w:type="dxa"/>
            <w:vMerge w:val="restart"/>
            <w:shd w:val="clear" w:color="auto" w:fill="BFBFBF"/>
            <w:vAlign w:val="center"/>
          </w:tcPr>
          <w:p w14:paraId="5D876546">
            <w:pPr>
              <w:jc w:val="center"/>
            </w:pPr>
            <w:r>
              <w:rPr>
                <w:rFonts w:hint="eastAsia"/>
                <w:b/>
              </w:rPr>
              <w:t>证券从业年限</w:t>
            </w:r>
          </w:p>
        </w:tc>
        <w:tc>
          <w:tcPr>
            <w:tcW w:w="3765" w:type="dxa"/>
            <w:vMerge w:val="restart"/>
            <w:shd w:val="clear" w:color="auto" w:fill="BFBFBF"/>
            <w:vAlign w:val="center"/>
          </w:tcPr>
          <w:p w14:paraId="70C000E6">
            <w:pPr>
              <w:jc w:val="center"/>
            </w:pPr>
            <w:r>
              <w:rPr>
                <w:rFonts w:hint="eastAsia"/>
                <w:b/>
              </w:rPr>
              <w:t>说明</w:t>
            </w:r>
          </w:p>
        </w:tc>
      </w:tr>
      <w:tr w14:paraId="1566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1EDF332"/>
        </w:tc>
        <w:tc>
          <w:tcPr>
            <w:tcW w:w="830" w:type="dxa"/>
            <w:vMerge w:val="continue"/>
            <w:vAlign w:val="center"/>
          </w:tcPr>
          <w:p w14:paraId="0CED4311"/>
        </w:tc>
        <w:tc>
          <w:tcPr>
            <w:tcW w:w="1090" w:type="dxa"/>
            <w:shd w:val="clear" w:color="auto" w:fill="BFBFBF"/>
            <w:vAlign w:val="center"/>
          </w:tcPr>
          <w:p w14:paraId="7C245178">
            <w:pPr>
              <w:jc w:val="center"/>
            </w:pPr>
            <w:r>
              <w:rPr>
                <w:rFonts w:hint="eastAsia"/>
                <w:b/>
              </w:rPr>
              <w:t>任职日期</w:t>
            </w:r>
          </w:p>
        </w:tc>
        <w:tc>
          <w:tcPr>
            <w:tcW w:w="1090" w:type="dxa"/>
            <w:shd w:val="clear" w:color="auto" w:fill="BFBFBF"/>
            <w:vAlign w:val="center"/>
          </w:tcPr>
          <w:p w14:paraId="13C5ED42">
            <w:pPr>
              <w:jc w:val="center"/>
            </w:pPr>
            <w:r>
              <w:rPr>
                <w:rFonts w:hint="eastAsia"/>
                <w:b/>
              </w:rPr>
              <w:t>离任日期</w:t>
            </w:r>
          </w:p>
        </w:tc>
        <w:tc>
          <w:tcPr>
            <w:tcW w:w="686" w:type="dxa"/>
            <w:vMerge w:val="continue"/>
            <w:vAlign w:val="center"/>
          </w:tcPr>
          <w:p w14:paraId="715F2EA9"/>
        </w:tc>
        <w:tc>
          <w:tcPr>
            <w:tcW w:w="3765" w:type="dxa"/>
            <w:vMerge w:val="continue"/>
            <w:vAlign w:val="center"/>
          </w:tcPr>
          <w:p w14:paraId="6A5E059D"/>
        </w:tc>
      </w:tr>
      <w:tr w14:paraId="1E83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04E7177">
            <w:r>
              <w:rPr>
                <w:rFonts w:hint="eastAsia"/>
              </w:rPr>
              <w:t>张其思</w:t>
            </w:r>
          </w:p>
        </w:tc>
        <w:tc>
          <w:tcPr>
            <w:tcW w:w="830" w:type="dxa"/>
            <w:vAlign w:val="center"/>
          </w:tcPr>
          <w:p w14:paraId="6E95C6B3">
            <w:r>
              <w:rPr>
                <w:rFonts w:hint="eastAsia"/>
              </w:rPr>
              <w:t>本基金基金经理</w:t>
            </w:r>
          </w:p>
        </w:tc>
        <w:tc>
          <w:tcPr>
            <w:tcW w:w="1090" w:type="dxa"/>
            <w:vAlign w:val="center"/>
          </w:tcPr>
          <w:p w14:paraId="73677353">
            <w:r>
              <w:rPr>
                <w:rFonts w:hint="eastAsia"/>
              </w:rPr>
              <w:t>2025年4月18日</w:t>
            </w:r>
          </w:p>
        </w:tc>
        <w:tc>
          <w:tcPr>
            <w:tcW w:w="1090" w:type="dxa"/>
            <w:vAlign w:val="center"/>
          </w:tcPr>
          <w:p w14:paraId="7A93CCC7">
            <w:pPr>
              <w:jc w:val="right"/>
            </w:pPr>
            <w:r>
              <w:rPr>
                <w:rFonts w:hint="eastAsia"/>
              </w:rPr>
              <w:t>-</w:t>
            </w:r>
          </w:p>
        </w:tc>
        <w:tc>
          <w:tcPr>
            <w:tcW w:w="686" w:type="dxa"/>
            <w:vAlign w:val="center"/>
          </w:tcPr>
          <w:p w14:paraId="4F99D093">
            <w:r>
              <w:rPr>
                <w:rFonts w:hint="eastAsia"/>
              </w:rPr>
              <w:t>11年</w:t>
            </w:r>
          </w:p>
        </w:tc>
        <w:tc>
          <w:tcPr>
            <w:tcW w:w="3765" w:type="dxa"/>
            <w:vAlign w:val="center"/>
          </w:tcPr>
          <w:p w14:paraId="769BE57B">
            <w:pPr>
              <w:jc w:val="both"/>
            </w:pPr>
            <w:r>
              <w:rPr>
                <w:rFonts w:hint="eastAsia"/>
              </w:rPr>
              <w:t>中国国籍，波士顿大学数理金融硕士，特许金融分析师（CFA）、金融风险管理师（FRM），具有基金从业资格。曾就职于美国Charles River Development、Citizens Financial Group，历任固定收益部分析员、资本管理部量化分析师。2017年4月加入南方基金，历任数量化投资部研究员、指数投资部研究员、国际业务部研究员。2020年6月2日至2021年3月26日，任南方原油基金经理助理；2021年3月26日至今，任南方道琼斯美国精选REIT指数（QDII-LOF）、南方原油（QDII-FOF-LOF）基金经理；2022年11月29日至今，任南方纳斯达克100指数发起（QDII）基金经理；2024年5月21日至今，任南方恒生科技ETF发起联接（QDII）（原：南方恒生科技指数发起（QDII））基金经理；2025年3月7日至今，任南方标普500ETF（QDII）基金经理；2025年4月11日至今，任南方顶峰TOPIX ETF（QDII）、南方基金南方东英沙特阿拉伯ETF（QDII）、南方中证香港科技ETF（QDII）基金经理；2025年4月18日至今，任南方基金南方东英富时亚太低碳精选ETF（QDII）、南方富时亚太低碳精选ETF发起联接（QDII）基金经理；2025年6月6日至今，任南方港股数字经济混合发起（QDII）基金经理；2025年9月12日至今，任南方国证港股通创新药ETF基金经理；2025年10月22日至今，任南方中证港股通50ETF基金经理；2025年10月29日至今，任南方中证港股通互联网ETF、南方恒生科技ETF（QDII）基金经理；2025年11月12日至今，任南方中证港股通高股息投资ETF基金经理。</w:t>
            </w:r>
          </w:p>
        </w:tc>
      </w:tr>
      <w:tr w14:paraId="2F80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A8FE821">
            <w:r>
              <w:rPr>
                <w:rFonts w:hint="eastAsia"/>
              </w:rPr>
              <w:t>王鑫</w:t>
            </w:r>
          </w:p>
        </w:tc>
        <w:tc>
          <w:tcPr>
            <w:tcW w:w="830" w:type="dxa"/>
            <w:vAlign w:val="center"/>
          </w:tcPr>
          <w:p w14:paraId="7A204757">
            <w:r>
              <w:rPr>
                <w:rFonts w:hint="eastAsia"/>
              </w:rPr>
              <w:t>本基金基金经理</w:t>
            </w:r>
          </w:p>
        </w:tc>
        <w:tc>
          <w:tcPr>
            <w:tcW w:w="1090" w:type="dxa"/>
            <w:vAlign w:val="center"/>
          </w:tcPr>
          <w:p w14:paraId="7623D709">
            <w:r>
              <w:rPr>
                <w:rFonts w:hint="eastAsia"/>
              </w:rPr>
              <w:t>2025年4月18日</w:t>
            </w:r>
          </w:p>
        </w:tc>
        <w:tc>
          <w:tcPr>
            <w:tcW w:w="1090" w:type="dxa"/>
            <w:vAlign w:val="center"/>
          </w:tcPr>
          <w:p w14:paraId="402196EC">
            <w:pPr>
              <w:jc w:val="right"/>
            </w:pPr>
            <w:r>
              <w:rPr>
                <w:rFonts w:hint="eastAsia"/>
              </w:rPr>
              <w:t>-</w:t>
            </w:r>
          </w:p>
        </w:tc>
        <w:tc>
          <w:tcPr>
            <w:tcW w:w="686" w:type="dxa"/>
            <w:vAlign w:val="center"/>
          </w:tcPr>
          <w:p w14:paraId="132A3E9B">
            <w:r>
              <w:rPr>
                <w:rFonts w:hint="eastAsia"/>
              </w:rPr>
              <w:t>7年</w:t>
            </w:r>
          </w:p>
        </w:tc>
        <w:tc>
          <w:tcPr>
            <w:tcW w:w="3765" w:type="dxa"/>
            <w:vAlign w:val="center"/>
          </w:tcPr>
          <w:p w14:paraId="71C5C1B7">
            <w:pPr>
              <w:jc w:val="both"/>
            </w:pPr>
            <w:r>
              <w:rPr>
                <w:rFonts w:hint="eastAsia"/>
              </w:rPr>
              <w:t>中国国籍，北京大学理学与经济学学士，美国约翰霍普金斯大学金融学硕士，特许金融分析师（CFA），具有基金从业资格。2018年5月加入南方基金，先后任职于战略与产品开发部、产品开发部；2022年6月加入国际业务部，任研究员；2024年5月31日至2025年4月11日，任南方亚洲美元收益债券（QDII）基金经理助理；2025年4月11日至今，任南方标普500ETF（QDII）、南方顶峰TOPIX ETF（QDII）、南方中证香港科技ETF（QDII）基金经理；2025年4月18日至今，任南方基金南方东英富时亚太低碳精选ETF（QDII）、南方富时亚太低碳精选ETF发起联接（QDII）基金经理；2025年10月22日至今，任南方中证港股通50ETF基金经理；2025年10月29日至今，任南方中证港股通互联网ETF基金经理。</w:t>
            </w:r>
          </w:p>
        </w:tc>
      </w:tr>
      <w:tr w14:paraId="3E6E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4706B0B">
            <w:r>
              <w:rPr>
                <w:rFonts w:hint="eastAsia"/>
              </w:rPr>
              <w:t>李佳亮</w:t>
            </w:r>
          </w:p>
        </w:tc>
        <w:tc>
          <w:tcPr>
            <w:tcW w:w="830" w:type="dxa"/>
            <w:vAlign w:val="center"/>
          </w:tcPr>
          <w:p w14:paraId="1A102E12">
            <w:r>
              <w:rPr>
                <w:rFonts w:hint="eastAsia"/>
              </w:rPr>
              <w:t>本基金基金经理（已离任）</w:t>
            </w:r>
          </w:p>
        </w:tc>
        <w:tc>
          <w:tcPr>
            <w:tcW w:w="1090" w:type="dxa"/>
            <w:vAlign w:val="center"/>
          </w:tcPr>
          <w:p w14:paraId="1AF2A735">
            <w:r>
              <w:rPr>
                <w:rFonts w:hint="eastAsia"/>
              </w:rPr>
              <w:t>2024年5月21日</w:t>
            </w:r>
          </w:p>
        </w:tc>
        <w:tc>
          <w:tcPr>
            <w:tcW w:w="1090" w:type="dxa"/>
            <w:vAlign w:val="center"/>
          </w:tcPr>
          <w:p w14:paraId="3B21EB18">
            <w:r>
              <w:rPr>
                <w:rFonts w:hint="eastAsia"/>
              </w:rPr>
              <w:t>2025年6月6日</w:t>
            </w:r>
          </w:p>
        </w:tc>
        <w:tc>
          <w:tcPr>
            <w:tcW w:w="686" w:type="dxa"/>
            <w:vAlign w:val="center"/>
          </w:tcPr>
          <w:p w14:paraId="26BFBE66">
            <w:r>
              <w:rPr>
                <w:rFonts w:hint="eastAsia"/>
              </w:rPr>
              <w:t>13年</w:t>
            </w:r>
          </w:p>
        </w:tc>
        <w:tc>
          <w:tcPr>
            <w:tcW w:w="3765" w:type="dxa"/>
            <w:vAlign w:val="center"/>
          </w:tcPr>
          <w:p w14:paraId="20F8006C">
            <w:pPr>
              <w:jc w:val="both"/>
            </w:pPr>
            <w:r>
              <w:rPr>
                <w:rFonts w:hint="eastAsia"/>
              </w:rPr>
              <w:t>中国国籍，美国南加州大学金融工程硕士，具有基金从业资格。2012年8月加入南方基金，任数量化投资部研究员；2015年5月28日至2016年8月5日，任投资经理助理；2017年4月13日至2018年9月4日，任南方荣优基金经理；2016年8月5日至2019年1月18日，任南方消费基金经理；2017年11月9日至2019年6月28日，任大数据100、大数据300基金经理；2016年11月23日至2021年11月12日，任南方中证500增强基金经理；2017年11月9日至2021年11月12日，任南方量化成长基金经理；2020年4月23日至2021年11月12日，任南方上证50增强基金经理；2016年12月30日至2024年5月31日，任南方绝对收益基金经理；2023年3月23日至2025年6月6日，任南方标普500ETF（QDII）基金经理；2022年12月16日至2025年6月6日，任南方基金南方东英富时亚太低碳精选ETF（QDII）基金经理；2024年5月21日至2025年6月6日，任南方富时亚太低碳精选ETF发起联接（QDII）基金经理；2021年10月29日至今，任南方MSCI中国A50互联互通ETF基金经理；2022年1月10日至今，任南方MSCI中国A50互联互通ETF联接基金经理；2022年11月21日至今，兼任投资经理；2022年12月23日至今，任南方北证50成份指数发起基金经理；2023年3月3日至今，任南方中证主要消费ETF基金经理；2023年4月13日至今，任南方沪深300ESG基准ETF基金经理；2023年6月21日至今，任南方中证国新央企科技引领ETF基金经理；2023年7月28日至今，任南方中证通信服务ETF基金经理；2023年9月7日至今，任南方中证2000ETF基金经理；2023年12月5日至今，任南方中证电池主题指数发起基金经理；2024年2月28日至今，任南方中证国新央企科技引领ETF联接基金经理；2024年3月19日至今，任南方中证光伏产业指数发起基金经理；2024年3月29日至今，任南方中证半导体产业指数发起基金经理；2024年4月15日至今，任南方上证科创板芯片ETF基金经理；2024年5月14日至今，任南方中证通信服务ETF发起联接基金经理；2024年7月8日至今，任南方上证科创板芯片ETF发起联接基金经理；2025年9月16日至今，任南方上证科创板人工智能指数发起基金经理。</w:t>
            </w:r>
          </w:p>
        </w:tc>
      </w:tr>
    </w:tbl>
    <w:p w14:paraId="34BBCAE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D4F2AB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E578DDF">
      <w:pPr>
        <w:pStyle w:val="28"/>
      </w:pPr>
      <w:bookmarkStart w:id="25" w:name="_Toc25"/>
      <w:r>
        <w:t>基金经理薪酬机制</w:t>
      </w:r>
      <w:bookmarkEnd w:id="25"/>
    </w:p>
    <w:p w14:paraId="704D031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E1E862F">
      <w:pPr>
        <w:pStyle w:val="23"/>
      </w:pPr>
      <w:bookmarkStart w:id="26" w:name="_Toc3430"/>
      <w:r>
        <w:t>境外投资顾问为本基金提供投资建议的主要成员简介</w:t>
      </w:r>
      <w:bookmarkEnd w:id="26"/>
    </w:p>
    <w:p w14:paraId="62A490C9">
      <w:pPr>
        <w:pStyle w:val="18"/>
        <w:rPr>
          <w:rFonts w:hint="eastAsia"/>
        </w:rPr>
      </w:pPr>
      <w:r>
        <w:rPr>
          <w:rFonts w:hint="eastAsia"/>
        </w:rPr>
        <w:t>本基金无境外投资顾问。</w:t>
      </w:r>
    </w:p>
    <w:p w14:paraId="3BB0DA0C">
      <w:pPr>
        <w:pStyle w:val="23"/>
      </w:pPr>
      <w:bookmarkStart w:id="27" w:name="_Toc16198"/>
      <w:r>
        <w:t>管理人对报告期内本基金运作遵规守信情况的说明</w:t>
      </w:r>
      <w:bookmarkEnd w:id="27"/>
    </w:p>
    <w:p w14:paraId="53561C5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B237C7F">
      <w:pPr>
        <w:pStyle w:val="23"/>
      </w:pPr>
      <w:bookmarkStart w:id="28" w:name="_Toc19388"/>
      <w:r>
        <w:t>管理人对报告期内公平交易情况的专项说明</w:t>
      </w:r>
      <w:bookmarkEnd w:id="28"/>
    </w:p>
    <w:p w14:paraId="4D779035">
      <w:pPr>
        <w:pStyle w:val="28"/>
      </w:pPr>
      <w:bookmarkStart w:id="29" w:name="_Toc29"/>
      <w:r>
        <w:t>公平交易制度和控制方法</w:t>
      </w:r>
      <w:bookmarkEnd w:id="29"/>
    </w:p>
    <w:p w14:paraId="1DF0CAB1">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186FD35">
      <w:pPr>
        <w:pStyle w:val="28"/>
      </w:pPr>
      <w:bookmarkStart w:id="30" w:name="_Toc30"/>
      <w:r>
        <w:t>公平交易制度的执行情况</w:t>
      </w:r>
      <w:bookmarkEnd w:id="30"/>
    </w:p>
    <w:p w14:paraId="79448F9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F3DA6AA">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258B9A1">
      <w:pPr>
        <w:pStyle w:val="35"/>
      </w:pPr>
      <w:bookmarkStart w:id="31" w:name="_Toc31"/>
      <w:r>
        <w:t>增加执行的基金经理公平交易制度执行情况及公平交易管理情况</w:t>
      </w:r>
      <w:bookmarkEnd w:id="31"/>
    </w:p>
    <w:p w14:paraId="55BB129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CC06046">
      <w:pPr>
        <w:pStyle w:val="28"/>
      </w:pPr>
      <w:bookmarkStart w:id="32" w:name="_Toc32"/>
      <w:r>
        <w:t>异常交易行为的专项说明</w:t>
      </w:r>
      <w:bookmarkEnd w:id="32"/>
    </w:p>
    <w:p w14:paraId="5B5E654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9634110">
      <w:pPr>
        <w:pStyle w:val="23"/>
      </w:pPr>
      <w:bookmarkStart w:id="33" w:name="_Toc26247"/>
      <w:r>
        <w:t>管理人对报告期内基金的投资策略和业绩表现的说明</w:t>
      </w:r>
      <w:bookmarkEnd w:id="33"/>
    </w:p>
    <w:p w14:paraId="4FE8C4E4">
      <w:pPr>
        <w:pStyle w:val="28"/>
      </w:pPr>
      <w:bookmarkStart w:id="34" w:name="_Toc34"/>
      <w:r>
        <w:t>报告期内基金投资策略和运作分析</w:t>
      </w:r>
      <w:bookmarkEnd w:id="34"/>
    </w:p>
    <w:p w14:paraId="0C4D54D0">
      <w:pPr>
        <w:pStyle w:val="18"/>
        <w:rPr>
          <w:rFonts w:hint="eastAsia"/>
        </w:rPr>
      </w:pPr>
      <w:r>
        <w:rPr>
          <w:rFonts w:hint="eastAsia"/>
        </w:rPr>
        <w:t>本产品跟踪富时亚太低碳精选指数，精选了日本、中国台湾、韩国、印度、东南亚等国家、地区的全球知名行业龙头，是配置亚太市场龙头企业的优质指数。</w:t>
      </w:r>
    </w:p>
    <w:p w14:paraId="7E903444">
      <w:pPr>
        <w:pStyle w:val="18"/>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我们对本基金报告期内跟踪误差归因分析为：接受申购赎回所带来的仓位偏离，对此我们通过日内择时交易争取跟踪误差最小化。</w:t>
      </w:r>
    </w:p>
    <w:p w14:paraId="6DF94BD7">
      <w:pPr>
        <w:pStyle w:val="28"/>
      </w:pPr>
      <w:bookmarkStart w:id="35" w:name="_Toc35"/>
      <w:r>
        <w:t>报告期内基金的业绩表现</w:t>
      </w:r>
      <w:bookmarkEnd w:id="35"/>
    </w:p>
    <w:p w14:paraId="2E2E1C35">
      <w:pPr>
        <w:pStyle w:val="18"/>
        <w:rPr>
          <w:rFonts w:hint="eastAsia"/>
        </w:rPr>
      </w:pPr>
      <w:r>
        <w:rPr>
          <w:rFonts w:hint="eastAsia"/>
        </w:rPr>
        <w:t>截至报告期末，本基金A份额净值为1.2381元，报告期内，份额净值增长率为22.41%，同期业绩基准增长率为22.85%；本基金C份额净值为1.2341元，报告期内，份额净值增长率为22.16%，同期业绩基准增长率为22.85%。</w:t>
      </w:r>
    </w:p>
    <w:p w14:paraId="3064CE4A">
      <w:pPr>
        <w:pStyle w:val="23"/>
      </w:pPr>
      <w:bookmarkStart w:id="36" w:name="_Toc8787"/>
      <w:r>
        <w:t>管理人对宏观经济、证券市场及行业走势的简要展望</w:t>
      </w:r>
      <w:bookmarkEnd w:id="36"/>
    </w:p>
    <w:p w14:paraId="4056F8E7">
      <w:pPr>
        <w:pStyle w:val="18"/>
        <w:rPr>
          <w:rFonts w:hint="eastAsia"/>
        </w:rPr>
      </w:pPr>
      <w:r>
        <w:rPr>
          <w:rFonts w:hint="eastAsia"/>
        </w:rPr>
        <w:t>2025年全球经济在面对关税波动、政策不确定性及政治分裂挑战时展现出较强韧性，亚太地区表现整体良好，除在4月初因关税政策不确定性带来全球性冲击以外，其余大多数时间日本、韩国等亚太主要境外市场均保持相对稳健上涨。展望后市，2026年预计全球主要经济体均呈现宽财政+宽货币的宏观环境组合，全球流动性的宽松将对风险资产配置形成利好,尤其是过去几年强美元环境压制下相对承压的非美资产，伴随AI技术革命周期演进，亚太地区整体风险偏好有望进一步抬升，在人工智能引领的投资热潮以及货币与财政政策协同发力的背景下，我们依然看好后续亚太市场的配置前景与投资价值。</w:t>
      </w:r>
    </w:p>
    <w:p w14:paraId="7B114FF6">
      <w:pPr>
        <w:pStyle w:val="18"/>
        <w:rPr>
          <w:rFonts w:hint="eastAsia"/>
        </w:rPr>
      </w:pPr>
      <w:r>
        <w:rPr>
          <w:rFonts w:hint="eastAsia"/>
        </w:rPr>
        <w:t>本基金为指数基金，作为基金管理人，我们将通过严格的投资管理流程、精确的数量化计算、精益求精的工作态度、恪守指数化投资的宗旨，力求实现对标的指数的有效跟踪，为持有人提供与之相近的收益。投资者可以根据自身对证券市场的判断及投资风格，借助投资本基金参与市场。</w:t>
      </w:r>
    </w:p>
    <w:p w14:paraId="6DEF6AC0">
      <w:pPr>
        <w:pStyle w:val="23"/>
      </w:pPr>
      <w:bookmarkStart w:id="37" w:name="_Toc9303"/>
      <w:r>
        <w:t>管理人内部有关本基金的监察稽核工作情况</w:t>
      </w:r>
      <w:bookmarkEnd w:id="37"/>
    </w:p>
    <w:p w14:paraId="7C60BB2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CE84CE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AB10D5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290587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2421C2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00B80E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948181A">
      <w:pPr>
        <w:pStyle w:val="23"/>
      </w:pPr>
      <w:bookmarkStart w:id="38" w:name="_Toc12359"/>
      <w:r>
        <w:t>管理人对报告期内基金估值程序等事项的说明</w:t>
      </w:r>
      <w:bookmarkEnd w:id="38"/>
    </w:p>
    <w:p w14:paraId="6F32B3AB">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0A55AF6">
      <w:pPr>
        <w:pStyle w:val="23"/>
      </w:pPr>
      <w:bookmarkStart w:id="39" w:name="_Toc32755"/>
      <w:r>
        <w:t>管理人对报告期内基金利润分配情况的说明</w:t>
      </w:r>
      <w:bookmarkEnd w:id="39"/>
    </w:p>
    <w:p w14:paraId="29D1826D">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A2C198E">
      <w:pPr>
        <w:pStyle w:val="23"/>
      </w:pPr>
      <w:bookmarkStart w:id="40" w:name="_Toc31272"/>
      <w:r>
        <w:t>报告期内基金持有人数或基金资产净值预警说明</w:t>
      </w:r>
      <w:bookmarkEnd w:id="40"/>
    </w:p>
    <w:p w14:paraId="265CBC06">
      <w:pPr>
        <w:pStyle w:val="18"/>
        <w:rPr>
          <w:rFonts w:hint="eastAsia"/>
        </w:rPr>
      </w:pPr>
      <w:r>
        <w:rPr>
          <w:rFonts w:hint="eastAsia"/>
        </w:rPr>
        <w:t>不适用。</w:t>
      </w:r>
    </w:p>
    <w:p w14:paraId="700CE1E6">
      <w:pPr>
        <w:pStyle w:val="26"/>
      </w:pPr>
      <w:bookmarkStart w:id="41" w:name="_Toc17614"/>
      <w:r>
        <w:t>托管人报告</w:t>
      </w:r>
      <w:bookmarkEnd w:id="41"/>
    </w:p>
    <w:p w14:paraId="1B492912">
      <w:pPr>
        <w:pStyle w:val="23"/>
      </w:pPr>
      <w:bookmarkStart w:id="42" w:name="_Toc6713"/>
      <w:r>
        <w:t>报告期内本基金托管人遵规守信情况声明</w:t>
      </w:r>
      <w:bookmarkEnd w:id="42"/>
    </w:p>
    <w:p w14:paraId="1D70F732">
      <w:pPr>
        <w:pStyle w:val="18"/>
        <w:rPr>
          <w:rFonts w:hint="eastAsia"/>
        </w:rPr>
      </w:pPr>
      <w:r>
        <w:rPr>
          <w:rFonts w:hint="eastAsia"/>
        </w:rPr>
        <w:t>托管人声明:</w:t>
      </w:r>
    </w:p>
    <w:p w14:paraId="288BBCFD">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06BC1DF3">
      <w:pPr>
        <w:pStyle w:val="23"/>
      </w:pPr>
      <w:bookmarkStart w:id="43" w:name="_Toc5714"/>
      <w:r>
        <w:t>托管人对报告期内本基金投资运作遵规守信、净值计算、利润分配等情况的说明</w:t>
      </w:r>
      <w:bookmarkEnd w:id="43"/>
    </w:p>
    <w:p w14:paraId="0E113E71">
      <w:pPr>
        <w:pStyle w:val="18"/>
        <w:rPr>
          <w:rFonts w:hint="eastAsia"/>
        </w:rPr>
      </w:pPr>
      <w:r>
        <w:rPr>
          <w:rFonts w:hint="eastAsia"/>
        </w:rPr>
        <w:t>招商银行根据法律法规、托管协议约定的投资监督条款，对托管产品的投资行为进行监督，并根据监管要求履行报告义务。</w:t>
      </w:r>
    </w:p>
    <w:p w14:paraId="0470AF25">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1B8D751A">
      <w:pPr>
        <w:pStyle w:val="18"/>
        <w:rPr>
          <w:rFonts w:hint="eastAsia"/>
        </w:rPr>
      </w:pPr>
      <w:r>
        <w:rPr>
          <w:rFonts w:hint="eastAsia"/>
        </w:rPr>
        <w:t>本年度报告中利润分配情况真实、准确。</w:t>
      </w:r>
    </w:p>
    <w:p w14:paraId="23843142">
      <w:pPr>
        <w:pStyle w:val="23"/>
      </w:pPr>
      <w:bookmarkStart w:id="44" w:name="_Toc6057"/>
      <w:r>
        <w:t>托管人对本年度报告中财务信息等内容的真实、准确和完整发表意见</w:t>
      </w:r>
      <w:bookmarkEnd w:id="44"/>
    </w:p>
    <w:p w14:paraId="392CADE9">
      <w:pPr>
        <w:pStyle w:val="18"/>
        <w:rPr>
          <w:rFonts w:hint="eastAsia"/>
        </w:rPr>
      </w:pPr>
      <w:r>
        <w:rPr>
          <w:rFonts w:hint="eastAsia"/>
        </w:rPr>
        <w:t>本年度报告中财务指标、净值表现、财务会计报告、投资组合报告内容真实、准确，不存在虚假记载、误导性陈述或者重大遗漏。</w:t>
      </w:r>
    </w:p>
    <w:p w14:paraId="08FF1F9F">
      <w:pPr>
        <w:pStyle w:val="26"/>
      </w:pPr>
      <w:bookmarkStart w:id="45" w:name="_Toc12982"/>
      <w:r>
        <w:t>审计报告</w:t>
      </w:r>
      <w:bookmarkEnd w:id="45"/>
    </w:p>
    <w:p w14:paraId="3E3C60A1">
      <w:pPr>
        <w:pStyle w:val="23"/>
      </w:pPr>
      <w:bookmarkStart w:id="46" w:name="_Toc17544"/>
      <w:r>
        <w:t>审计报告基本信息</w:t>
      </w:r>
      <w:bookmarkEnd w:id="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7529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3FEAC043">
            <w:r>
              <w:rPr>
                <w:rFonts w:hint="eastAsia"/>
              </w:rPr>
              <w:t>财务报表是否经过审计</w:t>
            </w:r>
          </w:p>
        </w:tc>
        <w:tc>
          <w:tcPr>
            <w:tcW w:w="4153" w:type="dxa"/>
            <w:vAlign w:val="center"/>
          </w:tcPr>
          <w:p w14:paraId="21B1F8D7">
            <w:r>
              <w:rPr>
                <w:rFonts w:hint="eastAsia"/>
              </w:rPr>
              <w:t>是</w:t>
            </w:r>
          </w:p>
        </w:tc>
      </w:tr>
      <w:tr w14:paraId="7D30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55793E">
            <w:r>
              <w:rPr>
                <w:rFonts w:hint="eastAsia"/>
              </w:rPr>
              <w:t>审计意见类型</w:t>
            </w:r>
          </w:p>
        </w:tc>
        <w:tc>
          <w:tcPr>
            <w:tcW w:w="4153" w:type="dxa"/>
            <w:vAlign w:val="center"/>
          </w:tcPr>
          <w:p w14:paraId="2D3E1DC2">
            <w:r>
              <w:rPr>
                <w:rFonts w:hint="eastAsia"/>
              </w:rPr>
              <w:t>标准无保留意见</w:t>
            </w:r>
          </w:p>
        </w:tc>
      </w:tr>
      <w:tr w14:paraId="73710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E2663E">
            <w:r>
              <w:rPr>
                <w:rFonts w:hint="eastAsia"/>
              </w:rPr>
              <w:t>审计报告编号</w:t>
            </w:r>
          </w:p>
        </w:tc>
        <w:tc>
          <w:tcPr>
            <w:tcW w:w="4153" w:type="dxa"/>
            <w:vAlign w:val="center"/>
          </w:tcPr>
          <w:p w14:paraId="70679AC6">
            <w:r>
              <w:rPr>
                <w:rFonts w:hint="eastAsia"/>
              </w:rPr>
              <w:t>容诚审字[2026]200Z0832号</w:t>
            </w:r>
          </w:p>
        </w:tc>
      </w:tr>
    </w:tbl>
    <w:p w14:paraId="25515B0D">
      <w:pPr>
        <w:pStyle w:val="23"/>
      </w:pPr>
      <w:bookmarkStart w:id="47" w:name="_Toc26005"/>
      <w:r>
        <w:t>审计报告的基本内容</w:t>
      </w:r>
      <w:bookmarkEnd w:id="4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98FC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EBC2856">
            <w:pPr>
              <w:jc w:val="center"/>
            </w:pPr>
            <w:r>
              <w:rPr>
                <w:rFonts w:hint="eastAsia"/>
                <w:b/>
              </w:rPr>
              <w:t>审计报告标题</w:t>
            </w:r>
          </w:p>
        </w:tc>
        <w:tc>
          <w:tcPr>
            <w:tcW w:w="2491" w:type="dxa"/>
            <w:gridSpan w:val="2"/>
            <w:shd w:val="clear" w:color="auto" w:fill="BFBFBF"/>
            <w:vAlign w:val="center"/>
          </w:tcPr>
          <w:p w14:paraId="20C7E3EC">
            <w:pPr>
              <w:jc w:val="center"/>
            </w:pPr>
            <w:r>
              <w:rPr>
                <w:rFonts w:hint="eastAsia"/>
                <w:b/>
              </w:rPr>
              <w:t>审计报告</w:t>
            </w:r>
          </w:p>
        </w:tc>
      </w:tr>
      <w:tr w14:paraId="0D820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4086DF">
            <w:r>
              <w:rPr>
                <w:rFonts w:hint="eastAsia"/>
              </w:rPr>
              <w:t>审计报告收件人</w:t>
            </w:r>
          </w:p>
        </w:tc>
        <w:tc>
          <w:tcPr>
            <w:tcW w:w="2491" w:type="dxa"/>
            <w:gridSpan w:val="2"/>
            <w:vAlign w:val="center"/>
          </w:tcPr>
          <w:p w14:paraId="08C121FE">
            <w:r>
              <w:rPr>
                <w:rFonts w:hint="eastAsia"/>
              </w:rPr>
              <w:t>南方基金南方东英富时亚太低碳精选交易型开放式指数证券投资基金发起式联接基金(QDII)全体基金份额持有人</w:t>
            </w:r>
          </w:p>
        </w:tc>
      </w:tr>
      <w:tr w14:paraId="5DC7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F26F33">
            <w:r>
              <w:rPr>
                <w:rFonts w:hint="eastAsia"/>
              </w:rPr>
              <w:t>审计意见</w:t>
            </w:r>
          </w:p>
        </w:tc>
        <w:tc>
          <w:tcPr>
            <w:tcW w:w="2491" w:type="dxa"/>
            <w:gridSpan w:val="2"/>
            <w:vAlign w:val="center"/>
          </w:tcPr>
          <w:p w14:paraId="10652547">
            <w:pPr>
              <w:jc w:val="both"/>
              <w:rPr>
                <w:rFonts w:hint="eastAsia"/>
              </w:rPr>
            </w:pPr>
            <w:r>
              <w:rPr>
                <w:rFonts w:hint="eastAsia"/>
              </w:rPr>
              <w:t>我们审计了南方基金南方东英富时亚太低碳精选交易型开放式指数证券投资基金发起式联接基金(QDII)（以下简称“南方基金南方东英富时亚太低碳精选ETF发起式联接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基金南方东英富时亚太低碳精选ETF发起式联接基金2025年12月31日的财务状况以及2025年度的经营成果和净资产变动情况。</w:t>
            </w:r>
          </w:p>
        </w:tc>
      </w:tr>
      <w:tr w14:paraId="4947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6F67CF">
            <w:r>
              <w:rPr>
                <w:rFonts w:hint="eastAsia"/>
              </w:rPr>
              <w:t>形成审计意见的基础</w:t>
            </w:r>
          </w:p>
        </w:tc>
        <w:tc>
          <w:tcPr>
            <w:tcW w:w="2491" w:type="dxa"/>
            <w:gridSpan w:val="2"/>
            <w:vAlign w:val="center"/>
          </w:tcPr>
          <w:p w14:paraId="2201A4D9">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基金南方东英富时亚太低碳精选ETF发起式联接基金，并遵守了独立性准则中适用于公众利益实体财务报表审计的规定，同时履行了职业道德方面的其他责任。我们相信，我们获取的审计证据是充分、适当的，为发表审计意见提供了基础。</w:t>
            </w:r>
          </w:p>
        </w:tc>
      </w:tr>
      <w:tr w14:paraId="0C04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4D2B59">
            <w:r>
              <w:rPr>
                <w:rFonts w:hint="eastAsia"/>
              </w:rPr>
              <w:t>强调事项</w:t>
            </w:r>
          </w:p>
        </w:tc>
        <w:tc>
          <w:tcPr>
            <w:tcW w:w="2491" w:type="dxa"/>
            <w:gridSpan w:val="2"/>
            <w:vAlign w:val="center"/>
          </w:tcPr>
          <w:p w14:paraId="60E177ED">
            <w:pPr>
              <w:jc w:val="right"/>
            </w:pPr>
            <w:r>
              <w:rPr>
                <w:rFonts w:hint="eastAsia"/>
              </w:rPr>
              <w:t>-</w:t>
            </w:r>
          </w:p>
        </w:tc>
      </w:tr>
      <w:tr w14:paraId="5A5F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09DFBE">
            <w:r>
              <w:rPr>
                <w:rFonts w:hint="eastAsia"/>
              </w:rPr>
              <w:t>其他事项</w:t>
            </w:r>
          </w:p>
        </w:tc>
        <w:tc>
          <w:tcPr>
            <w:tcW w:w="2491" w:type="dxa"/>
            <w:gridSpan w:val="2"/>
            <w:vAlign w:val="center"/>
          </w:tcPr>
          <w:p w14:paraId="79C45231">
            <w:pPr>
              <w:jc w:val="right"/>
            </w:pPr>
            <w:r>
              <w:rPr>
                <w:rFonts w:hint="eastAsia"/>
              </w:rPr>
              <w:t>-</w:t>
            </w:r>
          </w:p>
        </w:tc>
      </w:tr>
      <w:tr w14:paraId="6F0F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8399D8">
            <w:r>
              <w:rPr>
                <w:rFonts w:hint="eastAsia"/>
              </w:rPr>
              <w:t>其他信息</w:t>
            </w:r>
          </w:p>
        </w:tc>
        <w:tc>
          <w:tcPr>
            <w:tcW w:w="2491" w:type="dxa"/>
            <w:gridSpan w:val="2"/>
            <w:vAlign w:val="center"/>
          </w:tcPr>
          <w:p w14:paraId="1570FFC6">
            <w:pPr>
              <w:jc w:val="both"/>
              <w:rPr>
                <w:rFonts w:hint="eastAsia"/>
              </w:rPr>
            </w:pPr>
            <w:r>
              <w:rPr>
                <w:rFonts w:hint="eastAsia"/>
              </w:rPr>
              <w:t>南方基金南方东英富时亚太低碳精选ETF发起式联接基金的基金管理人南方基金管理股份有限公司（以下简称“基金管理人”）管理层对其他信息负责。其他信息包括南方基金南方东英富时亚太低碳精选ETF发起式联接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4325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D7C57B">
            <w:r>
              <w:rPr>
                <w:rFonts w:hint="eastAsia"/>
              </w:rPr>
              <w:t>管理层和治理层对财务报表的责任</w:t>
            </w:r>
          </w:p>
        </w:tc>
        <w:tc>
          <w:tcPr>
            <w:tcW w:w="2491" w:type="dxa"/>
            <w:gridSpan w:val="2"/>
            <w:vAlign w:val="center"/>
          </w:tcPr>
          <w:p w14:paraId="6D4B50D0">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基金南方东英富时亚太低碳精选ETF发起式联接基金的持续经营能力，披露与持续经营相关的事项（如适用），并运用持续经营假设，除非基金管理人管理层计划清算南方基金南方东英富时亚太低碳精选ETF发起式联接基金、终止运营或别无其他现实的选择。
</w:t>
            </w:r>
            <w:r>
              <w:rPr>
                <w:rFonts w:hint="eastAsia"/>
              </w:rPr>
              <w:br w:type="textWrapping"/>
            </w:r>
            <w:r>
              <w:rPr>
                <w:rFonts w:hint="eastAsia"/>
              </w:rPr>
              <w:t>基金管理人治理层负责监督南方基金南方东英富时亚太低碳精选ETF发起式联接基金的财务报告过程。</w:t>
            </w:r>
          </w:p>
        </w:tc>
      </w:tr>
      <w:tr w14:paraId="4761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6F9D5D">
            <w:r>
              <w:rPr>
                <w:rFonts w:hint="eastAsia"/>
              </w:rPr>
              <w:t>注册会计师对财务报表审计的责任</w:t>
            </w:r>
          </w:p>
        </w:tc>
        <w:tc>
          <w:tcPr>
            <w:tcW w:w="2491" w:type="dxa"/>
            <w:gridSpan w:val="2"/>
            <w:vAlign w:val="center"/>
          </w:tcPr>
          <w:p w14:paraId="1610B28B">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基金南方东英富时亚太低碳精选ETF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基金南方东英富时亚太低碳精选ETF发起式联接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C62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750BB1">
            <w:r>
              <w:rPr>
                <w:rFonts w:hint="eastAsia"/>
              </w:rPr>
              <w:t>会计师事务所的名称</w:t>
            </w:r>
          </w:p>
        </w:tc>
        <w:tc>
          <w:tcPr>
            <w:tcW w:w="2491" w:type="dxa"/>
            <w:gridSpan w:val="2"/>
            <w:vAlign w:val="center"/>
          </w:tcPr>
          <w:p w14:paraId="20BC2786">
            <w:r>
              <w:rPr>
                <w:rFonts w:hint="eastAsia"/>
              </w:rPr>
              <w:t>容诚会计师事务所（特殊普通合伙）</w:t>
            </w:r>
          </w:p>
        </w:tc>
      </w:tr>
      <w:tr w14:paraId="7A112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8DDC81">
            <w:r>
              <w:rPr>
                <w:rFonts w:hint="eastAsia"/>
              </w:rPr>
              <w:t>注册会计师的姓名</w:t>
            </w:r>
          </w:p>
        </w:tc>
        <w:tc>
          <w:tcPr>
            <w:tcW w:w="2491" w:type="dxa"/>
            <w:vAlign w:val="center"/>
          </w:tcPr>
          <w:p w14:paraId="37765764">
            <w:r>
              <w:rPr>
                <w:rFonts w:hint="eastAsia"/>
              </w:rPr>
              <w:t>陈熹</w:t>
            </w:r>
          </w:p>
        </w:tc>
        <w:tc>
          <w:tcPr>
            <w:tcW w:w="2768" w:type="dxa"/>
            <w:vAlign w:val="center"/>
          </w:tcPr>
          <w:p w14:paraId="67FD61C7">
            <w:r>
              <w:rPr>
                <w:rFonts w:hint="eastAsia"/>
              </w:rPr>
              <w:t>成磊</w:t>
            </w:r>
          </w:p>
        </w:tc>
      </w:tr>
      <w:tr w14:paraId="3EFB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92861C">
            <w:r>
              <w:rPr>
                <w:rFonts w:hint="eastAsia"/>
              </w:rPr>
              <w:t>会计师事务所的地址</w:t>
            </w:r>
          </w:p>
        </w:tc>
        <w:tc>
          <w:tcPr>
            <w:tcW w:w="2491" w:type="dxa"/>
            <w:gridSpan w:val="2"/>
            <w:vAlign w:val="center"/>
          </w:tcPr>
          <w:p w14:paraId="16887D9E">
            <w:r>
              <w:rPr>
                <w:rFonts w:hint="eastAsia"/>
              </w:rPr>
              <w:t>北京市西城区阜成门外大街22号1幢10层1001-1至1001-26</w:t>
            </w:r>
          </w:p>
        </w:tc>
      </w:tr>
      <w:tr w14:paraId="1EDBE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8B6CFB">
            <w:r>
              <w:rPr>
                <w:rFonts w:hint="eastAsia"/>
              </w:rPr>
              <w:t>审计报告日期</w:t>
            </w:r>
          </w:p>
        </w:tc>
        <w:tc>
          <w:tcPr>
            <w:tcW w:w="2491" w:type="dxa"/>
            <w:gridSpan w:val="2"/>
            <w:vAlign w:val="center"/>
          </w:tcPr>
          <w:p w14:paraId="5CDFC3C7">
            <w:r>
              <w:rPr>
                <w:rFonts w:hint="eastAsia"/>
              </w:rPr>
              <w:t>2026年3月27日</w:t>
            </w:r>
          </w:p>
        </w:tc>
      </w:tr>
    </w:tbl>
    <w:p w14:paraId="1B58EA2E">
      <w:pPr>
        <w:pStyle w:val="26"/>
      </w:pPr>
      <w:bookmarkStart w:id="48" w:name="_Toc16529"/>
      <w:r>
        <w:t>年度财务报表</w:t>
      </w:r>
      <w:bookmarkEnd w:id="48"/>
    </w:p>
    <w:p w14:paraId="1651BDB1">
      <w:pPr>
        <w:pStyle w:val="23"/>
      </w:pPr>
      <w:bookmarkStart w:id="49" w:name="_Toc28712"/>
      <w:r>
        <w:t>资产负债表</w:t>
      </w:r>
      <w:bookmarkEnd w:id="49"/>
    </w:p>
    <w:p w14:paraId="476BA1A0">
      <w:pPr>
        <w:pStyle w:val="18"/>
        <w:rPr>
          <w:rFonts w:hint="eastAsia"/>
        </w:rPr>
      </w:pPr>
      <w:r>
        <w:rPr>
          <w:rFonts w:hint="eastAsia"/>
        </w:rPr>
        <w:t>会计主体：南方基金南方东英富时亚太低碳精选交易型开放式指数证券投资基金发起式联接基金（QDII）</w:t>
      </w:r>
    </w:p>
    <w:p w14:paraId="7C34E9EE">
      <w:pPr>
        <w:pStyle w:val="18"/>
        <w:rPr>
          <w:rFonts w:hint="eastAsia"/>
        </w:rPr>
      </w:pPr>
      <w:r>
        <w:rPr>
          <w:rFonts w:hint="eastAsia"/>
        </w:rPr>
        <w:t>报告截止日：2025年12月31日</w:t>
      </w:r>
    </w:p>
    <w:p w14:paraId="1CCF1DF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315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31C4EC">
            <w:r>
              <w:rPr>
                <w:rFonts w:hint="eastAsia"/>
              </w:rPr>
              <w:t>资产</w:t>
            </w:r>
          </w:p>
        </w:tc>
        <w:tc>
          <w:tcPr>
            <w:tcW w:w="1262" w:type="dxa"/>
            <w:vAlign w:val="center"/>
          </w:tcPr>
          <w:p w14:paraId="743D8314">
            <w:r>
              <w:rPr>
                <w:rFonts w:hint="eastAsia"/>
              </w:rPr>
              <w:t>附注号</w:t>
            </w:r>
          </w:p>
        </w:tc>
        <w:tc>
          <w:tcPr>
            <w:tcW w:w="2289" w:type="dxa"/>
            <w:vAlign w:val="center"/>
          </w:tcPr>
          <w:p w14:paraId="1AD243D6">
            <w:r>
              <w:rPr>
                <w:rFonts w:hint="eastAsia"/>
              </w:rPr>
              <w:t>本期末2025年12月31日</w:t>
            </w:r>
          </w:p>
        </w:tc>
        <w:tc>
          <w:tcPr>
            <w:tcW w:w="2295" w:type="dxa"/>
            <w:vAlign w:val="center"/>
          </w:tcPr>
          <w:p w14:paraId="25D50A27">
            <w:r>
              <w:rPr>
                <w:rFonts w:hint="eastAsia"/>
              </w:rPr>
              <w:t>上年度末2024年12月31日</w:t>
            </w:r>
          </w:p>
        </w:tc>
      </w:tr>
      <w:tr w14:paraId="106F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896878">
            <w:r>
              <w:rPr>
                <w:rFonts w:hint="eastAsia"/>
              </w:rPr>
              <w:t>资产：</w:t>
            </w:r>
          </w:p>
        </w:tc>
        <w:tc>
          <w:tcPr>
            <w:tcW w:w="1262" w:type="dxa"/>
            <w:vAlign w:val="center"/>
          </w:tcPr>
          <w:p w14:paraId="5E84476B"/>
        </w:tc>
        <w:tc>
          <w:tcPr>
            <w:tcW w:w="2289" w:type="dxa"/>
            <w:vAlign w:val="center"/>
          </w:tcPr>
          <w:p w14:paraId="0458BF0C"/>
        </w:tc>
        <w:tc>
          <w:tcPr>
            <w:tcW w:w="2295" w:type="dxa"/>
            <w:vAlign w:val="center"/>
          </w:tcPr>
          <w:p w14:paraId="1D513E40"/>
        </w:tc>
      </w:tr>
      <w:tr w14:paraId="7AB3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889E54">
            <w:r>
              <w:rPr>
                <w:rFonts w:hint="eastAsia"/>
              </w:rPr>
              <w:t>货币资金</w:t>
            </w:r>
          </w:p>
        </w:tc>
        <w:tc>
          <w:tcPr>
            <w:tcW w:w="1262" w:type="dxa"/>
            <w:vAlign w:val="center"/>
          </w:tcPr>
          <w:p w14:paraId="1C78D4DF">
            <w:r>
              <w:rPr>
                <w:rFonts w:hint="eastAsia"/>
              </w:rPr>
              <w:t>7.4.7.1</w:t>
            </w:r>
          </w:p>
        </w:tc>
        <w:tc>
          <w:tcPr>
            <w:tcW w:w="2289" w:type="dxa"/>
            <w:vAlign w:val="center"/>
          </w:tcPr>
          <w:p w14:paraId="41BECCBB">
            <w:pPr>
              <w:jc w:val="right"/>
            </w:pPr>
            <w:r>
              <w:rPr>
                <w:rFonts w:hint="eastAsia"/>
              </w:rPr>
              <w:t>25,841,103.04</w:t>
            </w:r>
          </w:p>
        </w:tc>
        <w:tc>
          <w:tcPr>
            <w:tcW w:w="2295" w:type="dxa"/>
            <w:vAlign w:val="center"/>
          </w:tcPr>
          <w:p w14:paraId="0B0F6127">
            <w:pPr>
              <w:jc w:val="right"/>
            </w:pPr>
            <w:r>
              <w:rPr>
                <w:rFonts w:hint="eastAsia"/>
              </w:rPr>
              <w:t>4,764,043.82</w:t>
            </w:r>
          </w:p>
        </w:tc>
      </w:tr>
      <w:tr w14:paraId="56E8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C01A21">
            <w:r>
              <w:rPr>
                <w:rFonts w:hint="eastAsia"/>
              </w:rPr>
              <w:t>结算备付金</w:t>
            </w:r>
          </w:p>
        </w:tc>
        <w:tc>
          <w:tcPr>
            <w:tcW w:w="1262" w:type="dxa"/>
            <w:vAlign w:val="center"/>
          </w:tcPr>
          <w:p w14:paraId="10EDE162"/>
        </w:tc>
        <w:tc>
          <w:tcPr>
            <w:tcW w:w="2289" w:type="dxa"/>
            <w:vAlign w:val="center"/>
          </w:tcPr>
          <w:p w14:paraId="4B0C366F">
            <w:pPr>
              <w:jc w:val="right"/>
            </w:pPr>
            <w:r>
              <w:rPr>
                <w:rFonts w:hint="eastAsia"/>
              </w:rPr>
              <w:t>430,088.59</w:t>
            </w:r>
          </w:p>
        </w:tc>
        <w:tc>
          <w:tcPr>
            <w:tcW w:w="2295" w:type="dxa"/>
            <w:vAlign w:val="center"/>
          </w:tcPr>
          <w:p w14:paraId="3B2BA398">
            <w:pPr>
              <w:jc w:val="right"/>
            </w:pPr>
            <w:r>
              <w:rPr>
                <w:rFonts w:hint="eastAsia"/>
              </w:rPr>
              <w:t>25,575.59</w:t>
            </w:r>
          </w:p>
        </w:tc>
      </w:tr>
      <w:tr w14:paraId="6EFCF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BE2338">
            <w:r>
              <w:rPr>
                <w:rFonts w:hint="eastAsia"/>
              </w:rPr>
              <w:t>存出保证金</w:t>
            </w:r>
          </w:p>
        </w:tc>
        <w:tc>
          <w:tcPr>
            <w:tcW w:w="1262" w:type="dxa"/>
            <w:vAlign w:val="center"/>
          </w:tcPr>
          <w:p w14:paraId="224E8844"/>
        </w:tc>
        <w:tc>
          <w:tcPr>
            <w:tcW w:w="2289" w:type="dxa"/>
            <w:vAlign w:val="center"/>
          </w:tcPr>
          <w:p w14:paraId="42AD3CF1">
            <w:pPr>
              <w:jc w:val="right"/>
            </w:pPr>
            <w:r>
              <w:rPr>
                <w:rFonts w:hint="eastAsia"/>
              </w:rPr>
              <w:t>51,157.43</w:t>
            </w:r>
          </w:p>
        </w:tc>
        <w:tc>
          <w:tcPr>
            <w:tcW w:w="2295" w:type="dxa"/>
            <w:vAlign w:val="center"/>
          </w:tcPr>
          <w:p w14:paraId="294C1E95">
            <w:pPr>
              <w:jc w:val="right"/>
            </w:pPr>
            <w:r>
              <w:rPr>
                <w:rFonts w:hint="eastAsia"/>
              </w:rPr>
              <w:t>10,745.36</w:t>
            </w:r>
          </w:p>
        </w:tc>
      </w:tr>
      <w:tr w14:paraId="658A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BBB800">
            <w:r>
              <w:rPr>
                <w:rFonts w:hint="eastAsia"/>
              </w:rPr>
              <w:t>交易性金融资产</w:t>
            </w:r>
          </w:p>
        </w:tc>
        <w:tc>
          <w:tcPr>
            <w:tcW w:w="1262" w:type="dxa"/>
            <w:vAlign w:val="center"/>
          </w:tcPr>
          <w:p w14:paraId="2EA0A127">
            <w:r>
              <w:rPr>
                <w:rFonts w:hint="eastAsia"/>
              </w:rPr>
              <w:t>7.4.7.2</w:t>
            </w:r>
          </w:p>
        </w:tc>
        <w:tc>
          <w:tcPr>
            <w:tcW w:w="2289" w:type="dxa"/>
            <w:vAlign w:val="center"/>
          </w:tcPr>
          <w:p w14:paraId="40A7AC62">
            <w:pPr>
              <w:jc w:val="right"/>
            </w:pPr>
            <w:r>
              <w:rPr>
                <w:rFonts w:hint="eastAsia"/>
              </w:rPr>
              <w:t>254,249,873.66</w:t>
            </w:r>
          </w:p>
        </w:tc>
        <w:tc>
          <w:tcPr>
            <w:tcW w:w="2295" w:type="dxa"/>
            <w:vAlign w:val="center"/>
          </w:tcPr>
          <w:p w14:paraId="3A4C5DB5">
            <w:pPr>
              <w:jc w:val="right"/>
            </w:pPr>
            <w:r>
              <w:rPr>
                <w:rFonts w:hint="eastAsia"/>
              </w:rPr>
              <w:t>39,570,327.52</w:t>
            </w:r>
          </w:p>
        </w:tc>
      </w:tr>
      <w:tr w14:paraId="2ACC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6EE281">
            <w:r>
              <w:rPr>
                <w:rFonts w:hint="eastAsia"/>
              </w:rPr>
              <w:t>其中：股票投资</w:t>
            </w:r>
          </w:p>
        </w:tc>
        <w:tc>
          <w:tcPr>
            <w:tcW w:w="1262" w:type="dxa"/>
            <w:vAlign w:val="center"/>
          </w:tcPr>
          <w:p w14:paraId="12BACD0A"/>
        </w:tc>
        <w:tc>
          <w:tcPr>
            <w:tcW w:w="2289" w:type="dxa"/>
            <w:vAlign w:val="center"/>
          </w:tcPr>
          <w:p w14:paraId="64DD590C">
            <w:pPr>
              <w:jc w:val="right"/>
            </w:pPr>
            <w:r>
              <w:rPr>
                <w:rFonts w:hint="eastAsia"/>
              </w:rPr>
              <w:t>-</w:t>
            </w:r>
          </w:p>
        </w:tc>
        <w:tc>
          <w:tcPr>
            <w:tcW w:w="2295" w:type="dxa"/>
            <w:vAlign w:val="center"/>
          </w:tcPr>
          <w:p w14:paraId="2B6FA29B">
            <w:pPr>
              <w:jc w:val="right"/>
            </w:pPr>
            <w:r>
              <w:rPr>
                <w:rFonts w:hint="eastAsia"/>
              </w:rPr>
              <w:t>-</w:t>
            </w:r>
          </w:p>
        </w:tc>
      </w:tr>
      <w:tr w14:paraId="7A99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C4CB67">
            <w:r>
              <w:rPr>
                <w:rFonts w:hint="eastAsia"/>
              </w:rPr>
              <w:t xml:space="preserve">      基金投资</w:t>
            </w:r>
          </w:p>
        </w:tc>
        <w:tc>
          <w:tcPr>
            <w:tcW w:w="1262" w:type="dxa"/>
            <w:vAlign w:val="center"/>
          </w:tcPr>
          <w:p w14:paraId="237206C5"/>
        </w:tc>
        <w:tc>
          <w:tcPr>
            <w:tcW w:w="2289" w:type="dxa"/>
            <w:vAlign w:val="center"/>
          </w:tcPr>
          <w:p w14:paraId="150C244B">
            <w:pPr>
              <w:jc w:val="right"/>
            </w:pPr>
            <w:r>
              <w:rPr>
                <w:rFonts w:hint="eastAsia"/>
              </w:rPr>
              <w:t>254,249,873.66</w:t>
            </w:r>
          </w:p>
        </w:tc>
        <w:tc>
          <w:tcPr>
            <w:tcW w:w="2295" w:type="dxa"/>
            <w:vAlign w:val="center"/>
          </w:tcPr>
          <w:p w14:paraId="280D4E23">
            <w:pPr>
              <w:jc w:val="right"/>
            </w:pPr>
            <w:r>
              <w:rPr>
                <w:rFonts w:hint="eastAsia"/>
              </w:rPr>
              <w:t>37,664,951.42</w:t>
            </w:r>
          </w:p>
        </w:tc>
      </w:tr>
      <w:tr w14:paraId="5107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AD6ED8">
            <w:r>
              <w:rPr>
                <w:rFonts w:hint="eastAsia"/>
              </w:rPr>
              <w:t xml:space="preserve">      债券投资</w:t>
            </w:r>
          </w:p>
        </w:tc>
        <w:tc>
          <w:tcPr>
            <w:tcW w:w="1262" w:type="dxa"/>
            <w:vAlign w:val="center"/>
          </w:tcPr>
          <w:p w14:paraId="34B62822"/>
        </w:tc>
        <w:tc>
          <w:tcPr>
            <w:tcW w:w="2289" w:type="dxa"/>
            <w:vAlign w:val="center"/>
          </w:tcPr>
          <w:p w14:paraId="3119D68D">
            <w:pPr>
              <w:jc w:val="right"/>
            </w:pPr>
            <w:r>
              <w:rPr>
                <w:rFonts w:hint="eastAsia"/>
              </w:rPr>
              <w:t>-</w:t>
            </w:r>
          </w:p>
        </w:tc>
        <w:tc>
          <w:tcPr>
            <w:tcW w:w="2295" w:type="dxa"/>
            <w:vAlign w:val="center"/>
          </w:tcPr>
          <w:p w14:paraId="2A74E583">
            <w:pPr>
              <w:jc w:val="right"/>
            </w:pPr>
            <w:r>
              <w:rPr>
                <w:rFonts w:hint="eastAsia"/>
              </w:rPr>
              <w:t>1,905,376.10</w:t>
            </w:r>
          </w:p>
        </w:tc>
      </w:tr>
      <w:tr w14:paraId="40D30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E9D5A4">
            <w:r>
              <w:rPr>
                <w:rFonts w:hint="eastAsia"/>
              </w:rPr>
              <w:t xml:space="preserve">      资产支持证券投资</w:t>
            </w:r>
          </w:p>
        </w:tc>
        <w:tc>
          <w:tcPr>
            <w:tcW w:w="1262" w:type="dxa"/>
            <w:vAlign w:val="center"/>
          </w:tcPr>
          <w:p w14:paraId="12E37485"/>
        </w:tc>
        <w:tc>
          <w:tcPr>
            <w:tcW w:w="2289" w:type="dxa"/>
            <w:vAlign w:val="center"/>
          </w:tcPr>
          <w:p w14:paraId="694CAE16">
            <w:pPr>
              <w:jc w:val="right"/>
            </w:pPr>
            <w:r>
              <w:rPr>
                <w:rFonts w:hint="eastAsia"/>
              </w:rPr>
              <w:t>-</w:t>
            </w:r>
          </w:p>
        </w:tc>
        <w:tc>
          <w:tcPr>
            <w:tcW w:w="2295" w:type="dxa"/>
            <w:vAlign w:val="center"/>
          </w:tcPr>
          <w:p w14:paraId="5D7D1582">
            <w:pPr>
              <w:jc w:val="right"/>
            </w:pPr>
            <w:r>
              <w:rPr>
                <w:rFonts w:hint="eastAsia"/>
              </w:rPr>
              <w:t>-</w:t>
            </w:r>
          </w:p>
        </w:tc>
      </w:tr>
      <w:tr w14:paraId="2F27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2EC419">
            <w:r>
              <w:rPr>
                <w:rFonts w:hint="eastAsia"/>
              </w:rPr>
              <w:t xml:space="preserve">      贵金属投资</w:t>
            </w:r>
          </w:p>
        </w:tc>
        <w:tc>
          <w:tcPr>
            <w:tcW w:w="1262" w:type="dxa"/>
            <w:vAlign w:val="center"/>
          </w:tcPr>
          <w:p w14:paraId="227F9DC3"/>
        </w:tc>
        <w:tc>
          <w:tcPr>
            <w:tcW w:w="2289" w:type="dxa"/>
            <w:vAlign w:val="center"/>
          </w:tcPr>
          <w:p w14:paraId="2A17F003">
            <w:pPr>
              <w:jc w:val="right"/>
            </w:pPr>
            <w:r>
              <w:rPr>
                <w:rFonts w:hint="eastAsia"/>
              </w:rPr>
              <w:t>-</w:t>
            </w:r>
          </w:p>
        </w:tc>
        <w:tc>
          <w:tcPr>
            <w:tcW w:w="2295" w:type="dxa"/>
            <w:vAlign w:val="center"/>
          </w:tcPr>
          <w:p w14:paraId="61938336">
            <w:pPr>
              <w:jc w:val="right"/>
            </w:pPr>
            <w:r>
              <w:rPr>
                <w:rFonts w:hint="eastAsia"/>
              </w:rPr>
              <w:t>-</w:t>
            </w:r>
          </w:p>
        </w:tc>
      </w:tr>
      <w:tr w14:paraId="4AC1A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C9AFDC">
            <w:r>
              <w:rPr>
                <w:rFonts w:hint="eastAsia"/>
              </w:rPr>
              <w:t xml:space="preserve">      其他投资</w:t>
            </w:r>
          </w:p>
        </w:tc>
        <w:tc>
          <w:tcPr>
            <w:tcW w:w="1262" w:type="dxa"/>
            <w:vAlign w:val="center"/>
          </w:tcPr>
          <w:p w14:paraId="522B6D1C"/>
        </w:tc>
        <w:tc>
          <w:tcPr>
            <w:tcW w:w="2289" w:type="dxa"/>
            <w:vAlign w:val="center"/>
          </w:tcPr>
          <w:p w14:paraId="0B088CE4">
            <w:pPr>
              <w:jc w:val="right"/>
            </w:pPr>
            <w:r>
              <w:rPr>
                <w:rFonts w:hint="eastAsia"/>
              </w:rPr>
              <w:t>-</w:t>
            </w:r>
          </w:p>
        </w:tc>
        <w:tc>
          <w:tcPr>
            <w:tcW w:w="2295" w:type="dxa"/>
            <w:vAlign w:val="center"/>
          </w:tcPr>
          <w:p w14:paraId="34518CB1">
            <w:pPr>
              <w:jc w:val="right"/>
            </w:pPr>
            <w:r>
              <w:rPr>
                <w:rFonts w:hint="eastAsia"/>
              </w:rPr>
              <w:t>-</w:t>
            </w:r>
          </w:p>
        </w:tc>
      </w:tr>
      <w:tr w14:paraId="523A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268BCF">
            <w:r>
              <w:rPr>
                <w:rFonts w:hint="eastAsia"/>
              </w:rPr>
              <w:t>衍生金融资产</w:t>
            </w:r>
          </w:p>
        </w:tc>
        <w:tc>
          <w:tcPr>
            <w:tcW w:w="1262" w:type="dxa"/>
            <w:vAlign w:val="center"/>
          </w:tcPr>
          <w:p w14:paraId="20BF13E7">
            <w:r>
              <w:rPr>
                <w:rFonts w:hint="eastAsia"/>
              </w:rPr>
              <w:t>7.4.7.3</w:t>
            </w:r>
          </w:p>
        </w:tc>
        <w:tc>
          <w:tcPr>
            <w:tcW w:w="2289" w:type="dxa"/>
            <w:vAlign w:val="center"/>
          </w:tcPr>
          <w:p w14:paraId="59EE372D">
            <w:pPr>
              <w:jc w:val="right"/>
            </w:pPr>
            <w:r>
              <w:rPr>
                <w:rFonts w:hint="eastAsia"/>
              </w:rPr>
              <w:t>-</w:t>
            </w:r>
          </w:p>
        </w:tc>
        <w:tc>
          <w:tcPr>
            <w:tcW w:w="2295" w:type="dxa"/>
            <w:vAlign w:val="center"/>
          </w:tcPr>
          <w:p w14:paraId="71F2AC7D">
            <w:pPr>
              <w:jc w:val="right"/>
            </w:pPr>
            <w:r>
              <w:rPr>
                <w:rFonts w:hint="eastAsia"/>
              </w:rPr>
              <w:t>-</w:t>
            </w:r>
          </w:p>
        </w:tc>
      </w:tr>
      <w:tr w14:paraId="09B4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2632BB">
            <w:r>
              <w:rPr>
                <w:rFonts w:hint="eastAsia"/>
              </w:rPr>
              <w:t>买入返售金融资产</w:t>
            </w:r>
          </w:p>
        </w:tc>
        <w:tc>
          <w:tcPr>
            <w:tcW w:w="1262" w:type="dxa"/>
            <w:vAlign w:val="center"/>
          </w:tcPr>
          <w:p w14:paraId="2700CED6">
            <w:r>
              <w:rPr>
                <w:rFonts w:hint="eastAsia"/>
              </w:rPr>
              <w:t>7.4.7.4</w:t>
            </w:r>
          </w:p>
        </w:tc>
        <w:tc>
          <w:tcPr>
            <w:tcW w:w="2289" w:type="dxa"/>
            <w:vAlign w:val="center"/>
          </w:tcPr>
          <w:p w14:paraId="30148E4E">
            <w:pPr>
              <w:jc w:val="right"/>
            </w:pPr>
            <w:r>
              <w:rPr>
                <w:rFonts w:hint="eastAsia"/>
              </w:rPr>
              <w:t>-</w:t>
            </w:r>
          </w:p>
        </w:tc>
        <w:tc>
          <w:tcPr>
            <w:tcW w:w="2295" w:type="dxa"/>
            <w:vAlign w:val="center"/>
          </w:tcPr>
          <w:p w14:paraId="5FF44E82">
            <w:pPr>
              <w:jc w:val="right"/>
            </w:pPr>
            <w:r>
              <w:rPr>
                <w:rFonts w:hint="eastAsia"/>
              </w:rPr>
              <w:t>-</w:t>
            </w:r>
          </w:p>
        </w:tc>
      </w:tr>
      <w:tr w14:paraId="4469D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18421B">
            <w:r>
              <w:rPr>
                <w:rFonts w:hint="eastAsia"/>
              </w:rPr>
              <w:t>债权投资</w:t>
            </w:r>
          </w:p>
        </w:tc>
        <w:tc>
          <w:tcPr>
            <w:tcW w:w="1262" w:type="dxa"/>
            <w:vAlign w:val="center"/>
          </w:tcPr>
          <w:p w14:paraId="5823FF19"/>
        </w:tc>
        <w:tc>
          <w:tcPr>
            <w:tcW w:w="2289" w:type="dxa"/>
            <w:vAlign w:val="center"/>
          </w:tcPr>
          <w:p w14:paraId="75CFD072">
            <w:pPr>
              <w:jc w:val="right"/>
            </w:pPr>
            <w:r>
              <w:rPr>
                <w:rFonts w:hint="eastAsia"/>
              </w:rPr>
              <w:t>-</w:t>
            </w:r>
          </w:p>
        </w:tc>
        <w:tc>
          <w:tcPr>
            <w:tcW w:w="2295" w:type="dxa"/>
            <w:vAlign w:val="center"/>
          </w:tcPr>
          <w:p w14:paraId="5A9DED2E">
            <w:pPr>
              <w:jc w:val="right"/>
            </w:pPr>
            <w:r>
              <w:rPr>
                <w:rFonts w:hint="eastAsia"/>
              </w:rPr>
              <w:t>-</w:t>
            </w:r>
          </w:p>
        </w:tc>
      </w:tr>
      <w:tr w14:paraId="2B3D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5A979F">
            <w:r>
              <w:rPr>
                <w:rFonts w:hint="eastAsia"/>
              </w:rPr>
              <w:t>其中：债券投资</w:t>
            </w:r>
          </w:p>
        </w:tc>
        <w:tc>
          <w:tcPr>
            <w:tcW w:w="1262" w:type="dxa"/>
            <w:vAlign w:val="center"/>
          </w:tcPr>
          <w:p w14:paraId="2073A0A7"/>
        </w:tc>
        <w:tc>
          <w:tcPr>
            <w:tcW w:w="2289" w:type="dxa"/>
            <w:vAlign w:val="center"/>
          </w:tcPr>
          <w:p w14:paraId="5BD5EED5">
            <w:pPr>
              <w:jc w:val="right"/>
            </w:pPr>
            <w:r>
              <w:rPr>
                <w:rFonts w:hint="eastAsia"/>
              </w:rPr>
              <w:t>-</w:t>
            </w:r>
          </w:p>
        </w:tc>
        <w:tc>
          <w:tcPr>
            <w:tcW w:w="2295" w:type="dxa"/>
            <w:vAlign w:val="center"/>
          </w:tcPr>
          <w:p w14:paraId="7961326F">
            <w:pPr>
              <w:jc w:val="right"/>
            </w:pPr>
            <w:r>
              <w:rPr>
                <w:rFonts w:hint="eastAsia"/>
              </w:rPr>
              <w:t>-</w:t>
            </w:r>
          </w:p>
        </w:tc>
      </w:tr>
      <w:tr w14:paraId="581C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D77F98">
            <w:r>
              <w:rPr>
                <w:rFonts w:hint="eastAsia"/>
              </w:rPr>
              <w:t xml:space="preserve">      资产支持证券投资</w:t>
            </w:r>
          </w:p>
        </w:tc>
        <w:tc>
          <w:tcPr>
            <w:tcW w:w="1262" w:type="dxa"/>
            <w:vAlign w:val="center"/>
          </w:tcPr>
          <w:p w14:paraId="12414D1B"/>
        </w:tc>
        <w:tc>
          <w:tcPr>
            <w:tcW w:w="2289" w:type="dxa"/>
            <w:vAlign w:val="center"/>
          </w:tcPr>
          <w:p w14:paraId="54ECD754">
            <w:pPr>
              <w:jc w:val="right"/>
            </w:pPr>
            <w:r>
              <w:rPr>
                <w:rFonts w:hint="eastAsia"/>
              </w:rPr>
              <w:t>-</w:t>
            </w:r>
          </w:p>
        </w:tc>
        <w:tc>
          <w:tcPr>
            <w:tcW w:w="2295" w:type="dxa"/>
            <w:vAlign w:val="center"/>
          </w:tcPr>
          <w:p w14:paraId="46FBE7CE">
            <w:pPr>
              <w:jc w:val="right"/>
            </w:pPr>
            <w:r>
              <w:rPr>
                <w:rFonts w:hint="eastAsia"/>
              </w:rPr>
              <w:t>-</w:t>
            </w:r>
          </w:p>
        </w:tc>
      </w:tr>
      <w:tr w14:paraId="4245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EA3B02">
            <w:r>
              <w:rPr>
                <w:rFonts w:hint="eastAsia"/>
              </w:rPr>
              <w:t xml:space="preserve">      其他投资</w:t>
            </w:r>
          </w:p>
        </w:tc>
        <w:tc>
          <w:tcPr>
            <w:tcW w:w="1262" w:type="dxa"/>
            <w:vAlign w:val="center"/>
          </w:tcPr>
          <w:p w14:paraId="0D4AB79E"/>
        </w:tc>
        <w:tc>
          <w:tcPr>
            <w:tcW w:w="2289" w:type="dxa"/>
            <w:vAlign w:val="center"/>
          </w:tcPr>
          <w:p w14:paraId="353454F2">
            <w:pPr>
              <w:jc w:val="right"/>
            </w:pPr>
            <w:r>
              <w:rPr>
                <w:rFonts w:hint="eastAsia"/>
              </w:rPr>
              <w:t>-</w:t>
            </w:r>
          </w:p>
        </w:tc>
        <w:tc>
          <w:tcPr>
            <w:tcW w:w="2295" w:type="dxa"/>
            <w:vAlign w:val="center"/>
          </w:tcPr>
          <w:p w14:paraId="68FDC548">
            <w:pPr>
              <w:jc w:val="right"/>
            </w:pPr>
            <w:r>
              <w:rPr>
                <w:rFonts w:hint="eastAsia"/>
              </w:rPr>
              <w:t>-</w:t>
            </w:r>
          </w:p>
        </w:tc>
      </w:tr>
      <w:tr w14:paraId="43F4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D9A6B3">
            <w:r>
              <w:rPr>
                <w:rFonts w:hint="eastAsia"/>
              </w:rPr>
              <w:t>其他债权投资</w:t>
            </w:r>
          </w:p>
        </w:tc>
        <w:tc>
          <w:tcPr>
            <w:tcW w:w="1262" w:type="dxa"/>
            <w:vAlign w:val="center"/>
          </w:tcPr>
          <w:p w14:paraId="6C4DEFFF"/>
        </w:tc>
        <w:tc>
          <w:tcPr>
            <w:tcW w:w="2289" w:type="dxa"/>
            <w:vAlign w:val="center"/>
          </w:tcPr>
          <w:p w14:paraId="58044E35">
            <w:pPr>
              <w:jc w:val="right"/>
            </w:pPr>
            <w:r>
              <w:rPr>
                <w:rFonts w:hint="eastAsia"/>
              </w:rPr>
              <w:t>-</w:t>
            </w:r>
          </w:p>
        </w:tc>
        <w:tc>
          <w:tcPr>
            <w:tcW w:w="2295" w:type="dxa"/>
            <w:vAlign w:val="center"/>
          </w:tcPr>
          <w:p w14:paraId="37FF7B50">
            <w:pPr>
              <w:jc w:val="right"/>
            </w:pPr>
            <w:r>
              <w:rPr>
                <w:rFonts w:hint="eastAsia"/>
              </w:rPr>
              <w:t>-</w:t>
            </w:r>
          </w:p>
        </w:tc>
      </w:tr>
      <w:tr w14:paraId="67ED3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B7FC99">
            <w:r>
              <w:rPr>
                <w:rFonts w:hint="eastAsia"/>
              </w:rPr>
              <w:t>其他权益工具投资</w:t>
            </w:r>
          </w:p>
        </w:tc>
        <w:tc>
          <w:tcPr>
            <w:tcW w:w="1262" w:type="dxa"/>
            <w:vAlign w:val="center"/>
          </w:tcPr>
          <w:p w14:paraId="7D342D5E"/>
        </w:tc>
        <w:tc>
          <w:tcPr>
            <w:tcW w:w="2289" w:type="dxa"/>
            <w:vAlign w:val="center"/>
          </w:tcPr>
          <w:p w14:paraId="6326D151">
            <w:pPr>
              <w:jc w:val="right"/>
            </w:pPr>
            <w:r>
              <w:rPr>
                <w:rFonts w:hint="eastAsia"/>
              </w:rPr>
              <w:t>-</w:t>
            </w:r>
          </w:p>
        </w:tc>
        <w:tc>
          <w:tcPr>
            <w:tcW w:w="2295" w:type="dxa"/>
            <w:vAlign w:val="center"/>
          </w:tcPr>
          <w:p w14:paraId="00E70143">
            <w:pPr>
              <w:jc w:val="right"/>
            </w:pPr>
            <w:r>
              <w:rPr>
                <w:rFonts w:hint="eastAsia"/>
              </w:rPr>
              <w:t>-</w:t>
            </w:r>
          </w:p>
        </w:tc>
      </w:tr>
      <w:tr w14:paraId="331B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87D739">
            <w:r>
              <w:rPr>
                <w:rFonts w:hint="eastAsia"/>
              </w:rPr>
              <w:t>应收清算款</w:t>
            </w:r>
          </w:p>
        </w:tc>
        <w:tc>
          <w:tcPr>
            <w:tcW w:w="1262" w:type="dxa"/>
            <w:vAlign w:val="center"/>
          </w:tcPr>
          <w:p w14:paraId="24CA67A9"/>
        </w:tc>
        <w:tc>
          <w:tcPr>
            <w:tcW w:w="2289" w:type="dxa"/>
            <w:vAlign w:val="center"/>
          </w:tcPr>
          <w:p w14:paraId="324A146C">
            <w:pPr>
              <w:jc w:val="right"/>
            </w:pPr>
            <w:r>
              <w:rPr>
                <w:rFonts w:hint="eastAsia"/>
              </w:rPr>
              <w:t>2,499,867.99</w:t>
            </w:r>
          </w:p>
        </w:tc>
        <w:tc>
          <w:tcPr>
            <w:tcW w:w="2295" w:type="dxa"/>
            <w:vAlign w:val="center"/>
          </w:tcPr>
          <w:p w14:paraId="6F17D1FB">
            <w:pPr>
              <w:jc w:val="right"/>
            </w:pPr>
            <w:r>
              <w:rPr>
                <w:rFonts w:hint="eastAsia"/>
              </w:rPr>
              <w:t>-</w:t>
            </w:r>
          </w:p>
        </w:tc>
      </w:tr>
      <w:tr w14:paraId="2016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BCC0F3">
            <w:r>
              <w:rPr>
                <w:rFonts w:hint="eastAsia"/>
              </w:rPr>
              <w:t>应收股利</w:t>
            </w:r>
          </w:p>
        </w:tc>
        <w:tc>
          <w:tcPr>
            <w:tcW w:w="1262" w:type="dxa"/>
            <w:vAlign w:val="center"/>
          </w:tcPr>
          <w:p w14:paraId="3D24CB81"/>
        </w:tc>
        <w:tc>
          <w:tcPr>
            <w:tcW w:w="2289" w:type="dxa"/>
            <w:vAlign w:val="center"/>
          </w:tcPr>
          <w:p w14:paraId="17FF645D">
            <w:pPr>
              <w:jc w:val="right"/>
            </w:pPr>
            <w:r>
              <w:rPr>
                <w:rFonts w:hint="eastAsia"/>
              </w:rPr>
              <w:t>-</w:t>
            </w:r>
          </w:p>
        </w:tc>
        <w:tc>
          <w:tcPr>
            <w:tcW w:w="2295" w:type="dxa"/>
            <w:vAlign w:val="center"/>
          </w:tcPr>
          <w:p w14:paraId="7073F4CD">
            <w:pPr>
              <w:jc w:val="right"/>
            </w:pPr>
            <w:r>
              <w:rPr>
                <w:rFonts w:hint="eastAsia"/>
              </w:rPr>
              <w:t>-</w:t>
            </w:r>
          </w:p>
        </w:tc>
      </w:tr>
      <w:tr w14:paraId="4E8A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95A2F9">
            <w:r>
              <w:rPr>
                <w:rFonts w:hint="eastAsia"/>
              </w:rPr>
              <w:t>应收申购款</w:t>
            </w:r>
          </w:p>
        </w:tc>
        <w:tc>
          <w:tcPr>
            <w:tcW w:w="1262" w:type="dxa"/>
            <w:vAlign w:val="center"/>
          </w:tcPr>
          <w:p w14:paraId="61B4F18D"/>
        </w:tc>
        <w:tc>
          <w:tcPr>
            <w:tcW w:w="2289" w:type="dxa"/>
            <w:vAlign w:val="center"/>
          </w:tcPr>
          <w:p w14:paraId="4913D7D0">
            <w:pPr>
              <w:jc w:val="right"/>
            </w:pPr>
            <w:r>
              <w:rPr>
                <w:rFonts w:hint="eastAsia"/>
              </w:rPr>
              <w:t>5,645,812.00</w:t>
            </w:r>
          </w:p>
        </w:tc>
        <w:tc>
          <w:tcPr>
            <w:tcW w:w="2295" w:type="dxa"/>
            <w:vAlign w:val="center"/>
          </w:tcPr>
          <w:p w14:paraId="54D9DC9C">
            <w:pPr>
              <w:jc w:val="right"/>
            </w:pPr>
            <w:r>
              <w:rPr>
                <w:rFonts w:hint="eastAsia"/>
              </w:rPr>
              <w:t>620,482.49</w:t>
            </w:r>
          </w:p>
        </w:tc>
      </w:tr>
      <w:tr w14:paraId="577D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21CDA9">
            <w:r>
              <w:rPr>
                <w:rFonts w:hint="eastAsia"/>
              </w:rPr>
              <w:t>递延所得税资产</w:t>
            </w:r>
          </w:p>
        </w:tc>
        <w:tc>
          <w:tcPr>
            <w:tcW w:w="1262" w:type="dxa"/>
            <w:vAlign w:val="center"/>
          </w:tcPr>
          <w:p w14:paraId="17ADBE26"/>
        </w:tc>
        <w:tc>
          <w:tcPr>
            <w:tcW w:w="2289" w:type="dxa"/>
            <w:vAlign w:val="center"/>
          </w:tcPr>
          <w:p w14:paraId="54DD5B14">
            <w:pPr>
              <w:jc w:val="right"/>
            </w:pPr>
            <w:r>
              <w:rPr>
                <w:rFonts w:hint="eastAsia"/>
              </w:rPr>
              <w:t>-</w:t>
            </w:r>
          </w:p>
        </w:tc>
        <w:tc>
          <w:tcPr>
            <w:tcW w:w="2295" w:type="dxa"/>
            <w:vAlign w:val="center"/>
          </w:tcPr>
          <w:p w14:paraId="45F3DDF8">
            <w:pPr>
              <w:jc w:val="right"/>
            </w:pPr>
            <w:r>
              <w:rPr>
                <w:rFonts w:hint="eastAsia"/>
              </w:rPr>
              <w:t>-</w:t>
            </w:r>
          </w:p>
        </w:tc>
      </w:tr>
      <w:tr w14:paraId="4114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8F6C90">
            <w:r>
              <w:rPr>
                <w:rFonts w:hint="eastAsia"/>
              </w:rPr>
              <w:t>其他资产</w:t>
            </w:r>
          </w:p>
        </w:tc>
        <w:tc>
          <w:tcPr>
            <w:tcW w:w="1262" w:type="dxa"/>
            <w:vAlign w:val="center"/>
          </w:tcPr>
          <w:p w14:paraId="5DF5F802">
            <w:r>
              <w:rPr>
                <w:rFonts w:hint="eastAsia"/>
              </w:rPr>
              <w:t>7.4.7.5</w:t>
            </w:r>
          </w:p>
        </w:tc>
        <w:tc>
          <w:tcPr>
            <w:tcW w:w="2289" w:type="dxa"/>
            <w:vAlign w:val="center"/>
          </w:tcPr>
          <w:p w14:paraId="325C0B88">
            <w:pPr>
              <w:jc w:val="right"/>
            </w:pPr>
            <w:r>
              <w:rPr>
                <w:rFonts w:hint="eastAsia"/>
              </w:rPr>
              <w:t>-</w:t>
            </w:r>
          </w:p>
        </w:tc>
        <w:tc>
          <w:tcPr>
            <w:tcW w:w="2295" w:type="dxa"/>
            <w:vAlign w:val="center"/>
          </w:tcPr>
          <w:p w14:paraId="39D4D324">
            <w:pPr>
              <w:jc w:val="right"/>
            </w:pPr>
            <w:r>
              <w:rPr>
                <w:rFonts w:hint="eastAsia"/>
              </w:rPr>
              <w:t>-</w:t>
            </w:r>
          </w:p>
        </w:tc>
      </w:tr>
      <w:tr w14:paraId="14E5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77D222">
            <w:r>
              <w:rPr>
                <w:rFonts w:hint="eastAsia"/>
              </w:rPr>
              <w:t>资产总计</w:t>
            </w:r>
          </w:p>
        </w:tc>
        <w:tc>
          <w:tcPr>
            <w:tcW w:w="1262" w:type="dxa"/>
            <w:vAlign w:val="center"/>
          </w:tcPr>
          <w:p w14:paraId="4FEFA7A5"/>
        </w:tc>
        <w:tc>
          <w:tcPr>
            <w:tcW w:w="2289" w:type="dxa"/>
            <w:vAlign w:val="center"/>
          </w:tcPr>
          <w:p w14:paraId="12BE1F56">
            <w:pPr>
              <w:jc w:val="right"/>
            </w:pPr>
            <w:r>
              <w:rPr>
                <w:rFonts w:hint="eastAsia"/>
              </w:rPr>
              <w:t>288,717,902.71</w:t>
            </w:r>
          </w:p>
        </w:tc>
        <w:tc>
          <w:tcPr>
            <w:tcW w:w="2295" w:type="dxa"/>
            <w:vAlign w:val="center"/>
          </w:tcPr>
          <w:p w14:paraId="5635925E">
            <w:pPr>
              <w:jc w:val="right"/>
            </w:pPr>
            <w:r>
              <w:rPr>
                <w:rFonts w:hint="eastAsia"/>
              </w:rPr>
              <w:t>44,991,174.78</w:t>
            </w:r>
          </w:p>
        </w:tc>
      </w:tr>
      <w:tr w14:paraId="3758E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7E9C63">
            <w:r>
              <w:rPr>
                <w:rFonts w:hint="eastAsia"/>
              </w:rPr>
              <w:t>负债和净资产</w:t>
            </w:r>
          </w:p>
        </w:tc>
        <w:tc>
          <w:tcPr>
            <w:tcW w:w="1262" w:type="dxa"/>
            <w:vAlign w:val="center"/>
          </w:tcPr>
          <w:p w14:paraId="5BC8AC0E">
            <w:r>
              <w:rPr>
                <w:rFonts w:hint="eastAsia"/>
              </w:rPr>
              <w:t>附注号</w:t>
            </w:r>
          </w:p>
        </w:tc>
        <w:tc>
          <w:tcPr>
            <w:tcW w:w="2289" w:type="dxa"/>
            <w:vAlign w:val="center"/>
          </w:tcPr>
          <w:p w14:paraId="0CCD832D">
            <w:r>
              <w:rPr>
                <w:rFonts w:hint="eastAsia"/>
              </w:rPr>
              <w:t>本期末2025年12月31日</w:t>
            </w:r>
          </w:p>
        </w:tc>
        <w:tc>
          <w:tcPr>
            <w:tcW w:w="2295" w:type="dxa"/>
            <w:vAlign w:val="center"/>
          </w:tcPr>
          <w:p w14:paraId="6B4B990C">
            <w:r>
              <w:rPr>
                <w:rFonts w:hint="eastAsia"/>
              </w:rPr>
              <w:t>上年度末2024年12月31日</w:t>
            </w:r>
          </w:p>
        </w:tc>
      </w:tr>
      <w:tr w14:paraId="569A3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FBED7E">
            <w:r>
              <w:rPr>
                <w:rFonts w:hint="eastAsia"/>
              </w:rPr>
              <w:t>负债：</w:t>
            </w:r>
          </w:p>
        </w:tc>
        <w:tc>
          <w:tcPr>
            <w:tcW w:w="1262" w:type="dxa"/>
            <w:vAlign w:val="center"/>
          </w:tcPr>
          <w:p w14:paraId="39461213"/>
        </w:tc>
        <w:tc>
          <w:tcPr>
            <w:tcW w:w="2289" w:type="dxa"/>
            <w:vAlign w:val="center"/>
          </w:tcPr>
          <w:p w14:paraId="2E054409"/>
        </w:tc>
        <w:tc>
          <w:tcPr>
            <w:tcW w:w="2295" w:type="dxa"/>
            <w:vAlign w:val="center"/>
          </w:tcPr>
          <w:p w14:paraId="04F37027"/>
        </w:tc>
      </w:tr>
      <w:tr w14:paraId="3027B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F9423D">
            <w:r>
              <w:rPr>
                <w:rFonts w:hint="eastAsia"/>
              </w:rPr>
              <w:t>短期借款</w:t>
            </w:r>
          </w:p>
        </w:tc>
        <w:tc>
          <w:tcPr>
            <w:tcW w:w="1262" w:type="dxa"/>
            <w:vAlign w:val="center"/>
          </w:tcPr>
          <w:p w14:paraId="7F49137D"/>
        </w:tc>
        <w:tc>
          <w:tcPr>
            <w:tcW w:w="2289" w:type="dxa"/>
            <w:vAlign w:val="center"/>
          </w:tcPr>
          <w:p w14:paraId="02230846">
            <w:pPr>
              <w:jc w:val="right"/>
            </w:pPr>
            <w:r>
              <w:rPr>
                <w:rFonts w:hint="eastAsia"/>
              </w:rPr>
              <w:t>-</w:t>
            </w:r>
          </w:p>
        </w:tc>
        <w:tc>
          <w:tcPr>
            <w:tcW w:w="2295" w:type="dxa"/>
            <w:vAlign w:val="center"/>
          </w:tcPr>
          <w:p w14:paraId="50FB65EA">
            <w:pPr>
              <w:jc w:val="right"/>
            </w:pPr>
            <w:r>
              <w:rPr>
                <w:rFonts w:hint="eastAsia"/>
              </w:rPr>
              <w:t>-</w:t>
            </w:r>
          </w:p>
        </w:tc>
      </w:tr>
      <w:tr w14:paraId="18ED3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D8CB4F">
            <w:r>
              <w:rPr>
                <w:rFonts w:hint="eastAsia"/>
              </w:rPr>
              <w:t>交易性金融负债</w:t>
            </w:r>
          </w:p>
        </w:tc>
        <w:tc>
          <w:tcPr>
            <w:tcW w:w="1262" w:type="dxa"/>
            <w:vAlign w:val="center"/>
          </w:tcPr>
          <w:p w14:paraId="1CAB7B0C"/>
        </w:tc>
        <w:tc>
          <w:tcPr>
            <w:tcW w:w="2289" w:type="dxa"/>
            <w:vAlign w:val="center"/>
          </w:tcPr>
          <w:p w14:paraId="5238C825">
            <w:pPr>
              <w:jc w:val="right"/>
            </w:pPr>
            <w:r>
              <w:rPr>
                <w:rFonts w:hint="eastAsia"/>
              </w:rPr>
              <w:t>-</w:t>
            </w:r>
          </w:p>
        </w:tc>
        <w:tc>
          <w:tcPr>
            <w:tcW w:w="2295" w:type="dxa"/>
            <w:vAlign w:val="center"/>
          </w:tcPr>
          <w:p w14:paraId="4A83F3D2">
            <w:pPr>
              <w:jc w:val="right"/>
            </w:pPr>
            <w:r>
              <w:rPr>
                <w:rFonts w:hint="eastAsia"/>
              </w:rPr>
              <w:t>-</w:t>
            </w:r>
          </w:p>
        </w:tc>
      </w:tr>
      <w:tr w14:paraId="37DF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E80529">
            <w:r>
              <w:rPr>
                <w:rFonts w:hint="eastAsia"/>
              </w:rPr>
              <w:t>衍生金融负债</w:t>
            </w:r>
          </w:p>
        </w:tc>
        <w:tc>
          <w:tcPr>
            <w:tcW w:w="1262" w:type="dxa"/>
            <w:vAlign w:val="center"/>
          </w:tcPr>
          <w:p w14:paraId="3A0A1649">
            <w:r>
              <w:rPr>
                <w:rFonts w:hint="eastAsia"/>
              </w:rPr>
              <w:t>7.4.7.3</w:t>
            </w:r>
          </w:p>
        </w:tc>
        <w:tc>
          <w:tcPr>
            <w:tcW w:w="2289" w:type="dxa"/>
            <w:vAlign w:val="center"/>
          </w:tcPr>
          <w:p w14:paraId="2390AB11">
            <w:pPr>
              <w:jc w:val="right"/>
            </w:pPr>
            <w:r>
              <w:rPr>
                <w:rFonts w:hint="eastAsia"/>
              </w:rPr>
              <w:t>-</w:t>
            </w:r>
          </w:p>
        </w:tc>
        <w:tc>
          <w:tcPr>
            <w:tcW w:w="2295" w:type="dxa"/>
            <w:vAlign w:val="center"/>
          </w:tcPr>
          <w:p w14:paraId="77F27995">
            <w:pPr>
              <w:jc w:val="right"/>
            </w:pPr>
            <w:r>
              <w:rPr>
                <w:rFonts w:hint="eastAsia"/>
              </w:rPr>
              <w:t>-</w:t>
            </w:r>
          </w:p>
        </w:tc>
      </w:tr>
      <w:tr w14:paraId="3329D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00A506">
            <w:r>
              <w:rPr>
                <w:rFonts w:hint="eastAsia"/>
              </w:rPr>
              <w:t>卖出回购金融资产款</w:t>
            </w:r>
          </w:p>
        </w:tc>
        <w:tc>
          <w:tcPr>
            <w:tcW w:w="1262" w:type="dxa"/>
            <w:vAlign w:val="center"/>
          </w:tcPr>
          <w:p w14:paraId="00B36F07"/>
        </w:tc>
        <w:tc>
          <w:tcPr>
            <w:tcW w:w="2289" w:type="dxa"/>
            <w:vAlign w:val="center"/>
          </w:tcPr>
          <w:p w14:paraId="2F8503B7">
            <w:pPr>
              <w:jc w:val="right"/>
            </w:pPr>
            <w:r>
              <w:rPr>
                <w:rFonts w:hint="eastAsia"/>
              </w:rPr>
              <w:t>-</w:t>
            </w:r>
          </w:p>
        </w:tc>
        <w:tc>
          <w:tcPr>
            <w:tcW w:w="2295" w:type="dxa"/>
            <w:vAlign w:val="center"/>
          </w:tcPr>
          <w:p w14:paraId="4583F93E">
            <w:pPr>
              <w:jc w:val="right"/>
            </w:pPr>
            <w:r>
              <w:rPr>
                <w:rFonts w:hint="eastAsia"/>
              </w:rPr>
              <w:t>500,365.95</w:t>
            </w:r>
          </w:p>
        </w:tc>
      </w:tr>
      <w:tr w14:paraId="1084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EB5BBC">
            <w:r>
              <w:rPr>
                <w:rFonts w:hint="eastAsia"/>
              </w:rPr>
              <w:t>应付清算款</w:t>
            </w:r>
          </w:p>
        </w:tc>
        <w:tc>
          <w:tcPr>
            <w:tcW w:w="1262" w:type="dxa"/>
            <w:vAlign w:val="center"/>
          </w:tcPr>
          <w:p w14:paraId="5E36E363"/>
        </w:tc>
        <w:tc>
          <w:tcPr>
            <w:tcW w:w="2289" w:type="dxa"/>
            <w:vAlign w:val="center"/>
          </w:tcPr>
          <w:p w14:paraId="73C1FFAB">
            <w:pPr>
              <w:jc w:val="right"/>
            </w:pPr>
            <w:r>
              <w:rPr>
                <w:rFonts w:hint="eastAsia"/>
              </w:rPr>
              <w:t>-</w:t>
            </w:r>
          </w:p>
        </w:tc>
        <w:tc>
          <w:tcPr>
            <w:tcW w:w="2295" w:type="dxa"/>
            <w:vAlign w:val="center"/>
          </w:tcPr>
          <w:p w14:paraId="586A983F">
            <w:pPr>
              <w:jc w:val="right"/>
            </w:pPr>
            <w:r>
              <w:rPr>
                <w:rFonts w:hint="eastAsia"/>
              </w:rPr>
              <w:t>-</w:t>
            </w:r>
          </w:p>
        </w:tc>
      </w:tr>
      <w:tr w14:paraId="700F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0A0B88">
            <w:r>
              <w:rPr>
                <w:rFonts w:hint="eastAsia"/>
              </w:rPr>
              <w:t>应付赎回款</w:t>
            </w:r>
          </w:p>
        </w:tc>
        <w:tc>
          <w:tcPr>
            <w:tcW w:w="1262" w:type="dxa"/>
            <w:vAlign w:val="center"/>
          </w:tcPr>
          <w:p w14:paraId="03EABC0B"/>
        </w:tc>
        <w:tc>
          <w:tcPr>
            <w:tcW w:w="2289" w:type="dxa"/>
            <w:vAlign w:val="center"/>
          </w:tcPr>
          <w:p w14:paraId="19FB5907">
            <w:pPr>
              <w:jc w:val="right"/>
            </w:pPr>
            <w:r>
              <w:rPr>
                <w:rFonts w:hint="eastAsia"/>
              </w:rPr>
              <w:t>18,653,649.02</w:t>
            </w:r>
          </w:p>
        </w:tc>
        <w:tc>
          <w:tcPr>
            <w:tcW w:w="2295" w:type="dxa"/>
            <w:vAlign w:val="center"/>
          </w:tcPr>
          <w:p w14:paraId="5160D468">
            <w:pPr>
              <w:jc w:val="right"/>
            </w:pPr>
            <w:r>
              <w:rPr>
                <w:rFonts w:hint="eastAsia"/>
              </w:rPr>
              <w:t>4,731,501.53</w:t>
            </w:r>
          </w:p>
        </w:tc>
      </w:tr>
      <w:tr w14:paraId="74C4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D909C5">
            <w:r>
              <w:rPr>
                <w:rFonts w:hint="eastAsia"/>
              </w:rPr>
              <w:t>应付管理人报酬</w:t>
            </w:r>
          </w:p>
        </w:tc>
        <w:tc>
          <w:tcPr>
            <w:tcW w:w="1262" w:type="dxa"/>
            <w:vAlign w:val="center"/>
          </w:tcPr>
          <w:p w14:paraId="02E95760"/>
        </w:tc>
        <w:tc>
          <w:tcPr>
            <w:tcW w:w="2289" w:type="dxa"/>
            <w:vAlign w:val="center"/>
          </w:tcPr>
          <w:p w14:paraId="54A016F7">
            <w:pPr>
              <w:jc w:val="right"/>
            </w:pPr>
            <w:r>
              <w:rPr>
                <w:rFonts w:hint="eastAsia"/>
              </w:rPr>
              <w:t>2,859.46</w:t>
            </w:r>
          </w:p>
        </w:tc>
        <w:tc>
          <w:tcPr>
            <w:tcW w:w="2295" w:type="dxa"/>
            <w:vAlign w:val="center"/>
          </w:tcPr>
          <w:p w14:paraId="79951006">
            <w:pPr>
              <w:jc w:val="right"/>
            </w:pPr>
            <w:r>
              <w:rPr>
                <w:rFonts w:hint="eastAsia"/>
              </w:rPr>
              <w:t>357.74</w:t>
            </w:r>
          </w:p>
        </w:tc>
      </w:tr>
      <w:tr w14:paraId="7A56F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3CF761">
            <w:r>
              <w:rPr>
                <w:rFonts w:hint="eastAsia"/>
              </w:rPr>
              <w:t>应付托管费</w:t>
            </w:r>
          </w:p>
        </w:tc>
        <w:tc>
          <w:tcPr>
            <w:tcW w:w="1262" w:type="dxa"/>
            <w:vAlign w:val="center"/>
          </w:tcPr>
          <w:p w14:paraId="40FFAC06"/>
        </w:tc>
        <w:tc>
          <w:tcPr>
            <w:tcW w:w="2289" w:type="dxa"/>
            <w:vAlign w:val="center"/>
          </w:tcPr>
          <w:p w14:paraId="568D37E7">
            <w:pPr>
              <w:jc w:val="right"/>
            </w:pPr>
            <w:r>
              <w:rPr>
                <w:rFonts w:hint="eastAsia"/>
              </w:rPr>
              <w:t>714.87</w:t>
            </w:r>
          </w:p>
        </w:tc>
        <w:tc>
          <w:tcPr>
            <w:tcW w:w="2295" w:type="dxa"/>
            <w:vAlign w:val="center"/>
          </w:tcPr>
          <w:p w14:paraId="490F9779">
            <w:pPr>
              <w:jc w:val="right"/>
            </w:pPr>
            <w:r>
              <w:rPr>
                <w:rFonts w:hint="eastAsia"/>
              </w:rPr>
              <w:t>89.47</w:t>
            </w:r>
          </w:p>
        </w:tc>
      </w:tr>
      <w:tr w14:paraId="2C200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EF60FE">
            <w:r>
              <w:rPr>
                <w:rFonts w:hint="eastAsia"/>
              </w:rPr>
              <w:t>应付销售服务费</w:t>
            </w:r>
          </w:p>
        </w:tc>
        <w:tc>
          <w:tcPr>
            <w:tcW w:w="1262" w:type="dxa"/>
            <w:vAlign w:val="center"/>
          </w:tcPr>
          <w:p w14:paraId="3333E246"/>
        </w:tc>
        <w:tc>
          <w:tcPr>
            <w:tcW w:w="2289" w:type="dxa"/>
            <w:vAlign w:val="center"/>
          </w:tcPr>
          <w:p w14:paraId="1A2BB26F">
            <w:pPr>
              <w:jc w:val="right"/>
            </w:pPr>
            <w:r>
              <w:rPr>
                <w:rFonts w:hint="eastAsia"/>
              </w:rPr>
              <w:t>37,036.64</w:t>
            </w:r>
          </w:p>
        </w:tc>
        <w:tc>
          <w:tcPr>
            <w:tcW w:w="2295" w:type="dxa"/>
            <w:vAlign w:val="center"/>
          </w:tcPr>
          <w:p w14:paraId="12D8E6D0">
            <w:pPr>
              <w:jc w:val="right"/>
            </w:pPr>
            <w:r>
              <w:rPr>
                <w:rFonts w:hint="eastAsia"/>
              </w:rPr>
              <w:t>3,301.47</w:t>
            </w:r>
          </w:p>
        </w:tc>
      </w:tr>
      <w:tr w14:paraId="4F59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67A4A2">
            <w:r>
              <w:rPr>
                <w:rFonts w:hint="eastAsia"/>
              </w:rPr>
              <w:t>应付投资顾问费</w:t>
            </w:r>
          </w:p>
        </w:tc>
        <w:tc>
          <w:tcPr>
            <w:tcW w:w="1262" w:type="dxa"/>
            <w:vAlign w:val="center"/>
          </w:tcPr>
          <w:p w14:paraId="42D29025"/>
        </w:tc>
        <w:tc>
          <w:tcPr>
            <w:tcW w:w="2289" w:type="dxa"/>
            <w:vAlign w:val="center"/>
          </w:tcPr>
          <w:p w14:paraId="4F700464">
            <w:pPr>
              <w:jc w:val="right"/>
            </w:pPr>
            <w:r>
              <w:rPr>
                <w:rFonts w:hint="eastAsia"/>
              </w:rPr>
              <w:t>-</w:t>
            </w:r>
          </w:p>
        </w:tc>
        <w:tc>
          <w:tcPr>
            <w:tcW w:w="2295" w:type="dxa"/>
            <w:vAlign w:val="center"/>
          </w:tcPr>
          <w:p w14:paraId="74FD3D20">
            <w:pPr>
              <w:jc w:val="right"/>
            </w:pPr>
            <w:r>
              <w:rPr>
                <w:rFonts w:hint="eastAsia"/>
              </w:rPr>
              <w:t>-</w:t>
            </w:r>
          </w:p>
        </w:tc>
      </w:tr>
      <w:tr w14:paraId="5CE1A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8B14E7">
            <w:r>
              <w:rPr>
                <w:rFonts w:hint="eastAsia"/>
              </w:rPr>
              <w:t>应交税费</w:t>
            </w:r>
          </w:p>
        </w:tc>
        <w:tc>
          <w:tcPr>
            <w:tcW w:w="1262" w:type="dxa"/>
            <w:vAlign w:val="center"/>
          </w:tcPr>
          <w:p w14:paraId="00CCA07F"/>
        </w:tc>
        <w:tc>
          <w:tcPr>
            <w:tcW w:w="2289" w:type="dxa"/>
            <w:vAlign w:val="center"/>
          </w:tcPr>
          <w:p w14:paraId="36E55988">
            <w:pPr>
              <w:jc w:val="right"/>
            </w:pPr>
            <w:r>
              <w:rPr>
                <w:rFonts w:hint="eastAsia"/>
              </w:rPr>
              <w:t>19,370.29</w:t>
            </w:r>
          </w:p>
        </w:tc>
        <w:tc>
          <w:tcPr>
            <w:tcW w:w="2295" w:type="dxa"/>
            <w:vAlign w:val="center"/>
          </w:tcPr>
          <w:p w14:paraId="448A1536">
            <w:pPr>
              <w:jc w:val="right"/>
            </w:pPr>
            <w:r>
              <w:rPr>
                <w:rFonts w:hint="eastAsia"/>
              </w:rPr>
              <w:t>3,690.50</w:t>
            </w:r>
          </w:p>
        </w:tc>
      </w:tr>
      <w:tr w14:paraId="5BE8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10C12D">
            <w:r>
              <w:rPr>
                <w:rFonts w:hint="eastAsia"/>
              </w:rPr>
              <w:t>应付利润</w:t>
            </w:r>
          </w:p>
        </w:tc>
        <w:tc>
          <w:tcPr>
            <w:tcW w:w="1262" w:type="dxa"/>
            <w:vAlign w:val="center"/>
          </w:tcPr>
          <w:p w14:paraId="532222A1"/>
        </w:tc>
        <w:tc>
          <w:tcPr>
            <w:tcW w:w="2289" w:type="dxa"/>
            <w:vAlign w:val="center"/>
          </w:tcPr>
          <w:p w14:paraId="7CD008A0">
            <w:pPr>
              <w:jc w:val="right"/>
            </w:pPr>
            <w:r>
              <w:rPr>
                <w:rFonts w:hint="eastAsia"/>
              </w:rPr>
              <w:t>-</w:t>
            </w:r>
          </w:p>
        </w:tc>
        <w:tc>
          <w:tcPr>
            <w:tcW w:w="2295" w:type="dxa"/>
            <w:vAlign w:val="center"/>
          </w:tcPr>
          <w:p w14:paraId="16DAE6A6">
            <w:pPr>
              <w:jc w:val="right"/>
            </w:pPr>
            <w:r>
              <w:rPr>
                <w:rFonts w:hint="eastAsia"/>
              </w:rPr>
              <w:t>-</w:t>
            </w:r>
          </w:p>
        </w:tc>
      </w:tr>
      <w:tr w14:paraId="59F7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CDF598">
            <w:r>
              <w:rPr>
                <w:rFonts w:hint="eastAsia"/>
              </w:rPr>
              <w:t>递延所得税负债</w:t>
            </w:r>
          </w:p>
        </w:tc>
        <w:tc>
          <w:tcPr>
            <w:tcW w:w="1262" w:type="dxa"/>
            <w:vAlign w:val="center"/>
          </w:tcPr>
          <w:p w14:paraId="2D95FB8C"/>
        </w:tc>
        <w:tc>
          <w:tcPr>
            <w:tcW w:w="2289" w:type="dxa"/>
            <w:vAlign w:val="center"/>
          </w:tcPr>
          <w:p w14:paraId="3A9F9D48">
            <w:pPr>
              <w:jc w:val="right"/>
            </w:pPr>
            <w:r>
              <w:rPr>
                <w:rFonts w:hint="eastAsia"/>
              </w:rPr>
              <w:t>-</w:t>
            </w:r>
          </w:p>
        </w:tc>
        <w:tc>
          <w:tcPr>
            <w:tcW w:w="2295" w:type="dxa"/>
            <w:vAlign w:val="center"/>
          </w:tcPr>
          <w:p w14:paraId="3D0E5613">
            <w:pPr>
              <w:jc w:val="right"/>
            </w:pPr>
            <w:r>
              <w:rPr>
                <w:rFonts w:hint="eastAsia"/>
              </w:rPr>
              <w:t>-</w:t>
            </w:r>
          </w:p>
        </w:tc>
      </w:tr>
      <w:tr w14:paraId="12102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B691A1">
            <w:r>
              <w:rPr>
                <w:rFonts w:hint="eastAsia"/>
              </w:rPr>
              <w:t>其他负债</w:t>
            </w:r>
          </w:p>
        </w:tc>
        <w:tc>
          <w:tcPr>
            <w:tcW w:w="1262" w:type="dxa"/>
            <w:vAlign w:val="center"/>
          </w:tcPr>
          <w:p w14:paraId="5BA09478">
            <w:r>
              <w:rPr>
                <w:rFonts w:hint="eastAsia"/>
              </w:rPr>
              <w:t>7.4.7.6</w:t>
            </w:r>
          </w:p>
        </w:tc>
        <w:tc>
          <w:tcPr>
            <w:tcW w:w="2289" w:type="dxa"/>
            <w:vAlign w:val="center"/>
          </w:tcPr>
          <w:p w14:paraId="33091F95">
            <w:pPr>
              <w:jc w:val="right"/>
            </w:pPr>
            <w:r>
              <w:rPr>
                <w:rFonts w:hint="eastAsia"/>
              </w:rPr>
              <w:t>130,000.00</w:t>
            </w:r>
          </w:p>
        </w:tc>
        <w:tc>
          <w:tcPr>
            <w:tcW w:w="2295" w:type="dxa"/>
            <w:vAlign w:val="center"/>
          </w:tcPr>
          <w:p w14:paraId="544F7927">
            <w:pPr>
              <w:jc w:val="right"/>
            </w:pPr>
            <w:r>
              <w:rPr>
                <w:rFonts w:hint="eastAsia"/>
              </w:rPr>
              <w:t>4,000.00</w:t>
            </w:r>
          </w:p>
        </w:tc>
      </w:tr>
      <w:tr w14:paraId="42BB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A2588E">
            <w:r>
              <w:rPr>
                <w:rFonts w:hint="eastAsia"/>
              </w:rPr>
              <w:t>负债合计</w:t>
            </w:r>
          </w:p>
        </w:tc>
        <w:tc>
          <w:tcPr>
            <w:tcW w:w="1262" w:type="dxa"/>
            <w:vAlign w:val="center"/>
          </w:tcPr>
          <w:p w14:paraId="4153BE42"/>
        </w:tc>
        <w:tc>
          <w:tcPr>
            <w:tcW w:w="2289" w:type="dxa"/>
            <w:vAlign w:val="center"/>
          </w:tcPr>
          <w:p w14:paraId="2CD36235">
            <w:pPr>
              <w:jc w:val="right"/>
            </w:pPr>
            <w:r>
              <w:rPr>
                <w:rFonts w:hint="eastAsia"/>
              </w:rPr>
              <w:t>18,843,630.28</w:t>
            </w:r>
          </w:p>
        </w:tc>
        <w:tc>
          <w:tcPr>
            <w:tcW w:w="2295" w:type="dxa"/>
            <w:vAlign w:val="center"/>
          </w:tcPr>
          <w:p w14:paraId="6F9756FE">
            <w:pPr>
              <w:jc w:val="right"/>
            </w:pPr>
            <w:r>
              <w:rPr>
                <w:rFonts w:hint="eastAsia"/>
              </w:rPr>
              <w:t>5,243,306.66</w:t>
            </w:r>
          </w:p>
        </w:tc>
      </w:tr>
      <w:tr w14:paraId="4172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F4FF27">
            <w:r>
              <w:rPr>
                <w:rFonts w:hint="eastAsia"/>
              </w:rPr>
              <w:t>净资产：</w:t>
            </w:r>
          </w:p>
        </w:tc>
        <w:tc>
          <w:tcPr>
            <w:tcW w:w="1262" w:type="dxa"/>
            <w:vAlign w:val="center"/>
          </w:tcPr>
          <w:p w14:paraId="1C672FB3"/>
        </w:tc>
        <w:tc>
          <w:tcPr>
            <w:tcW w:w="2289" w:type="dxa"/>
            <w:vAlign w:val="center"/>
          </w:tcPr>
          <w:p w14:paraId="1CD1FC5F"/>
        </w:tc>
        <w:tc>
          <w:tcPr>
            <w:tcW w:w="2295" w:type="dxa"/>
            <w:vAlign w:val="center"/>
          </w:tcPr>
          <w:p w14:paraId="0C7B5C0C"/>
        </w:tc>
      </w:tr>
      <w:tr w14:paraId="53A05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F8EAEB">
            <w:r>
              <w:rPr>
                <w:rFonts w:hint="eastAsia"/>
              </w:rPr>
              <w:t>实收基金</w:t>
            </w:r>
          </w:p>
        </w:tc>
        <w:tc>
          <w:tcPr>
            <w:tcW w:w="1262" w:type="dxa"/>
            <w:vAlign w:val="center"/>
          </w:tcPr>
          <w:p w14:paraId="69FB1D71">
            <w:r>
              <w:rPr>
                <w:rFonts w:hint="eastAsia"/>
              </w:rPr>
              <w:t>7.4.7.7</w:t>
            </w:r>
          </w:p>
        </w:tc>
        <w:tc>
          <w:tcPr>
            <w:tcW w:w="2289" w:type="dxa"/>
            <w:vAlign w:val="center"/>
          </w:tcPr>
          <w:p w14:paraId="760864C7">
            <w:pPr>
              <w:jc w:val="right"/>
            </w:pPr>
            <w:r>
              <w:rPr>
                <w:rFonts w:hint="eastAsia"/>
              </w:rPr>
              <w:t>218,514,398.68</w:t>
            </w:r>
          </w:p>
        </w:tc>
        <w:tc>
          <w:tcPr>
            <w:tcW w:w="2295" w:type="dxa"/>
            <w:vAlign w:val="center"/>
          </w:tcPr>
          <w:p w14:paraId="0DD0942E">
            <w:pPr>
              <w:jc w:val="right"/>
            </w:pPr>
            <w:r>
              <w:rPr>
                <w:rFonts w:hint="eastAsia"/>
              </w:rPr>
              <w:t>39,319,932.57</w:t>
            </w:r>
          </w:p>
        </w:tc>
      </w:tr>
      <w:tr w14:paraId="12033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0E41C9">
            <w:r>
              <w:rPr>
                <w:rFonts w:hint="eastAsia"/>
              </w:rPr>
              <w:t>其他综合收益</w:t>
            </w:r>
          </w:p>
        </w:tc>
        <w:tc>
          <w:tcPr>
            <w:tcW w:w="1262" w:type="dxa"/>
            <w:vAlign w:val="center"/>
          </w:tcPr>
          <w:p w14:paraId="07FAF14A"/>
        </w:tc>
        <w:tc>
          <w:tcPr>
            <w:tcW w:w="2289" w:type="dxa"/>
            <w:vAlign w:val="center"/>
          </w:tcPr>
          <w:p w14:paraId="49E85101">
            <w:pPr>
              <w:jc w:val="right"/>
            </w:pPr>
            <w:r>
              <w:rPr>
                <w:rFonts w:hint="eastAsia"/>
              </w:rPr>
              <w:t>-</w:t>
            </w:r>
          </w:p>
        </w:tc>
        <w:tc>
          <w:tcPr>
            <w:tcW w:w="2295" w:type="dxa"/>
            <w:vAlign w:val="center"/>
          </w:tcPr>
          <w:p w14:paraId="00E5F587">
            <w:pPr>
              <w:jc w:val="right"/>
            </w:pPr>
            <w:r>
              <w:rPr>
                <w:rFonts w:hint="eastAsia"/>
              </w:rPr>
              <w:t>-</w:t>
            </w:r>
          </w:p>
        </w:tc>
      </w:tr>
      <w:tr w14:paraId="0827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89AB6A">
            <w:r>
              <w:rPr>
                <w:rFonts w:hint="eastAsia"/>
              </w:rPr>
              <w:t>未分配利润</w:t>
            </w:r>
          </w:p>
        </w:tc>
        <w:tc>
          <w:tcPr>
            <w:tcW w:w="1262" w:type="dxa"/>
            <w:vAlign w:val="center"/>
          </w:tcPr>
          <w:p w14:paraId="16855490">
            <w:r>
              <w:rPr>
                <w:rFonts w:hint="eastAsia"/>
              </w:rPr>
              <w:t>7.4.7.8</w:t>
            </w:r>
          </w:p>
        </w:tc>
        <w:tc>
          <w:tcPr>
            <w:tcW w:w="2289" w:type="dxa"/>
            <w:vAlign w:val="center"/>
          </w:tcPr>
          <w:p w14:paraId="65D43B4B">
            <w:pPr>
              <w:jc w:val="right"/>
            </w:pPr>
            <w:r>
              <w:rPr>
                <w:rFonts w:hint="eastAsia"/>
              </w:rPr>
              <w:t>51,359,873.75</w:t>
            </w:r>
          </w:p>
        </w:tc>
        <w:tc>
          <w:tcPr>
            <w:tcW w:w="2295" w:type="dxa"/>
            <w:vAlign w:val="center"/>
          </w:tcPr>
          <w:p w14:paraId="650854DD">
            <w:pPr>
              <w:jc w:val="right"/>
            </w:pPr>
            <w:r>
              <w:rPr>
                <w:rFonts w:hint="eastAsia"/>
              </w:rPr>
              <w:t>427,935.55</w:t>
            </w:r>
          </w:p>
        </w:tc>
      </w:tr>
      <w:tr w14:paraId="1879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CF82F6">
            <w:r>
              <w:rPr>
                <w:rFonts w:hint="eastAsia"/>
              </w:rPr>
              <w:t>净资产合计</w:t>
            </w:r>
          </w:p>
        </w:tc>
        <w:tc>
          <w:tcPr>
            <w:tcW w:w="1262" w:type="dxa"/>
            <w:vAlign w:val="center"/>
          </w:tcPr>
          <w:p w14:paraId="63502704"/>
        </w:tc>
        <w:tc>
          <w:tcPr>
            <w:tcW w:w="2289" w:type="dxa"/>
            <w:vAlign w:val="center"/>
          </w:tcPr>
          <w:p w14:paraId="288CB603">
            <w:pPr>
              <w:jc w:val="right"/>
            </w:pPr>
            <w:r>
              <w:rPr>
                <w:rFonts w:hint="eastAsia"/>
              </w:rPr>
              <w:t>269,874,272.43</w:t>
            </w:r>
          </w:p>
        </w:tc>
        <w:tc>
          <w:tcPr>
            <w:tcW w:w="2295" w:type="dxa"/>
            <w:vAlign w:val="center"/>
          </w:tcPr>
          <w:p w14:paraId="3300AD02">
            <w:pPr>
              <w:jc w:val="right"/>
            </w:pPr>
            <w:r>
              <w:rPr>
                <w:rFonts w:hint="eastAsia"/>
              </w:rPr>
              <w:t>39,747,868.12</w:t>
            </w:r>
          </w:p>
        </w:tc>
      </w:tr>
      <w:tr w14:paraId="0CFB0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0CB189">
            <w:r>
              <w:rPr>
                <w:rFonts w:hint="eastAsia"/>
              </w:rPr>
              <w:t>负债和净资产总计</w:t>
            </w:r>
          </w:p>
        </w:tc>
        <w:tc>
          <w:tcPr>
            <w:tcW w:w="1262" w:type="dxa"/>
            <w:vAlign w:val="center"/>
          </w:tcPr>
          <w:p w14:paraId="1776311B"/>
        </w:tc>
        <w:tc>
          <w:tcPr>
            <w:tcW w:w="2289" w:type="dxa"/>
            <w:vAlign w:val="center"/>
          </w:tcPr>
          <w:p w14:paraId="55D632B4">
            <w:pPr>
              <w:jc w:val="right"/>
            </w:pPr>
            <w:r>
              <w:rPr>
                <w:rFonts w:hint="eastAsia"/>
              </w:rPr>
              <w:t>288,717,902.71</w:t>
            </w:r>
          </w:p>
        </w:tc>
        <w:tc>
          <w:tcPr>
            <w:tcW w:w="2295" w:type="dxa"/>
            <w:vAlign w:val="center"/>
          </w:tcPr>
          <w:p w14:paraId="38EA88EA">
            <w:pPr>
              <w:jc w:val="right"/>
            </w:pPr>
            <w:r>
              <w:rPr>
                <w:rFonts w:hint="eastAsia"/>
              </w:rPr>
              <w:t>44,991,174.78</w:t>
            </w:r>
          </w:p>
        </w:tc>
      </w:tr>
    </w:tbl>
    <w:p w14:paraId="1E4AAA14">
      <w:pPr>
        <w:pStyle w:val="47"/>
        <w:rPr>
          <w:rFonts w:hint="eastAsia"/>
        </w:rPr>
      </w:pPr>
      <w:r>
        <w:rPr>
          <w:rFonts w:hint="eastAsia"/>
        </w:rPr>
        <w:t>注：1.报告截止日2025年12月31日，南方富时亚太低碳精选ETF发起联接（QDII）A份额净值1.2381元，基金份额总额51,114,300.05份；南方富时亚太低碳精选ETF发起联接（QDII）C份额净值1.2341元，基金份额总额167,400,098.63份；总份额合计218,514,398.68份。</w:t>
      </w:r>
    </w:p>
    <w:p w14:paraId="2D2914F8">
      <w:pPr>
        <w:pStyle w:val="47"/>
        <w:rPr>
          <w:rFonts w:hint="eastAsia"/>
        </w:rPr>
      </w:pPr>
      <w:r>
        <w:tab/>
      </w:r>
      <w:r>
        <w:rPr>
          <w:rFonts w:hint="eastAsia"/>
        </w:rPr>
        <w:t>2.基金合同生效日为2024年05月21日,2024年度实际报告期间为2024年05月21日至2024年12月31日。</w:t>
      </w:r>
    </w:p>
    <w:p w14:paraId="1B42C5A3">
      <w:pPr>
        <w:pStyle w:val="23"/>
      </w:pPr>
      <w:bookmarkStart w:id="50" w:name="_Toc28404"/>
      <w:r>
        <w:t>利润表</w:t>
      </w:r>
      <w:bookmarkEnd w:id="50"/>
    </w:p>
    <w:p w14:paraId="6E81B584">
      <w:pPr>
        <w:pStyle w:val="18"/>
        <w:rPr>
          <w:rFonts w:hint="eastAsia"/>
        </w:rPr>
      </w:pPr>
      <w:r>
        <w:rPr>
          <w:rFonts w:hint="eastAsia"/>
        </w:rPr>
        <w:t>会计主体：南方基金南方东英富时亚太低碳精选交易型开放式指数证券投资基金发起式联接基金（QDII）</w:t>
      </w:r>
    </w:p>
    <w:p w14:paraId="1B78105E">
      <w:pPr>
        <w:pStyle w:val="18"/>
        <w:rPr>
          <w:rFonts w:hint="eastAsia"/>
        </w:rPr>
      </w:pPr>
      <w:r>
        <w:rPr>
          <w:rFonts w:hint="eastAsia"/>
        </w:rPr>
        <w:t>本报告期：2025年1月1日至2025年12月31日</w:t>
      </w:r>
    </w:p>
    <w:p w14:paraId="650903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C56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A237E52">
            <w:pPr>
              <w:jc w:val="center"/>
            </w:pPr>
            <w:r>
              <w:rPr>
                <w:rFonts w:hint="eastAsia"/>
                <w:b/>
              </w:rPr>
              <w:t>项目</w:t>
            </w:r>
          </w:p>
        </w:tc>
        <w:tc>
          <w:tcPr>
            <w:tcW w:w="1262" w:type="dxa"/>
            <w:shd w:val="clear" w:color="auto" w:fill="BFBFBF"/>
            <w:vAlign w:val="center"/>
          </w:tcPr>
          <w:p w14:paraId="3FFED1B8">
            <w:pPr>
              <w:jc w:val="center"/>
            </w:pPr>
            <w:r>
              <w:rPr>
                <w:rFonts w:hint="eastAsia"/>
                <w:b/>
              </w:rPr>
              <w:t>附注号</w:t>
            </w:r>
          </w:p>
        </w:tc>
        <w:tc>
          <w:tcPr>
            <w:tcW w:w="2289" w:type="dxa"/>
            <w:shd w:val="clear" w:color="auto" w:fill="BFBFBF"/>
            <w:vAlign w:val="center"/>
          </w:tcPr>
          <w:p w14:paraId="40B73FAC">
            <w:pPr>
              <w:jc w:val="center"/>
            </w:pPr>
            <w:r>
              <w:rPr>
                <w:rFonts w:hint="eastAsia"/>
                <w:b/>
              </w:rPr>
              <w:t>本期2025年1月1日至2025年12月31日</w:t>
            </w:r>
          </w:p>
        </w:tc>
        <w:tc>
          <w:tcPr>
            <w:tcW w:w="2295" w:type="dxa"/>
            <w:shd w:val="clear" w:color="auto" w:fill="BFBFBF"/>
            <w:vAlign w:val="center"/>
          </w:tcPr>
          <w:p w14:paraId="377BC27A">
            <w:pPr>
              <w:jc w:val="center"/>
            </w:pPr>
            <w:r>
              <w:rPr>
                <w:rFonts w:hint="eastAsia"/>
                <w:b/>
              </w:rPr>
              <w:t>上年度可比期间2024年5月21日（基金合同生效日）至2024年12月31日</w:t>
            </w:r>
          </w:p>
        </w:tc>
      </w:tr>
      <w:tr w14:paraId="2F5F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A9E8C2">
            <w:r>
              <w:rPr>
                <w:rFonts w:hint="eastAsia"/>
              </w:rPr>
              <w:t>一、营业总收入</w:t>
            </w:r>
          </w:p>
        </w:tc>
        <w:tc>
          <w:tcPr>
            <w:tcW w:w="1262" w:type="dxa"/>
            <w:vAlign w:val="center"/>
          </w:tcPr>
          <w:p w14:paraId="637E9331"/>
        </w:tc>
        <w:tc>
          <w:tcPr>
            <w:tcW w:w="2289" w:type="dxa"/>
            <w:vAlign w:val="center"/>
          </w:tcPr>
          <w:p w14:paraId="7240A480">
            <w:pPr>
              <w:jc w:val="right"/>
            </w:pPr>
            <w:r>
              <w:rPr>
                <w:rFonts w:hint="eastAsia"/>
              </w:rPr>
              <w:t>14,721,420.20</w:t>
            </w:r>
          </w:p>
        </w:tc>
        <w:tc>
          <w:tcPr>
            <w:tcW w:w="2295" w:type="dxa"/>
            <w:vAlign w:val="center"/>
          </w:tcPr>
          <w:p w14:paraId="12EF4D0B">
            <w:pPr>
              <w:jc w:val="right"/>
            </w:pPr>
            <w:r>
              <w:rPr>
                <w:rFonts w:hint="eastAsia"/>
              </w:rPr>
              <w:t>446,981.35</w:t>
            </w:r>
          </w:p>
        </w:tc>
      </w:tr>
      <w:tr w14:paraId="7D506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3CFCF9">
            <w:r>
              <w:rPr>
                <w:rFonts w:hint="eastAsia"/>
              </w:rPr>
              <w:t>1.利息收入</w:t>
            </w:r>
          </w:p>
        </w:tc>
        <w:tc>
          <w:tcPr>
            <w:tcW w:w="1262" w:type="dxa"/>
            <w:vAlign w:val="center"/>
          </w:tcPr>
          <w:p w14:paraId="0A5535DC"/>
        </w:tc>
        <w:tc>
          <w:tcPr>
            <w:tcW w:w="2289" w:type="dxa"/>
            <w:vAlign w:val="center"/>
          </w:tcPr>
          <w:p w14:paraId="793AFE09">
            <w:pPr>
              <w:jc w:val="right"/>
            </w:pPr>
            <w:r>
              <w:rPr>
                <w:rFonts w:hint="eastAsia"/>
              </w:rPr>
              <w:t>26,886.76</w:t>
            </w:r>
          </w:p>
        </w:tc>
        <w:tc>
          <w:tcPr>
            <w:tcW w:w="2295" w:type="dxa"/>
            <w:vAlign w:val="center"/>
          </w:tcPr>
          <w:p w14:paraId="1F5887F1">
            <w:pPr>
              <w:jc w:val="right"/>
            </w:pPr>
            <w:r>
              <w:rPr>
                <w:rFonts w:hint="eastAsia"/>
              </w:rPr>
              <w:t>37,154.21</w:t>
            </w:r>
          </w:p>
        </w:tc>
      </w:tr>
      <w:tr w14:paraId="5DAD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2B1907">
            <w:r>
              <w:rPr>
                <w:rFonts w:hint="eastAsia"/>
              </w:rPr>
              <w:t>其中：存款利息收入</w:t>
            </w:r>
          </w:p>
        </w:tc>
        <w:tc>
          <w:tcPr>
            <w:tcW w:w="1262" w:type="dxa"/>
            <w:vAlign w:val="center"/>
          </w:tcPr>
          <w:p w14:paraId="409289F7">
            <w:r>
              <w:rPr>
                <w:rFonts w:hint="eastAsia"/>
              </w:rPr>
              <w:t>7.4.7.9</w:t>
            </w:r>
          </w:p>
        </w:tc>
        <w:tc>
          <w:tcPr>
            <w:tcW w:w="2289" w:type="dxa"/>
            <w:vAlign w:val="center"/>
          </w:tcPr>
          <w:p w14:paraId="77C1D99F">
            <w:pPr>
              <w:jc w:val="right"/>
            </w:pPr>
            <w:r>
              <w:rPr>
                <w:rFonts w:hint="eastAsia"/>
              </w:rPr>
              <w:t>26,886.76</w:t>
            </w:r>
          </w:p>
        </w:tc>
        <w:tc>
          <w:tcPr>
            <w:tcW w:w="2295" w:type="dxa"/>
            <w:vAlign w:val="center"/>
          </w:tcPr>
          <w:p w14:paraId="2EFCA240">
            <w:pPr>
              <w:jc w:val="right"/>
            </w:pPr>
            <w:r>
              <w:rPr>
                <w:rFonts w:hint="eastAsia"/>
              </w:rPr>
              <w:t>37,154.21</w:t>
            </w:r>
          </w:p>
        </w:tc>
      </w:tr>
      <w:tr w14:paraId="44B8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29098D">
            <w:r>
              <w:rPr>
                <w:rFonts w:hint="eastAsia"/>
              </w:rPr>
              <w:t xml:space="preserve">      债券利息收入</w:t>
            </w:r>
          </w:p>
        </w:tc>
        <w:tc>
          <w:tcPr>
            <w:tcW w:w="1262" w:type="dxa"/>
            <w:vAlign w:val="center"/>
          </w:tcPr>
          <w:p w14:paraId="59D8B7CB"/>
        </w:tc>
        <w:tc>
          <w:tcPr>
            <w:tcW w:w="2289" w:type="dxa"/>
            <w:vAlign w:val="center"/>
          </w:tcPr>
          <w:p w14:paraId="754431F4">
            <w:pPr>
              <w:jc w:val="right"/>
            </w:pPr>
            <w:r>
              <w:rPr>
                <w:rFonts w:hint="eastAsia"/>
              </w:rPr>
              <w:t>-</w:t>
            </w:r>
          </w:p>
        </w:tc>
        <w:tc>
          <w:tcPr>
            <w:tcW w:w="2295" w:type="dxa"/>
            <w:vAlign w:val="center"/>
          </w:tcPr>
          <w:p w14:paraId="446EFAEB">
            <w:pPr>
              <w:jc w:val="right"/>
            </w:pPr>
            <w:r>
              <w:rPr>
                <w:rFonts w:hint="eastAsia"/>
              </w:rPr>
              <w:t>-</w:t>
            </w:r>
          </w:p>
        </w:tc>
      </w:tr>
      <w:tr w14:paraId="23E2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19FD5A">
            <w:r>
              <w:rPr>
                <w:rFonts w:hint="eastAsia"/>
              </w:rPr>
              <w:t xml:space="preserve">      资产支持证券利息收入</w:t>
            </w:r>
          </w:p>
        </w:tc>
        <w:tc>
          <w:tcPr>
            <w:tcW w:w="1262" w:type="dxa"/>
            <w:vAlign w:val="center"/>
          </w:tcPr>
          <w:p w14:paraId="60ABC9A6"/>
        </w:tc>
        <w:tc>
          <w:tcPr>
            <w:tcW w:w="2289" w:type="dxa"/>
            <w:vAlign w:val="center"/>
          </w:tcPr>
          <w:p w14:paraId="2F6C8F87">
            <w:pPr>
              <w:jc w:val="right"/>
            </w:pPr>
            <w:r>
              <w:rPr>
                <w:rFonts w:hint="eastAsia"/>
              </w:rPr>
              <w:t>-</w:t>
            </w:r>
          </w:p>
        </w:tc>
        <w:tc>
          <w:tcPr>
            <w:tcW w:w="2295" w:type="dxa"/>
            <w:vAlign w:val="center"/>
          </w:tcPr>
          <w:p w14:paraId="06C57FDE">
            <w:pPr>
              <w:jc w:val="right"/>
            </w:pPr>
            <w:r>
              <w:rPr>
                <w:rFonts w:hint="eastAsia"/>
              </w:rPr>
              <w:t>-</w:t>
            </w:r>
          </w:p>
        </w:tc>
      </w:tr>
      <w:tr w14:paraId="0950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61EF5A">
            <w:r>
              <w:rPr>
                <w:rFonts w:hint="eastAsia"/>
              </w:rPr>
              <w:t xml:space="preserve">      买入返售金融资产收入</w:t>
            </w:r>
          </w:p>
        </w:tc>
        <w:tc>
          <w:tcPr>
            <w:tcW w:w="1262" w:type="dxa"/>
            <w:vAlign w:val="center"/>
          </w:tcPr>
          <w:p w14:paraId="3B3F415C"/>
        </w:tc>
        <w:tc>
          <w:tcPr>
            <w:tcW w:w="2289" w:type="dxa"/>
            <w:vAlign w:val="center"/>
          </w:tcPr>
          <w:p w14:paraId="3A04CD36">
            <w:pPr>
              <w:jc w:val="right"/>
            </w:pPr>
            <w:r>
              <w:rPr>
                <w:rFonts w:hint="eastAsia"/>
              </w:rPr>
              <w:t>-</w:t>
            </w:r>
          </w:p>
        </w:tc>
        <w:tc>
          <w:tcPr>
            <w:tcW w:w="2295" w:type="dxa"/>
            <w:vAlign w:val="center"/>
          </w:tcPr>
          <w:p w14:paraId="00C85A76">
            <w:pPr>
              <w:jc w:val="right"/>
            </w:pPr>
            <w:r>
              <w:rPr>
                <w:rFonts w:hint="eastAsia"/>
              </w:rPr>
              <w:t>-</w:t>
            </w:r>
          </w:p>
        </w:tc>
      </w:tr>
      <w:tr w14:paraId="5BED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5F9D5B">
            <w:r>
              <w:rPr>
                <w:rFonts w:hint="eastAsia"/>
              </w:rPr>
              <w:t xml:space="preserve">      其他利息收入</w:t>
            </w:r>
          </w:p>
        </w:tc>
        <w:tc>
          <w:tcPr>
            <w:tcW w:w="1262" w:type="dxa"/>
            <w:vAlign w:val="center"/>
          </w:tcPr>
          <w:p w14:paraId="06F9F6B6"/>
        </w:tc>
        <w:tc>
          <w:tcPr>
            <w:tcW w:w="2289" w:type="dxa"/>
            <w:vAlign w:val="center"/>
          </w:tcPr>
          <w:p w14:paraId="5D202239">
            <w:pPr>
              <w:jc w:val="right"/>
            </w:pPr>
            <w:r>
              <w:rPr>
                <w:rFonts w:hint="eastAsia"/>
              </w:rPr>
              <w:t>-</w:t>
            </w:r>
          </w:p>
        </w:tc>
        <w:tc>
          <w:tcPr>
            <w:tcW w:w="2295" w:type="dxa"/>
            <w:vAlign w:val="center"/>
          </w:tcPr>
          <w:p w14:paraId="2895A4AF">
            <w:pPr>
              <w:jc w:val="right"/>
            </w:pPr>
            <w:r>
              <w:rPr>
                <w:rFonts w:hint="eastAsia"/>
              </w:rPr>
              <w:t>-</w:t>
            </w:r>
          </w:p>
        </w:tc>
      </w:tr>
      <w:tr w14:paraId="3934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5715BC">
            <w:r>
              <w:rPr>
                <w:rFonts w:hint="eastAsia"/>
              </w:rPr>
              <w:t>2.投资收益（损失以“-”填列）</w:t>
            </w:r>
          </w:p>
        </w:tc>
        <w:tc>
          <w:tcPr>
            <w:tcW w:w="1262" w:type="dxa"/>
            <w:vAlign w:val="center"/>
          </w:tcPr>
          <w:p w14:paraId="555AD583"/>
        </w:tc>
        <w:tc>
          <w:tcPr>
            <w:tcW w:w="2289" w:type="dxa"/>
            <w:vAlign w:val="center"/>
          </w:tcPr>
          <w:p w14:paraId="3391E312">
            <w:pPr>
              <w:jc w:val="right"/>
            </w:pPr>
            <w:r>
              <w:rPr>
                <w:rFonts w:hint="eastAsia"/>
              </w:rPr>
              <w:t>1,716,330.35</w:t>
            </w:r>
          </w:p>
        </w:tc>
        <w:tc>
          <w:tcPr>
            <w:tcW w:w="2295" w:type="dxa"/>
            <w:vAlign w:val="center"/>
          </w:tcPr>
          <w:p w14:paraId="467EC07B">
            <w:pPr>
              <w:jc w:val="right"/>
            </w:pPr>
            <w:r>
              <w:rPr>
                <w:rFonts w:hint="eastAsia"/>
              </w:rPr>
              <w:t>283,231.74</w:t>
            </w:r>
          </w:p>
        </w:tc>
      </w:tr>
      <w:tr w14:paraId="264C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533A76">
            <w:r>
              <w:rPr>
                <w:rFonts w:hint="eastAsia"/>
              </w:rPr>
              <w:t>其中：股票投资收益</w:t>
            </w:r>
          </w:p>
        </w:tc>
        <w:tc>
          <w:tcPr>
            <w:tcW w:w="1262" w:type="dxa"/>
            <w:vAlign w:val="center"/>
          </w:tcPr>
          <w:p w14:paraId="3B0B6BD3">
            <w:r>
              <w:rPr>
                <w:rFonts w:hint="eastAsia"/>
              </w:rPr>
              <w:t>7.4.7.10</w:t>
            </w:r>
          </w:p>
        </w:tc>
        <w:tc>
          <w:tcPr>
            <w:tcW w:w="2289" w:type="dxa"/>
            <w:vAlign w:val="center"/>
          </w:tcPr>
          <w:p w14:paraId="54DAEDAE">
            <w:pPr>
              <w:jc w:val="right"/>
            </w:pPr>
            <w:r>
              <w:rPr>
                <w:rFonts w:hint="eastAsia"/>
              </w:rPr>
              <w:t>-</w:t>
            </w:r>
          </w:p>
        </w:tc>
        <w:tc>
          <w:tcPr>
            <w:tcW w:w="2295" w:type="dxa"/>
            <w:vAlign w:val="center"/>
          </w:tcPr>
          <w:p w14:paraId="66556A43">
            <w:pPr>
              <w:jc w:val="right"/>
            </w:pPr>
            <w:r>
              <w:rPr>
                <w:rFonts w:hint="eastAsia"/>
              </w:rPr>
              <w:t>-</w:t>
            </w:r>
          </w:p>
        </w:tc>
      </w:tr>
      <w:tr w14:paraId="15F3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3A5E4B">
            <w:r>
              <w:rPr>
                <w:rFonts w:hint="eastAsia"/>
              </w:rPr>
              <w:t xml:space="preserve">      基金投资收益</w:t>
            </w:r>
          </w:p>
        </w:tc>
        <w:tc>
          <w:tcPr>
            <w:tcW w:w="1262" w:type="dxa"/>
            <w:vAlign w:val="center"/>
          </w:tcPr>
          <w:p w14:paraId="78BCA8F1">
            <w:r>
              <w:rPr>
                <w:rFonts w:hint="eastAsia"/>
              </w:rPr>
              <w:t>7.4.7.11</w:t>
            </w:r>
          </w:p>
        </w:tc>
        <w:tc>
          <w:tcPr>
            <w:tcW w:w="2289" w:type="dxa"/>
            <w:vAlign w:val="center"/>
          </w:tcPr>
          <w:p w14:paraId="3FC63C95">
            <w:pPr>
              <w:jc w:val="right"/>
            </w:pPr>
            <w:r>
              <w:rPr>
                <w:rFonts w:hint="eastAsia"/>
              </w:rPr>
              <w:t>1,709,795.81</w:t>
            </w:r>
          </w:p>
        </w:tc>
        <w:tc>
          <w:tcPr>
            <w:tcW w:w="2295" w:type="dxa"/>
            <w:vAlign w:val="center"/>
          </w:tcPr>
          <w:p w14:paraId="0D6BCA1D">
            <w:pPr>
              <w:jc w:val="right"/>
            </w:pPr>
            <w:r>
              <w:rPr>
                <w:rFonts w:hint="eastAsia"/>
              </w:rPr>
              <w:t>266,873.60</w:t>
            </w:r>
          </w:p>
        </w:tc>
      </w:tr>
      <w:tr w14:paraId="245E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4FE694">
            <w:r>
              <w:rPr>
                <w:rFonts w:hint="eastAsia"/>
              </w:rPr>
              <w:t xml:space="preserve">      债券投资收益</w:t>
            </w:r>
          </w:p>
        </w:tc>
        <w:tc>
          <w:tcPr>
            <w:tcW w:w="1262" w:type="dxa"/>
            <w:vAlign w:val="center"/>
          </w:tcPr>
          <w:p w14:paraId="4291C5A2">
            <w:r>
              <w:rPr>
                <w:rFonts w:hint="eastAsia"/>
              </w:rPr>
              <w:t>7.4.7.12</w:t>
            </w:r>
          </w:p>
        </w:tc>
        <w:tc>
          <w:tcPr>
            <w:tcW w:w="2289" w:type="dxa"/>
            <w:vAlign w:val="center"/>
          </w:tcPr>
          <w:p w14:paraId="431DF8D9">
            <w:pPr>
              <w:jc w:val="right"/>
            </w:pPr>
            <w:r>
              <w:rPr>
                <w:rFonts w:hint="eastAsia"/>
              </w:rPr>
              <w:t>6,534.54</w:t>
            </w:r>
          </w:p>
        </w:tc>
        <w:tc>
          <w:tcPr>
            <w:tcW w:w="2295" w:type="dxa"/>
            <w:vAlign w:val="center"/>
          </w:tcPr>
          <w:p w14:paraId="1F9A5C46">
            <w:pPr>
              <w:jc w:val="right"/>
            </w:pPr>
            <w:r>
              <w:rPr>
                <w:rFonts w:hint="eastAsia"/>
              </w:rPr>
              <w:t>16,358.14</w:t>
            </w:r>
          </w:p>
        </w:tc>
      </w:tr>
      <w:tr w14:paraId="58EC0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FD200">
            <w:r>
              <w:rPr>
                <w:rFonts w:hint="eastAsia"/>
              </w:rPr>
              <w:t xml:space="preserve">      资产支持证券投资收益</w:t>
            </w:r>
          </w:p>
        </w:tc>
        <w:tc>
          <w:tcPr>
            <w:tcW w:w="1262" w:type="dxa"/>
            <w:vAlign w:val="center"/>
          </w:tcPr>
          <w:p w14:paraId="6B7341D1">
            <w:r>
              <w:rPr>
                <w:rFonts w:hint="eastAsia"/>
              </w:rPr>
              <w:t>7.4.7.13</w:t>
            </w:r>
          </w:p>
        </w:tc>
        <w:tc>
          <w:tcPr>
            <w:tcW w:w="2289" w:type="dxa"/>
            <w:vAlign w:val="center"/>
          </w:tcPr>
          <w:p w14:paraId="1E4DC746">
            <w:pPr>
              <w:jc w:val="right"/>
            </w:pPr>
            <w:r>
              <w:rPr>
                <w:rFonts w:hint="eastAsia"/>
              </w:rPr>
              <w:t>-</w:t>
            </w:r>
          </w:p>
        </w:tc>
        <w:tc>
          <w:tcPr>
            <w:tcW w:w="2295" w:type="dxa"/>
            <w:vAlign w:val="center"/>
          </w:tcPr>
          <w:p w14:paraId="09BFD5AB">
            <w:pPr>
              <w:jc w:val="right"/>
            </w:pPr>
            <w:r>
              <w:rPr>
                <w:rFonts w:hint="eastAsia"/>
              </w:rPr>
              <w:t>-</w:t>
            </w:r>
          </w:p>
        </w:tc>
      </w:tr>
      <w:tr w14:paraId="31AE4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D61F5E">
            <w:r>
              <w:rPr>
                <w:rFonts w:hint="eastAsia"/>
              </w:rPr>
              <w:t xml:space="preserve">      贵金属投资收益</w:t>
            </w:r>
          </w:p>
        </w:tc>
        <w:tc>
          <w:tcPr>
            <w:tcW w:w="1262" w:type="dxa"/>
            <w:vAlign w:val="center"/>
          </w:tcPr>
          <w:p w14:paraId="728B8415"/>
        </w:tc>
        <w:tc>
          <w:tcPr>
            <w:tcW w:w="2289" w:type="dxa"/>
            <w:vAlign w:val="center"/>
          </w:tcPr>
          <w:p w14:paraId="22C8A128">
            <w:pPr>
              <w:jc w:val="right"/>
            </w:pPr>
            <w:r>
              <w:rPr>
                <w:rFonts w:hint="eastAsia"/>
              </w:rPr>
              <w:t>-</w:t>
            </w:r>
          </w:p>
        </w:tc>
        <w:tc>
          <w:tcPr>
            <w:tcW w:w="2295" w:type="dxa"/>
            <w:vAlign w:val="center"/>
          </w:tcPr>
          <w:p w14:paraId="218BC72A">
            <w:pPr>
              <w:jc w:val="right"/>
            </w:pPr>
            <w:r>
              <w:rPr>
                <w:rFonts w:hint="eastAsia"/>
              </w:rPr>
              <w:t>-</w:t>
            </w:r>
          </w:p>
        </w:tc>
      </w:tr>
      <w:tr w14:paraId="424C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F76C72">
            <w:r>
              <w:rPr>
                <w:rFonts w:hint="eastAsia"/>
              </w:rPr>
              <w:t xml:space="preserve">      衍生工具收益</w:t>
            </w:r>
          </w:p>
        </w:tc>
        <w:tc>
          <w:tcPr>
            <w:tcW w:w="1262" w:type="dxa"/>
            <w:vAlign w:val="center"/>
          </w:tcPr>
          <w:p w14:paraId="6FE6B85C">
            <w:r>
              <w:rPr>
                <w:rFonts w:hint="eastAsia"/>
              </w:rPr>
              <w:t>7.4.7.14</w:t>
            </w:r>
          </w:p>
        </w:tc>
        <w:tc>
          <w:tcPr>
            <w:tcW w:w="2289" w:type="dxa"/>
            <w:vAlign w:val="center"/>
          </w:tcPr>
          <w:p w14:paraId="2FDAEC43">
            <w:pPr>
              <w:jc w:val="right"/>
            </w:pPr>
            <w:r>
              <w:rPr>
                <w:rFonts w:hint="eastAsia"/>
              </w:rPr>
              <w:t>-</w:t>
            </w:r>
          </w:p>
        </w:tc>
        <w:tc>
          <w:tcPr>
            <w:tcW w:w="2295" w:type="dxa"/>
            <w:vAlign w:val="center"/>
          </w:tcPr>
          <w:p w14:paraId="5344A9F3">
            <w:pPr>
              <w:jc w:val="right"/>
            </w:pPr>
            <w:r>
              <w:rPr>
                <w:rFonts w:hint="eastAsia"/>
              </w:rPr>
              <w:t>-</w:t>
            </w:r>
          </w:p>
        </w:tc>
      </w:tr>
      <w:tr w14:paraId="66CF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82C871">
            <w:r>
              <w:rPr>
                <w:rFonts w:hint="eastAsia"/>
              </w:rPr>
              <w:t xml:space="preserve">      股利收益</w:t>
            </w:r>
          </w:p>
        </w:tc>
        <w:tc>
          <w:tcPr>
            <w:tcW w:w="1262" w:type="dxa"/>
            <w:vAlign w:val="center"/>
          </w:tcPr>
          <w:p w14:paraId="60CF865D">
            <w:r>
              <w:rPr>
                <w:rFonts w:hint="eastAsia"/>
              </w:rPr>
              <w:t>7.4.7.15</w:t>
            </w:r>
          </w:p>
        </w:tc>
        <w:tc>
          <w:tcPr>
            <w:tcW w:w="2289" w:type="dxa"/>
            <w:vAlign w:val="center"/>
          </w:tcPr>
          <w:p w14:paraId="6AB8FB29">
            <w:pPr>
              <w:jc w:val="right"/>
            </w:pPr>
            <w:r>
              <w:rPr>
                <w:rFonts w:hint="eastAsia"/>
              </w:rPr>
              <w:t>-</w:t>
            </w:r>
          </w:p>
        </w:tc>
        <w:tc>
          <w:tcPr>
            <w:tcW w:w="2295" w:type="dxa"/>
            <w:vAlign w:val="center"/>
          </w:tcPr>
          <w:p w14:paraId="3B92CF8D">
            <w:pPr>
              <w:jc w:val="right"/>
            </w:pPr>
            <w:r>
              <w:rPr>
                <w:rFonts w:hint="eastAsia"/>
              </w:rPr>
              <w:t>-</w:t>
            </w:r>
          </w:p>
        </w:tc>
      </w:tr>
      <w:tr w14:paraId="4FF1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549CC1">
            <w:r>
              <w:rPr>
                <w:rFonts w:hint="eastAsia"/>
              </w:rPr>
              <w:t xml:space="preserve">      以摊余成本计量的金融资产终止确认产生的收益</w:t>
            </w:r>
          </w:p>
        </w:tc>
        <w:tc>
          <w:tcPr>
            <w:tcW w:w="1262" w:type="dxa"/>
            <w:vAlign w:val="center"/>
          </w:tcPr>
          <w:p w14:paraId="43AF7826"/>
        </w:tc>
        <w:tc>
          <w:tcPr>
            <w:tcW w:w="2289" w:type="dxa"/>
            <w:vAlign w:val="center"/>
          </w:tcPr>
          <w:p w14:paraId="5EEFF717">
            <w:pPr>
              <w:jc w:val="right"/>
            </w:pPr>
            <w:r>
              <w:rPr>
                <w:rFonts w:hint="eastAsia"/>
              </w:rPr>
              <w:t>-</w:t>
            </w:r>
          </w:p>
        </w:tc>
        <w:tc>
          <w:tcPr>
            <w:tcW w:w="2295" w:type="dxa"/>
            <w:vAlign w:val="center"/>
          </w:tcPr>
          <w:p w14:paraId="47AD4649">
            <w:pPr>
              <w:jc w:val="right"/>
            </w:pPr>
            <w:r>
              <w:rPr>
                <w:rFonts w:hint="eastAsia"/>
              </w:rPr>
              <w:t>-</w:t>
            </w:r>
          </w:p>
        </w:tc>
      </w:tr>
      <w:tr w14:paraId="0F15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2A8D62">
            <w:r>
              <w:rPr>
                <w:rFonts w:hint="eastAsia"/>
              </w:rPr>
              <w:t xml:space="preserve">      其他投资收益</w:t>
            </w:r>
          </w:p>
        </w:tc>
        <w:tc>
          <w:tcPr>
            <w:tcW w:w="1262" w:type="dxa"/>
            <w:vAlign w:val="center"/>
          </w:tcPr>
          <w:p w14:paraId="667B6F3A"/>
        </w:tc>
        <w:tc>
          <w:tcPr>
            <w:tcW w:w="2289" w:type="dxa"/>
            <w:vAlign w:val="center"/>
          </w:tcPr>
          <w:p w14:paraId="52C8DB2F">
            <w:pPr>
              <w:jc w:val="right"/>
            </w:pPr>
            <w:r>
              <w:rPr>
                <w:rFonts w:hint="eastAsia"/>
              </w:rPr>
              <w:t>-</w:t>
            </w:r>
          </w:p>
        </w:tc>
        <w:tc>
          <w:tcPr>
            <w:tcW w:w="2295" w:type="dxa"/>
            <w:vAlign w:val="center"/>
          </w:tcPr>
          <w:p w14:paraId="344D9747">
            <w:pPr>
              <w:jc w:val="right"/>
            </w:pPr>
            <w:r>
              <w:rPr>
                <w:rFonts w:hint="eastAsia"/>
              </w:rPr>
              <w:t>-</w:t>
            </w:r>
          </w:p>
        </w:tc>
      </w:tr>
      <w:tr w14:paraId="76EE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39F53E">
            <w:r>
              <w:rPr>
                <w:rFonts w:hint="eastAsia"/>
              </w:rPr>
              <w:t>3.公允价值变动收益（损失以“-”号填列）</w:t>
            </w:r>
          </w:p>
        </w:tc>
        <w:tc>
          <w:tcPr>
            <w:tcW w:w="1262" w:type="dxa"/>
            <w:vAlign w:val="center"/>
          </w:tcPr>
          <w:p w14:paraId="3505C842">
            <w:r>
              <w:rPr>
                <w:rFonts w:hint="eastAsia"/>
              </w:rPr>
              <w:t>7.4.7.16</w:t>
            </w:r>
          </w:p>
        </w:tc>
        <w:tc>
          <w:tcPr>
            <w:tcW w:w="2289" w:type="dxa"/>
            <w:vAlign w:val="center"/>
          </w:tcPr>
          <w:p w14:paraId="670B0945">
            <w:pPr>
              <w:jc w:val="right"/>
            </w:pPr>
            <w:r>
              <w:rPr>
                <w:rFonts w:hint="eastAsia"/>
              </w:rPr>
              <w:t>12,945,861.06</w:t>
            </w:r>
          </w:p>
        </w:tc>
        <w:tc>
          <w:tcPr>
            <w:tcW w:w="2295" w:type="dxa"/>
            <w:vAlign w:val="center"/>
          </w:tcPr>
          <w:p w14:paraId="49E2528C">
            <w:pPr>
              <w:jc w:val="right"/>
            </w:pPr>
            <w:r>
              <w:rPr>
                <w:rFonts w:hint="eastAsia"/>
              </w:rPr>
              <w:t>123,583.11</w:t>
            </w:r>
          </w:p>
        </w:tc>
      </w:tr>
      <w:tr w14:paraId="5C89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F475C4">
            <w:r>
              <w:rPr>
                <w:rFonts w:hint="eastAsia"/>
              </w:rPr>
              <w:t>4.汇兑收益（损失以“－”号填列）</w:t>
            </w:r>
          </w:p>
        </w:tc>
        <w:tc>
          <w:tcPr>
            <w:tcW w:w="1262" w:type="dxa"/>
            <w:vAlign w:val="center"/>
          </w:tcPr>
          <w:p w14:paraId="64D13BA5"/>
        </w:tc>
        <w:tc>
          <w:tcPr>
            <w:tcW w:w="2289" w:type="dxa"/>
            <w:vAlign w:val="center"/>
          </w:tcPr>
          <w:p w14:paraId="1FFD3396">
            <w:pPr>
              <w:jc w:val="right"/>
            </w:pPr>
            <w:r>
              <w:rPr>
                <w:rFonts w:hint="eastAsia"/>
              </w:rPr>
              <w:t>-</w:t>
            </w:r>
          </w:p>
        </w:tc>
        <w:tc>
          <w:tcPr>
            <w:tcW w:w="2295" w:type="dxa"/>
            <w:vAlign w:val="center"/>
          </w:tcPr>
          <w:p w14:paraId="6242D1C9">
            <w:pPr>
              <w:jc w:val="right"/>
            </w:pPr>
            <w:r>
              <w:rPr>
                <w:rFonts w:hint="eastAsia"/>
              </w:rPr>
              <w:t>-</w:t>
            </w:r>
          </w:p>
        </w:tc>
      </w:tr>
      <w:tr w14:paraId="7E46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38BC1">
            <w:r>
              <w:rPr>
                <w:rFonts w:hint="eastAsia"/>
              </w:rPr>
              <w:t>5.其他收入（损失以“-”号填列）</w:t>
            </w:r>
          </w:p>
        </w:tc>
        <w:tc>
          <w:tcPr>
            <w:tcW w:w="1262" w:type="dxa"/>
            <w:vAlign w:val="center"/>
          </w:tcPr>
          <w:p w14:paraId="05A1CD0A">
            <w:r>
              <w:rPr>
                <w:rFonts w:hint="eastAsia"/>
              </w:rPr>
              <w:t>7.4.7.17</w:t>
            </w:r>
          </w:p>
        </w:tc>
        <w:tc>
          <w:tcPr>
            <w:tcW w:w="2289" w:type="dxa"/>
            <w:vAlign w:val="center"/>
          </w:tcPr>
          <w:p w14:paraId="222181CA">
            <w:pPr>
              <w:jc w:val="right"/>
            </w:pPr>
            <w:r>
              <w:rPr>
                <w:rFonts w:hint="eastAsia"/>
              </w:rPr>
              <w:t>32,342.03</w:t>
            </w:r>
          </w:p>
        </w:tc>
        <w:tc>
          <w:tcPr>
            <w:tcW w:w="2295" w:type="dxa"/>
            <w:vAlign w:val="center"/>
          </w:tcPr>
          <w:p w14:paraId="14B8A259">
            <w:pPr>
              <w:jc w:val="right"/>
            </w:pPr>
            <w:r>
              <w:rPr>
                <w:rFonts w:hint="eastAsia"/>
              </w:rPr>
              <w:t>3,012.29</w:t>
            </w:r>
          </w:p>
        </w:tc>
      </w:tr>
      <w:tr w14:paraId="6193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EC146A">
            <w:r>
              <w:rPr>
                <w:rFonts w:hint="eastAsia"/>
              </w:rPr>
              <w:t>减：二、营业总支出</w:t>
            </w:r>
          </w:p>
        </w:tc>
        <w:tc>
          <w:tcPr>
            <w:tcW w:w="1262" w:type="dxa"/>
            <w:vAlign w:val="center"/>
          </w:tcPr>
          <w:p w14:paraId="7853A743"/>
        </w:tc>
        <w:tc>
          <w:tcPr>
            <w:tcW w:w="2289" w:type="dxa"/>
            <w:vAlign w:val="center"/>
          </w:tcPr>
          <w:p w14:paraId="54C1FC80">
            <w:pPr>
              <w:jc w:val="right"/>
            </w:pPr>
            <w:r>
              <w:rPr>
                <w:rFonts w:hint="eastAsia"/>
              </w:rPr>
              <w:t>302,187.03</w:t>
            </w:r>
          </w:p>
        </w:tc>
        <w:tc>
          <w:tcPr>
            <w:tcW w:w="2295" w:type="dxa"/>
            <w:vAlign w:val="center"/>
          </w:tcPr>
          <w:p w14:paraId="615207C5">
            <w:pPr>
              <w:jc w:val="right"/>
            </w:pPr>
            <w:r>
              <w:rPr>
                <w:rFonts w:hint="eastAsia"/>
              </w:rPr>
              <w:t>55,702.79</w:t>
            </w:r>
          </w:p>
        </w:tc>
      </w:tr>
      <w:tr w14:paraId="73B7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4A2E9D">
            <w:r>
              <w:rPr>
                <w:rFonts w:hint="eastAsia"/>
              </w:rPr>
              <w:t>1.管理人报酬</w:t>
            </w:r>
          </w:p>
        </w:tc>
        <w:tc>
          <w:tcPr>
            <w:tcW w:w="1262" w:type="dxa"/>
            <w:vAlign w:val="center"/>
          </w:tcPr>
          <w:p w14:paraId="4CC67D44">
            <w:r>
              <w:rPr>
                <w:rFonts w:hint="eastAsia"/>
              </w:rPr>
              <w:t>7.4.10.2.1</w:t>
            </w:r>
          </w:p>
        </w:tc>
        <w:tc>
          <w:tcPr>
            <w:tcW w:w="2289" w:type="dxa"/>
            <w:vAlign w:val="center"/>
          </w:tcPr>
          <w:p w14:paraId="51D7249B">
            <w:pPr>
              <w:jc w:val="right"/>
            </w:pPr>
            <w:r>
              <w:rPr>
                <w:rFonts w:hint="eastAsia"/>
              </w:rPr>
              <w:t>14,215.54</w:t>
            </w:r>
          </w:p>
        </w:tc>
        <w:tc>
          <w:tcPr>
            <w:tcW w:w="2295" w:type="dxa"/>
            <w:vAlign w:val="center"/>
          </w:tcPr>
          <w:p w14:paraId="6730112E">
            <w:pPr>
              <w:jc w:val="right"/>
            </w:pPr>
            <w:r>
              <w:rPr>
                <w:rFonts w:hint="eastAsia"/>
              </w:rPr>
              <w:t>11,423.27</w:t>
            </w:r>
          </w:p>
        </w:tc>
      </w:tr>
      <w:tr w14:paraId="2A214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0326A1">
            <w:r>
              <w:rPr>
                <w:rFonts w:hint="eastAsia"/>
              </w:rPr>
              <w:t>其中：暂估管理人报酬</w:t>
            </w:r>
          </w:p>
        </w:tc>
        <w:tc>
          <w:tcPr>
            <w:tcW w:w="1262" w:type="dxa"/>
            <w:vAlign w:val="center"/>
          </w:tcPr>
          <w:p w14:paraId="20CF2E56"/>
        </w:tc>
        <w:tc>
          <w:tcPr>
            <w:tcW w:w="2289" w:type="dxa"/>
            <w:vAlign w:val="center"/>
          </w:tcPr>
          <w:p w14:paraId="2AB98541">
            <w:pPr>
              <w:jc w:val="right"/>
            </w:pPr>
            <w:r>
              <w:rPr>
                <w:rFonts w:hint="eastAsia"/>
              </w:rPr>
              <w:t>-</w:t>
            </w:r>
          </w:p>
        </w:tc>
        <w:tc>
          <w:tcPr>
            <w:tcW w:w="2295" w:type="dxa"/>
            <w:vAlign w:val="center"/>
          </w:tcPr>
          <w:p w14:paraId="24EC27F4">
            <w:pPr>
              <w:jc w:val="right"/>
            </w:pPr>
            <w:r>
              <w:rPr>
                <w:rFonts w:hint="eastAsia"/>
              </w:rPr>
              <w:t>-</w:t>
            </w:r>
          </w:p>
        </w:tc>
      </w:tr>
      <w:tr w14:paraId="79F32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0BE54C">
            <w:r>
              <w:rPr>
                <w:rFonts w:hint="eastAsia"/>
              </w:rPr>
              <w:t>2.托管费</w:t>
            </w:r>
          </w:p>
        </w:tc>
        <w:tc>
          <w:tcPr>
            <w:tcW w:w="1262" w:type="dxa"/>
            <w:vAlign w:val="center"/>
          </w:tcPr>
          <w:p w14:paraId="0836D486">
            <w:r>
              <w:rPr>
                <w:rFonts w:hint="eastAsia"/>
              </w:rPr>
              <w:t>7.4.10.2.2</w:t>
            </w:r>
          </w:p>
        </w:tc>
        <w:tc>
          <w:tcPr>
            <w:tcW w:w="2289" w:type="dxa"/>
            <w:vAlign w:val="center"/>
          </w:tcPr>
          <w:p w14:paraId="03B87444">
            <w:pPr>
              <w:jc w:val="right"/>
            </w:pPr>
            <w:r>
              <w:rPr>
                <w:rFonts w:hint="eastAsia"/>
              </w:rPr>
              <w:t>3,553.88</w:t>
            </w:r>
          </w:p>
        </w:tc>
        <w:tc>
          <w:tcPr>
            <w:tcW w:w="2295" w:type="dxa"/>
            <w:vAlign w:val="center"/>
          </w:tcPr>
          <w:p w14:paraId="592813E3">
            <w:pPr>
              <w:jc w:val="right"/>
            </w:pPr>
            <w:r>
              <w:rPr>
                <w:rFonts w:hint="eastAsia"/>
              </w:rPr>
              <w:t>2,855.89</w:t>
            </w:r>
          </w:p>
        </w:tc>
      </w:tr>
      <w:tr w14:paraId="70A6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302481">
            <w:r>
              <w:rPr>
                <w:rFonts w:hint="eastAsia"/>
              </w:rPr>
              <w:t>3.销售服务费</w:t>
            </w:r>
          </w:p>
        </w:tc>
        <w:tc>
          <w:tcPr>
            <w:tcW w:w="1262" w:type="dxa"/>
            <w:vAlign w:val="center"/>
          </w:tcPr>
          <w:p w14:paraId="07999D75">
            <w:r>
              <w:rPr>
                <w:rFonts w:hint="eastAsia"/>
              </w:rPr>
              <w:t>7.4.10.2.3</w:t>
            </w:r>
          </w:p>
        </w:tc>
        <w:tc>
          <w:tcPr>
            <w:tcW w:w="2289" w:type="dxa"/>
            <w:vAlign w:val="center"/>
          </w:tcPr>
          <w:p w14:paraId="102AD810">
            <w:pPr>
              <w:jc w:val="right"/>
            </w:pPr>
            <w:r>
              <w:rPr>
                <w:rFonts w:hint="eastAsia"/>
              </w:rPr>
              <w:t>143,948.56</w:t>
            </w:r>
          </w:p>
        </w:tc>
        <w:tc>
          <w:tcPr>
            <w:tcW w:w="2295" w:type="dxa"/>
            <w:vAlign w:val="center"/>
          </w:tcPr>
          <w:p w14:paraId="640178A3">
            <w:pPr>
              <w:jc w:val="right"/>
            </w:pPr>
            <w:r>
              <w:rPr>
                <w:rFonts w:hint="eastAsia"/>
              </w:rPr>
              <w:t>28,888.19</w:t>
            </w:r>
          </w:p>
        </w:tc>
      </w:tr>
      <w:tr w14:paraId="1A94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1F439D">
            <w:r>
              <w:rPr>
                <w:rFonts w:hint="eastAsia"/>
              </w:rPr>
              <w:t>4.投资顾问费</w:t>
            </w:r>
          </w:p>
        </w:tc>
        <w:tc>
          <w:tcPr>
            <w:tcW w:w="1262" w:type="dxa"/>
            <w:vAlign w:val="center"/>
          </w:tcPr>
          <w:p w14:paraId="517D209F"/>
        </w:tc>
        <w:tc>
          <w:tcPr>
            <w:tcW w:w="2289" w:type="dxa"/>
            <w:vAlign w:val="center"/>
          </w:tcPr>
          <w:p w14:paraId="6BA27514">
            <w:pPr>
              <w:jc w:val="right"/>
            </w:pPr>
            <w:r>
              <w:rPr>
                <w:rFonts w:hint="eastAsia"/>
              </w:rPr>
              <w:t>-</w:t>
            </w:r>
          </w:p>
        </w:tc>
        <w:tc>
          <w:tcPr>
            <w:tcW w:w="2295" w:type="dxa"/>
            <w:vAlign w:val="center"/>
          </w:tcPr>
          <w:p w14:paraId="6A6F637F">
            <w:pPr>
              <w:jc w:val="right"/>
            </w:pPr>
            <w:r>
              <w:rPr>
                <w:rFonts w:hint="eastAsia"/>
              </w:rPr>
              <w:t>-</w:t>
            </w:r>
          </w:p>
        </w:tc>
      </w:tr>
      <w:tr w14:paraId="1042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85EF04">
            <w:r>
              <w:rPr>
                <w:rFonts w:hint="eastAsia"/>
              </w:rPr>
              <w:t>5.利息支出</w:t>
            </w:r>
          </w:p>
        </w:tc>
        <w:tc>
          <w:tcPr>
            <w:tcW w:w="1262" w:type="dxa"/>
            <w:vAlign w:val="center"/>
          </w:tcPr>
          <w:p w14:paraId="601BEF42"/>
        </w:tc>
        <w:tc>
          <w:tcPr>
            <w:tcW w:w="2289" w:type="dxa"/>
            <w:vAlign w:val="center"/>
          </w:tcPr>
          <w:p w14:paraId="4497B4D5">
            <w:pPr>
              <w:jc w:val="right"/>
            </w:pPr>
            <w:r>
              <w:rPr>
                <w:rFonts w:hint="eastAsia"/>
              </w:rPr>
              <w:t>2,291.52</w:t>
            </w:r>
          </w:p>
        </w:tc>
        <w:tc>
          <w:tcPr>
            <w:tcW w:w="2295" w:type="dxa"/>
            <w:vAlign w:val="center"/>
          </w:tcPr>
          <w:p w14:paraId="2728A42B">
            <w:pPr>
              <w:jc w:val="right"/>
            </w:pPr>
            <w:r>
              <w:rPr>
                <w:rFonts w:hint="eastAsia"/>
              </w:rPr>
              <w:t>6,185.44</w:t>
            </w:r>
          </w:p>
        </w:tc>
      </w:tr>
      <w:tr w14:paraId="6834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E1D1BE">
            <w:r>
              <w:rPr>
                <w:rFonts w:hint="eastAsia"/>
              </w:rPr>
              <w:t>其中：卖出回购金融资产支出</w:t>
            </w:r>
          </w:p>
        </w:tc>
        <w:tc>
          <w:tcPr>
            <w:tcW w:w="1262" w:type="dxa"/>
            <w:vAlign w:val="center"/>
          </w:tcPr>
          <w:p w14:paraId="06E4E090"/>
        </w:tc>
        <w:tc>
          <w:tcPr>
            <w:tcW w:w="2289" w:type="dxa"/>
            <w:vAlign w:val="center"/>
          </w:tcPr>
          <w:p w14:paraId="3A8D908C">
            <w:pPr>
              <w:jc w:val="right"/>
            </w:pPr>
            <w:r>
              <w:rPr>
                <w:rFonts w:hint="eastAsia"/>
              </w:rPr>
              <w:t>2,291.52</w:t>
            </w:r>
          </w:p>
        </w:tc>
        <w:tc>
          <w:tcPr>
            <w:tcW w:w="2295" w:type="dxa"/>
            <w:vAlign w:val="center"/>
          </w:tcPr>
          <w:p w14:paraId="55D4799F">
            <w:pPr>
              <w:jc w:val="right"/>
            </w:pPr>
            <w:r>
              <w:rPr>
                <w:rFonts w:hint="eastAsia"/>
              </w:rPr>
              <w:t>6,185.44</w:t>
            </w:r>
          </w:p>
        </w:tc>
      </w:tr>
      <w:tr w14:paraId="4329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3A78EF">
            <w:r>
              <w:rPr>
                <w:rFonts w:hint="eastAsia"/>
              </w:rPr>
              <w:t>6.信用减值损失</w:t>
            </w:r>
          </w:p>
        </w:tc>
        <w:tc>
          <w:tcPr>
            <w:tcW w:w="1262" w:type="dxa"/>
            <w:vAlign w:val="center"/>
          </w:tcPr>
          <w:p w14:paraId="4C4F162B"/>
        </w:tc>
        <w:tc>
          <w:tcPr>
            <w:tcW w:w="2289" w:type="dxa"/>
            <w:vAlign w:val="center"/>
          </w:tcPr>
          <w:p w14:paraId="51C9AC99">
            <w:pPr>
              <w:jc w:val="right"/>
            </w:pPr>
            <w:r>
              <w:rPr>
                <w:rFonts w:hint="eastAsia"/>
              </w:rPr>
              <w:t>-</w:t>
            </w:r>
          </w:p>
        </w:tc>
        <w:tc>
          <w:tcPr>
            <w:tcW w:w="2295" w:type="dxa"/>
            <w:vAlign w:val="center"/>
          </w:tcPr>
          <w:p w14:paraId="1B38F9D9">
            <w:pPr>
              <w:jc w:val="right"/>
            </w:pPr>
            <w:r>
              <w:rPr>
                <w:rFonts w:hint="eastAsia"/>
              </w:rPr>
              <w:t>-</w:t>
            </w:r>
          </w:p>
        </w:tc>
      </w:tr>
      <w:tr w14:paraId="4FB6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8D840D">
            <w:r>
              <w:rPr>
                <w:rFonts w:hint="eastAsia"/>
              </w:rPr>
              <w:t>7.税金及附加</w:t>
            </w:r>
          </w:p>
        </w:tc>
        <w:tc>
          <w:tcPr>
            <w:tcW w:w="1262" w:type="dxa"/>
            <w:vAlign w:val="center"/>
          </w:tcPr>
          <w:p w14:paraId="1024CF9E"/>
        </w:tc>
        <w:tc>
          <w:tcPr>
            <w:tcW w:w="2289" w:type="dxa"/>
            <w:vAlign w:val="center"/>
          </w:tcPr>
          <w:p w14:paraId="2AE3DFF9">
            <w:pPr>
              <w:jc w:val="right"/>
            </w:pPr>
            <w:r>
              <w:rPr>
                <w:rFonts w:hint="eastAsia"/>
              </w:rPr>
              <w:t>6,194.00</w:t>
            </w:r>
          </w:p>
        </w:tc>
        <w:tc>
          <w:tcPr>
            <w:tcW w:w="2295" w:type="dxa"/>
            <w:vAlign w:val="center"/>
          </w:tcPr>
          <w:p w14:paraId="2B85268A">
            <w:pPr>
              <w:jc w:val="right"/>
            </w:pPr>
            <w:r>
              <w:rPr>
                <w:rFonts w:hint="eastAsia"/>
              </w:rPr>
              <w:t>968.23</w:t>
            </w:r>
          </w:p>
        </w:tc>
      </w:tr>
      <w:tr w14:paraId="0CF52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41F2EF">
            <w:r>
              <w:rPr>
                <w:rFonts w:hint="eastAsia"/>
              </w:rPr>
              <w:t>8.其他费用</w:t>
            </w:r>
          </w:p>
        </w:tc>
        <w:tc>
          <w:tcPr>
            <w:tcW w:w="1262" w:type="dxa"/>
            <w:vAlign w:val="center"/>
          </w:tcPr>
          <w:p w14:paraId="4E727412">
            <w:r>
              <w:rPr>
                <w:rFonts w:hint="eastAsia"/>
              </w:rPr>
              <w:t>7.4.7.18</w:t>
            </w:r>
          </w:p>
        </w:tc>
        <w:tc>
          <w:tcPr>
            <w:tcW w:w="2289" w:type="dxa"/>
            <w:vAlign w:val="center"/>
          </w:tcPr>
          <w:p w14:paraId="2A85B096">
            <w:pPr>
              <w:jc w:val="right"/>
            </w:pPr>
            <w:r>
              <w:rPr>
                <w:rFonts w:hint="eastAsia"/>
              </w:rPr>
              <w:t>131,983.53</w:t>
            </w:r>
          </w:p>
        </w:tc>
        <w:tc>
          <w:tcPr>
            <w:tcW w:w="2295" w:type="dxa"/>
            <w:vAlign w:val="center"/>
          </w:tcPr>
          <w:p w14:paraId="4537AC57">
            <w:pPr>
              <w:jc w:val="right"/>
            </w:pPr>
            <w:r>
              <w:rPr>
                <w:rFonts w:hint="eastAsia"/>
              </w:rPr>
              <w:t>5,381.77</w:t>
            </w:r>
          </w:p>
        </w:tc>
      </w:tr>
      <w:tr w14:paraId="6175C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56B4F2">
            <w:r>
              <w:rPr>
                <w:rFonts w:hint="eastAsia"/>
              </w:rPr>
              <w:t>三、利润总额（亏损总额以“-”号填列）</w:t>
            </w:r>
          </w:p>
        </w:tc>
        <w:tc>
          <w:tcPr>
            <w:tcW w:w="1262" w:type="dxa"/>
            <w:vAlign w:val="center"/>
          </w:tcPr>
          <w:p w14:paraId="74685F39"/>
        </w:tc>
        <w:tc>
          <w:tcPr>
            <w:tcW w:w="2289" w:type="dxa"/>
            <w:vAlign w:val="center"/>
          </w:tcPr>
          <w:p w14:paraId="0C872F7C">
            <w:pPr>
              <w:jc w:val="right"/>
            </w:pPr>
            <w:r>
              <w:rPr>
                <w:rFonts w:hint="eastAsia"/>
              </w:rPr>
              <w:t>14,419,233.17</w:t>
            </w:r>
          </w:p>
        </w:tc>
        <w:tc>
          <w:tcPr>
            <w:tcW w:w="2295" w:type="dxa"/>
            <w:vAlign w:val="center"/>
          </w:tcPr>
          <w:p w14:paraId="760DD308">
            <w:pPr>
              <w:jc w:val="right"/>
            </w:pPr>
            <w:r>
              <w:rPr>
                <w:rFonts w:hint="eastAsia"/>
              </w:rPr>
              <w:t>391,278.56</w:t>
            </w:r>
          </w:p>
        </w:tc>
      </w:tr>
      <w:tr w14:paraId="3A51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C59936">
            <w:r>
              <w:rPr>
                <w:rFonts w:hint="eastAsia"/>
              </w:rPr>
              <w:t>减：所得税费用</w:t>
            </w:r>
          </w:p>
        </w:tc>
        <w:tc>
          <w:tcPr>
            <w:tcW w:w="1262" w:type="dxa"/>
            <w:vAlign w:val="center"/>
          </w:tcPr>
          <w:p w14:paraId="639F8EB2"/>
        </w:tc>
        <w:tc>
          <w:tcPr>
            <w:tcW w:w="2289" w:type="dxa"/>
            <w:vAlign w:val="center"/>
          </w:tcPr>
          <w:p w14:paraId="644B1A03">
            <w:pPr>
              <w:jc w:val="right"/>
            </w:pPr>
            <w:r>
              <w:rPr>
                <w:rFonts w:hint="eastAsia"/>
              </w:rPr>
              <w:t>-</w:t>
            </w:r>
          </w:p>
        </w:tc>
        <w:tc>
          <w:tcPr>
            <w:tcW w:w="2295" w:type="dxa"/>
            <w:vAlign w:val="center"/>
          </w:tcPr>
          <w:p w14:paraId="039AA0A5">
            <w:pPr>
              <w:jc w:val="right"/>
            </w:pPr>
            <w:r>
              <w:rPr>
                <w:rFonts w:hint="eastAsia"/>
              </w:rPr>
              <w:t>-</w:t>
            </w:r>
          </w:p>
        </w:tc>
      </w:tr>
      <w:tr w14:paraId="1D2E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2FC96">
            <w:r>
              <w:rPr>
                <w:rFonts w:hint="eastAsia"/>
              </w:rPr>
              <w:t>四、净利润（净亏损以“-”号填列）</w:t>
            </w:r>
          </w:p>
        </w:tc>
        <w:tc>
          <w:tcPr>
            <w:tcW w:w="1262" w:type="dxa"/>
            <w:vAlign w:val="center"/>
          </w:tcPr>
          <w:p w14:paraId="2C713D97"/>
        </w:tc>
        <w:tc>
          <w:tcPr>
            <w:tcW w:w="2289" w:type="dxa"/>
            <w:vAlign w:val="center"/>
          </w:tcPr>
          <w:p w14:paraId="78396811">
            <w:pPr>
              <w:jc w:val="right"/>
            </w:pPr>
            <w:r>
              <w:rPr>
                <w:rFonts w:hint="eastAsia"/>
              </w:rPr>
              <w:t>14,419,233.17</w:t>
            </w:r>
          </w:p>
        </w:tc>
        <w:tc>
          <w:tcPr>
            <w:tcW w:w="2295" w:type="dxa"/>
            <w:vAlign w:val="center"/>
          </w:tcPr>
          <w:p w14:paraId="0AF4DFDF">
            <w:pPr>
              <w:jc w:val="right"/>
            </w:pPr>
            <w:r>
              <w:rPr>
                <w:rFonts w:hint="eastAsia"/>
              </w:rPr>
              <w:t>391,278.56</w:t>
            </w:r>
          </w:p>
        </w:tc>
      </w:tr>
      <w:tr w14:paraId="0742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C7DB2A">
            <w:r>
              <w:rPr>
                <w:rFonts w:hint="eastAsia"/>
              </w:rPr>
              <w:t>五、其他综合收益的税后净额</w:t>
            </w:r>
          </w:p>
        </w:tc>
        <w:tc>
          <w:tcPr>
            <w:tcW w:w="1262" w:type="dxa"/>
            <w:vAlign w:val="center"/>
          </w:tcPr>
          <w:p w14:paraId="10195B5B"/>
        </w:tc>
        <w:tc>
          <w:tcPr>
            <w:tcW w:w="2289" w:type="dxa"/>
            <w:vAlign w:val="center"/>
          </w:tcPr>
          <w:p w14:paraId="32A1DFED">
            <w:pPr>
              <w:jc w:val="right"/>
            </w:pPr>
            <w:r>
              <w:rPr>
                <w:rFonts w:hint="eastAsia"/>
              </w:rPr>
              <w:t>-</w:t>
            </w:r>
          </w:p>
        </w:tc>
        <w:tc>
          <w:tcPr>
            <w:tcW w:w="2295" w:type="dxa"/>
            <w:vAlign w:val="center"/>
          </w:tcPr>
          <w:p w14:paraId="25A947DD">
            <w:pPr>
              <w:jc w:val="right"/>
            </w:pPr>
            <w:r>
              <w:rPr>
                <w:rFonts w:hint="eastAsia"/>
              </w:rPr>
              <w:t>-</w:t>
            </w:r>
          </w:p>
        </w:tc>
      </w:tr>
      <w:tr w14:paraId="21BEA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167092">
            <w:r>
              <w:rPr>
                <w:rFonts w:hint="eastAsia"/>
              </w:rPr>
              <w:t>六、综合收益总额</w:t>
            </w:r>
          </w:p>
        </w:tc>
        <w:tc>
          <w:tcPr>
            <w:tcW w:w="1262" w:type="dxa"/>
            <w:vAlign w:val="center"/>
          </w:tcPr>
          <w:p w14:paraId="16F86A55"/>
        </w:tc>
        <w:tc>
          <w:tcPr>
            <w:tcW w:w="2289" w:type="dxa"/>
            <w:vAlign w:val="center"/>
          </w:tcPr>
          <w:p w14:paraId="5D361BF0">
            <w:pPr>
              <w:jc w:val="right"/>
            </w:pPr>
            <w:r>
              <w:rPr>
                <w:rFonts w:hint="eastAsia"/>
              </w:rPr>
              <w:t>14,419,233.17</w:t>
            </w:r>
          </w:p>
        </w:tc>
        <w:tc>
          <w:tcPr>
            <w:tcW w:w="2295" w:type="dxa"/>
            <w:vAlign w:val="center"/>
          </w:tcPr>
          <w:p w14:paraId="4E904725">
            <w:pPr>
              <w:jc w:val="right"/>
            </w:pPr>
            <w:r>
              <w:rPr>
                <w:rFonts w:hint="eastAsia"/>
              </w:rPr>
              <w:t>391,278.56</w:t>
            </w:r>
          </w:p>
        </w:tc>
      </w:tr>
    </w:tbl>
    <w:p w14:paraId="08DF853A">
      <w:pPr>
        <w:pStyle w:val="23"/>
      </w:pPr>
      <w:bookmarkStart w:id="51" w:name="_Toc7241"/>
      <w:r>
        <w:t>净资产变动表</w:t>
      </w:r>
      <w:bookmarkEnd w:id="51"/>
    </w:p>
    <w:p w14:paraId="5F546604">
      <w:pPr>
        <w:pStyle w:val="18"/>
        <w:rPr>
          <w:rFonts w:hint="eastAsia"/>
        </w:rPr>
      </w:pPr>
      <w:r>
        <w:rPr>
          <w:rFonts w:hint="eastAsia"/>
        </w:rPr>
        <w:t>会计主体：南方基金南方东英富时亚太低碳精选交易型开放式指数证券投资基金发起式联接基金（QDII）</w:t>
      </w:r>
    </w:p>
    <w:p w14:paraId="023898A1">
      <w:pPr>
        <w:pStyle w:val="18"/>
        <w:rPr>
          <w:rFonts w:hint="eastAsia"/>
        </w:rPr>
      </w:pPr>
      <w:r>
        <w:rPr>
          <w:rFonts w:hint="eastAsia"/>
        </w:rPr>
        <w:t>本报告期：2025年1月1日至2025年12月31日</w:t>
      </w:r>
    </w:p>
    <w:p w14:paraId="0D97E88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6E52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B681CE6">
            <w:r>
              <w:rPr>
                <w:rFonts w:hint="eastAsia"/>
              </w:rPr>
              <w:t>项目</w:t>
            </w:r>
          </w:p>
        </w:tc>
        <w:tc>
          <w:tcPr>
            <w:tcW w:w="1661" w:type="dxa"/>
            <w:gridSpan w:val="4"/>
            <w:vAlign w:val="center"/>
          </w:tcPr>
          <w:p w14:paraId="6F4961AD">
            <w:r>
              <w:rPr>
                <w:rFonts w:hint="eastAsia"/>
              </w:rPr>
              <w:t>本期2025年1月1日至2025年12月31日</w:t>
            </w:r>
          </w:p>
        </w:tc>
      </w:tr>
      <w:tr w14:paraId="0353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00111D"/>
        </w:tc>
        <w:tc>
          <w:tcPr>
            <w:tcW w:w="1661" w:type="dxa"/>
            <w:vAlign w:val="center"/>
          </w:tcPr>
          <w:p w14:paraId="236C398B">
            <w:r>
              <w:rPr>
                <w:rFonts w:hint="eastAsia"/>
              </w:rPr>
              <w:t>实收基金</w:t>
            </w:r>
          </w:p>
        </w:tc>
        <w:tc>
          <w:tcPr>
            <w:tcW w:w="1661" w:type="dxa"/>
            <w:vAlign w:val="center"/>
          </w:tcPr>
          <w:p w14:paraId="3C33707E">
            <w:r>
              <w:rPr>
                <w:rFonts w:hint="eastAsia"/>
              </w:rPr>
              <w:t>其他综合收益</w:t>
            </w:r>
          </w:p>
        </w:tc>
        <w:tc>
          <w:tcPr>
            <w:tcW w:w="1661" w:type="dxa"/>
            <w:vAlign w:val="center"/>
          </w:tcPr>
          <w:p w14:paraId="78A8A32A">
            <w:r>
              <w:rPr>
                <w:rFonts w:hint="eastAsia"/>
              </w:rPr>
              <w:t>未分配利润</w:t>
            </w:r>
          </w:p>
        </w:tc>
        <w:tc>
          <w:tcPr>
            <w:tcW w:w="1661" w:type="dxa"/>
            <w:vAlign w:val="center"/>
          </w:tcPr>
          <w:p w14:paraId="20CCCC08">
            <w:r>
              <w:rPr>
                <w:rFonts w:hint="eastAsia"/>
              </w:rPr>
              <w:t>净资产合计</w:t>
            </w:r>
          </w:p>
        </w:tc>
      </w:tr>
      <w:tr w14:paraId="74C92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D2496B">
            <w:r>
              <w:rPr>
                <w:rFonts w:hint="eastAsia"/>
              </w:rPr>
              <w:t>一、上期期末净资产</w:t>
            </w:r>
          </w:p>
        </w:tc>
        <w:tc>
          <w:tcPr>
            <w:tcW w:w="1661" w:type="dxa"/>
            <w:vAlign w:val="center"/>
          </w:tcPr>
          <w:p w14:paraId="51308972">
            <w:pPr>
              <w:jc w:val="right"/>
            </w:pPr>
            <w:r>
              <w:rPr>
                <w:rFonts w:hint="eastAsia"/>
              </w:rPr>
              <w:t>39,319,932.57</w:t>
            </w:r>
          </w:p>
        </w:tc>
        <w:tc>
          <w:tcPr>
            <w:tcW w:w="1661" w:type="dxa"/>
            <w:vAlign w:val="center"/>
          </w:tcPr>
          <w:p w14:paraId="50EB3E2D">
            <w:pPr>
              <w:jc w:val="right"/>
            </w:pPr>
            <w:r>
              <w:rPr>
                <w:rFonts w:hint="eastAsia"/>
              </w:rPr>
              <w:t>-</w:t>
            </w:r>
          </w:p>
        </w:tc>
        <w:tc>
          <w:tcPr>
            <w:tcW w:w="1661" w:type="dxa"/>
            <w:vAlign w:val="center"/>
          </w:tcPr>
          <w:p w14:paraId="636C9AF0">
            <w:pPr>
              <w:jc w:val="right"/>
            </w:pPr>
            <w:r>
              <w:rPr>
                <w:rFonts w:hint="eastAsia"/>
              </w:rPr>
              <w:t>427,935.55</w:t>
            </w:r>
          </w:p>
        </w:tc>
        <w:tc>
          <w:tcPr>
            <w:tcW w:w="1661" w:type="dxa"/>
            <w:vAlign w:val="center"/>
          </w:tcPr>
          <w:p w14:paraId="5E6A6514">
            <w:pPr>
              <w:jc w:val="right"/>
            </w:pPr>
            <w:r>
              <w:rPr>
                <w:rFonts w:hint="eastAsia"/>
              </w:rPr>
              <w:t>39,747,868.12</w:t>
            </w:r>
          </w:p>
        </w:tc>
      </w:tr>
      <w:tr w14:paraId="058B2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6DC9B2">
            <w:r>
              <w:rPr>
                <w:rFonts w:hint="eastAsia"/>
              </w:rPr>
              <w:t>加：会计政策变更</w:t>
            </w:r>
          </w:p>
        </w:tc>
        <w:tc>
          <w:tcPr>
            <w:tcW w:w="1661" w:type="dxa"/>
            <w:vAlign w:val="center"/>
          </w:tcPr>
          <w:p w14:paraId="42FD86BB">
            <w:pPr>
              <w:jc w:val="right"/>
            </w:pPr>
            <w:r>
              <w:rPr>
                <w:rFonts w:hint="eastAsia"/>
              </w:rPr>
              <w:t>-</w:t>
            </w:r>
          </w:p>
        </w:tc>
        <w:tc>
          <w:tcPr>
            <w:tcW w:w="1661" w:type="dxa"/>
            <w:vAlign w:val="center"/>
          </w:tcPr>
          <w:p w14:paraId="02425B68">
            <w:pPr>
              <w:jc w:val="right"/>
            </w:pPr>
            <w:r>
              <w:rPr>
                <w:rFonts w:hint="eastAsia"/>
              </w:rPr>
              <w:t>-</w:t>
            </w:r>
          </w:p>
        </w:tc>
        <w:tc>
          <w:tcPr>
            <w:tcW w:w="1661" w:type="dxa"/>
            <w:vAlign w:val="center"/>
          </w:tcPr>
          <w:p w14:paraId="01CBB519">
            <w:pPr>
              <w:jc w:val="right"/>
            </w:pPr>
            <w:r>
              <w:rPr>
                <w:rFonts w:hint="eastAsia"/>
              </w:rPr>
              <w:t>-</w:t>
            </w:r>
          </w:p>
        </w:tc>
        <w:tc>
          <w:tcPr>
            <w:tcW w:w="1661" w:type="dxa"/>
            <w:vAlign w:val="center"/>
          </w:tcPr>
          <w:p w14:paraId="1069B58E">
            <w:pPr>
              <w:jc w:val="right"/>
            </w:pPr>
            <w:r>
              <w:rPr>
                <w:rFonts w:hint="eastAsia"/>
              </w:rPr>
              <w:t>-</w:t>
            </w:r>
          </w:p>
        </w:tc>
      </w:tr>
      <w:tr w14:paraId="3C72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8999D8">
            <w:r>
              <w:rPr>
                <w:rFonts w:hint="eastAsia"/>
              </w:rPr>
              <w:t xml:space="preserve">    前期差错更正</w:t>
            </w:r>
          </w:p>
        </w:tc>
        <w:tc>
          <w:tcPr>
            <w:tcW w:w="1661" w:type="dxa"/>
            <w:vAlign w:val="center"/>
          </w:tcPr>
          <w:p w14:paraId="7A6466DE">
            <w:pPr>
              <w:jc w:val="right"/>
            </w:pPr>
            <w:r>
              <w:rPr>
                <w:rFonts w:hint="eastAsia"/>
              </w:rPr>
              <w:t>-</w:t>
            </w:r>
          </w:p>
        </w:tc>
        <w:tc>
          <w:tcPr>
            <w:tcW w:w="1661" w:type="dxa"/>
            <w:vAlign w:val="center"/>
          </w:tcPr>
          <w:p w14:paraId="63474B08">
            <w:pPr>
              <w:jc w:val="right"/>
            </w:pPr>
            <w:r>
              <w:rPr>
                <w:rFonts w:hint="eastAsia"/>
              </w:rPr>
              <w:t>-</w:t>
            </w:r>
          </w:p>
        </w:tc>
        <w:tc>
          <w:tcPr>
            <w:tcW w:w="1661" w:type="dxa"/>
            <w:vAlign w:val="center"/>
          </w:tcPr>
          <w:p w14:paraId="658D7352">
            <w:pPr>
              <w:jc w:val="right"/>
            </w:pPr>
            <w:r>
              <w:rPr>
                <w:rFonts w:hint="eastAsia"/>
              </w:rPr>
              <w:t>-</w:t>
            </w:r>
          </w:p>
        </w:tc>
        <w:tc>
          <w:tcPr>
            <w:tcW w:w="1661" w:type="dxa"/>
            <w:vAlign w:val="center"/>
          </w:tcPr>
          <w:p w14:paraId="58AE6C2A">
            <w:pPr>
              <w:jc w:val="right"/>
            </w:pPr>
            <w:r>
              <w:rPr>
                <w:rFonts w:hint="eastAsia"/>
              </w:rPr>
              <w:t>-</w:t>
            </w:r>
          </w:p>
        </w:tc>
      </w:tr>
      <w:tr w14:paraId="7643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819BFA">
            <w:r>
              <w:rPr>
                <w:rFonts w:hint="eastAsia"/>
              </w:rPr>
              <w:t xml:space="preserve">    其他</w:t>
            </w:r>
          </w:p>
        </w:tc>
        <w:tc>
          <w:tcPr>
            <w:tcW w:w="1661" w:type="dxa"/>
            <w:vAlign w:val="center"/>
          </w:tcPr>
          <w:p w14:paraId="209B898B">
            <w:pPr>
              <w:jc w:val="right"/>
            </w:pPr>
            <w:r>
              <w:rPr>
                <w:rFonts w:hint="eastAsia"/>
              </w:rPr>
              <w:t>-</w:t>
            </w:r>
          </w:p>
        </w:tc>
        <w:tc>
          <w:tcPr>
            <w:tcW w:w="1661" w:type="dxa"/>
            <w:vAlign w:val="center"/>
          </w:tcPr>
          <w:p w14:paraId="3B5AF400">
            <w:pPr>
              <w:jc w:val="right"/>
            </w:pPr>
            <w:r>
              <w:rPr>
                <w:rFonts w:hint="eastAsia"/>
              </w:rPr>
              <w:t>-</w:t>
            </w:r>
          </w:p>
        </w:tc>
        <w:tc>
          <w:tcPr>
            <w:tcW w:w="1661" w:type="dxa"/>
            <w:vAlign w:val="center"/>
          </w:tcPr>
          <w:p w14:paraId="72FE8C04">
            <w:pPr>
              <w:jc w:val="right"/>
            </w:pPr>
            <w:r>
              <w:rPr>
                <w:rFonts w:hint="eastAsia"/>
              </w:rPr>
              <w:t>-</w:t>
            </w:r>
          </w:p>
        </w:tc>
        <w:tc>
          <w:tcPr>
            <w:tcW w:w="1661" w:type="dxa"/>
            <w:vAlign w:val="center"/>
          </w:tcPr>
          <w:p w14:paraId="5B4BC4B0">
            <w:pPr>
              <w:jc w:val="right"/>
            </w:pPr>
            <w:r>
              <w:rPr>
                <w:rFonts w:hint="eastAsia"/>
              </w:rPr>
              <w:t>-</w:t>
            </w:r>
          </w:p>
        </w:tc>
      </w:tr>
      <w:tr w14:paraId="558A6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871721">
            <w:r>
              <w:rPr>
                <w:rFonts w:hint="eastAsia"/>
              </w:rPr>
              <w:t>二、本期期初净资产</w:t>
            </w:r>
          </w:p>
        </w:tc>
        <w:tc>
          <w:tcPr>
            <w:tcW w:w="1661" w:type="dxa"/>
            <w:vAlign w:val="center"/>
          </w:tcPr>
          <w:p w14:paraId="72D95A70">
            <w:pPr>
              <w:jc w:val="right"/>
            </w:pPr>
            <w:r>
              <w:rPr>
                <w:rFonts w:hint="eastAsia"/>
              </w:rPr>
              <w:t>39,319,932.57</w:t>
            </w:r>
          </w:p>
        </w:tc>
        <w:tc>
          <w:tcPr>
            <w:tcW w:w="1661" w:type="dxa"/>
            <w:vAlign w:val="center"/>
          </w:tcPr>
          <w:p w14:paraId="56BFF64E">
            <w:pPr>
              <w:jc w:val="right"/>
            </w:pPr>
            <w:r>
              <w:rPr>
                <w:rFonts w:hint="eastAsia"/>
              </w:rPr>
              <w:t>-</w:t>
            </w:r>
          </w:p>
        </w:tc>
        <w:tc>
          <w:tcPr>
            <w:tcW w:w="1661" w:type="dxa"/>
            <w:vAlign w:val="center"/>
          </w:tcPr>
          <w:p w14:paraId="0421BD7A">
            <w:pPr>
              <w:jc w:val="right"/>
            </w:pPr>
            <w:r>
              <w:rPr>
                <w:rFonts w:hint="eastAsia"/>
              </w:rPr>
              <w:t>427,935.55</w:t>
            </w:r>
          </w:p>
        </w:tc>
        <w:tc>
          <w:tcPr>
            <w:tcW w:w="1661" w:type="dxa"/>
            <w:vAlign w:val="center"/>
          </w:tcPr>
          <w:p w14:paraId="385C3663">
            <w:pPr>
              <w:jc w:val="right"/>
            </w:pPr>
            <w:r>
              <w:rPr>
                <w:rFonts w:hint="eastAsia"/>
              </w:rPr>
              <w:t>39,747,868.12</w:t>
            </w:r>
          </w:p>
        </w:tc>
      </w:tr>
      <w:tr w14:paraId="5DD3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CC2DF4">
            <w:r>
              <w:rPr>
                <w:rFonts w:hint="eastAsia"/>
              </w:rPr>
              <w:t>三、本期增减变动额（减少以“-”号填列）</w:t>
            </w:r>
          </w:p>
        </w:tc>
        <w:tc>
          <w:tcPr>
            <w:tcW w:w="1661" w:type="dxa"/>
            <w:vAlign w:val="center"/>
          </w:tcPr>
          <w:p w14:paraId="5F08131A">
            <w:pPr>
              <w:jc w:val="right"/>
            </w:pPr>
            <w:r>
              <w:rPr>
                <w:rFonts w:hint="eastAsia"/>
              </w:rPr>
              <w:t>179,194,466.11</w:t>
            </w:r>
          </w:p>
        </w:tc>
        <w:tc>
          <w:tcPr>
            <w:tcW w:w="1661" w:type="dxa"/>
            <w:vAlign w:val="center"/>
          </w:tcPr>
          <w:p w14:paraId="797AA8A2">
            <w:pPr>
              <w:jc w:val="right"/>
            </w:pPr>
            <w:r>
              <w:rPr>
                <w:rFonts w:hint="eastAsia"/>
              </w:rPr>
              <w:t>-</w:t>
            </w:r>
          </w:p>
        </w:tc>
        <w:tc>
          <w:tcPr>
            <w:tcW w:w="1661" w:type="dxa"/>
            <w:vAlign w:val="center"/>
          </w:tcPr>
          <w:p w14:paraId="3C74A765">
            <w:pPr>
              <w:jc w:val="right"/>
            </w:pPr>
            <w:r>
              <w:rPr>
                <w:rFonts w:hint="eastAsia"/>
              </w:rPr>
              <w:t>50,931,938.20</w:t>
            </w:r>
          </w:p>
        </w:tc>
        <w:tc>
          <w:tcPr>
            <w:tcW w:w="1661" w:type="dxa"/>
            <w:vAlign w:val="center"/>
          </w:tcPr>
          <w:p w14:paraId="28FC7339">
            <w:pPr>
              <w:jc w:val="right"/>
            </w:pPr>
            <w:r>
              <w:rPr>
                <w:rFonts w:hint="eastAsia"/>
              </w:rPr>
              <w:t>230,126,404.31</w:t>
            </w:r>
          </w:p>
        </w:tc>
      </w:tr>
      <w:tr w14:paraId="0B5D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8717F9">
            <w:r>
              <w:rPr>
                <w:rFonts w:hint="eastAsia"/>
              </w:rPr>
              <w:t>（一）、综合收益总额</w:t>
            </w:r>
          </w:p>
        </w:tc>
        <w:tc>
          <w:tcPr>
            <w:tcW w:w="1661" w:type="dxa"/>
            <w:vAlign w:val="center"/>
          </w:tcPr>
          <w:p w14:paraId="6ABB9162">
            <w:pPr>
              <w:jc w:val="right"/>
            </w:pPr>
            <w:r>
              <w:rPr>
                <w:rFonts w:hint="eastAsia"/>
              </w:rPr>
              <w:t>-</w:t>
            </w:r>
          </w:p>
        </w:tc>
        <w:tc>
          <w:tcPr>
            <w:tcW w:w="1661" w:type="dxa"/>
            <w:vAlign w:val="center"/>
          </w:tcPr>
          <w:p w14:paraId="3ACF84F0">
            <w:pPr>
              <w:jc w:val="right"/>
            </w:pPr>
            <w:r>
              <w:rPr>
                <w:rFonts w:hint="eastAsia"/>
              </w:rPr>
              <w:t>-</w:t>
            </w:r>
          </w:p>
        </w:tc>
        <w:tc>
          <w:tcPr>
            <w:tcW w:w="1661" w:type="dxa"/>
            <w:vAlign w:val="center"/>
          </w:tcPr>
          <w:p w14:paraId="5C1E7085">
            <w:pPr>
              <w:jc w:val="right"/>
            </w:pPr>
            <w:r>
              <w:rPr>
                <w:rFonts w:hint="eastAsia"/>
              </w:rPr>
              <w:t>14,419,233.17</w:t>
            </w:r>
          </w:p>
        </w:tc>
        <w:tc>
          <w:tcPr>
            <w:tcW w:w="1661" w:type="dxa"/>
            <w:vAlign w:val="center"/>
          </w:tcPr>
          <w:p w14:paraId="62F39189">
            <w:pPr>
              <w:jc w:val="right"/>
            </w:pPr>
            <w:r>
              <w:rPr>
                <w:rFonts w:hint="eastAsia"/>
              </w:rPr>
              <w:t>14,419,233.17</w:t>
            </w:r>
          </w:p>
        </w:tc>
      </w:tr>
      <w:tr w14:paraId="2D58F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81928C">
            <w:r>
              <w:rPr>
                <w:rFonts w:hint="eastAsia"/>
              </w:rPr>
              <w:t>（二）、本期基金份额交易产生的净资产变动数（净资产减少以“-”号填列）</w:t>
            </w:r>
          </w:p>
        </w:tc>
        <w:tc>
          <w:tcPr>
            <w:tcW w:w="1661" w:type="dxa"/>
            <w:vAlign w:val="center"/>
          </w:tcPr>
          <w:p w14:paraId="08D5E56F">
            <w:pPr>
              <w:jc w:val="right"/>
            </w:pPr>
            <w:r>
              <w:rPr>
                <w:rFonts w:hint="eastAsia"/>
              </w:rPr>
              <w:t>179,194,466.11</w:t>
            </w:r>
          </w:p>
        </w:tc>
        <w:tc>
          <w:tcPr>
            <w:tcW w:w="1661" w:type="dxa"/>
            <w:vAlign w:val="center"/>
          </w:tcPr>
          <w:p w14:paraId="2592F6E1">
            <w:pPr>
              <w:jc w:val="right"/>
            </w:pPr>
            <w:r>
              <w:rPr>
                <w:rFonts w:hint="eastAsia"/>
              </w:rPr>
              <w:t>-</w:t>
            </w:r>
          </w:p>
        </w:tc>
        <w:tc>
          <w:tcPr>
            <w:tcW w:w="1661" w:type="dxa"/>
            <w:vAlign w:val="center"/>
          </w:tcPr>
          <w:p w14:paraId="48E31FED">
            <w:pPr>
              <w:jc w:val="right"/>
            </w:pPr>
            <w:r>
              <w:rPr>
                <w:rFonts w:hint="eastAsia"/>
              </w:rPr>
              <w:t>36,512,705.03</w:t>
            </w:r>
          </w:p>
        </w:tc>
        <w:tc>
          <w:tcPr>
            <w:tcW w:w="1661" w:type="dxa"/>
            <w:vAlign w:val="center"/>
          </w:tcPr>
          <w:p w14:paraId="1A24E372">
            <w:pPr>
              <w:jc w:val="right"/>
            </w:pPr>
            <w:r>
              <w:rPr>
                <w:rFonts w:hint="eastAsia"/>
              </w:rPr>
              <w:t>215,707,171.14</w:t>
            </w:r>
          </w:p>
        </w:tc>
      </w:tr>
      <w:tr w14:paraId="4574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54E7BE">
            <w:r>
              <w:rPr>
                <w:rFonts w:hint="eastAsia"/>
              </w:rPr>
              <w:t>其中：1.基金申购款</w:t>
            </w:r>
          </w:p>
        </w:tc>
        <w:tc>
          <w:tcPr>
            <w:tcW w:w="1661" w:type="dxa"/>
            <w:vAlign w:val="center"/>
          </w:tcPr>
          <w:p w14:paraId="04DBF2F0">
            <w:pPr>
              <w:jc w:val="right"/>
            </w:pPr>
            <w:r>
              <w:rPr>
                <w:rFonts w:hint="eastAsia"/>
              </w:rPr>
              <w:t>383,528,127.98</w:t>
            </w:r>
          </w:p>
        </w:tc>
        <w:tc>
          <w:tcPr>
            <w:tcW w:w="1661" w:type="dxa"/>
            <w:vAlign w:val="center"/>
          </w:tcPr>
          <w:p w14:paraId="409A9787">
            <w:pPr>
              <w:jc w:val="right"/>
            </w:pPr>
            <w:r>
              <w:rPr>
                <w:rFonts w:hint="eastAsia"/>
              </w:rPr>
              <w:t>-</w:t>
            </w:r>
          </w:p>
        </w:tc>
        <w:tc>
          <w:tcPr>
            <w:tcW w:w="1661" w:type="dxa"/>
            <w:vAlign w:val="center"/>
          </w:tcPr>
          <w:p w14:paraId="37C6687C">
            <w:pPr>
              <w:jc w:val="right"/>
            </w:pPr>
            <w:r>
              <w:rPr>
                <w:rFonts w:hint="eastAsia"/>
              </w:rPr>
              <w:t>74,182,584.33</w:t>
            </w:r>
          </w:p>
        </w:tc>
        <w:tc>
          <w:tcPr>
            <w:tcW w:w="1661" w:type="dxa"/>
            <w:vAlign w:val="center"/>
          </w:tcPr>
          <w:p w14:paraId="25D775E0">
            <w:pPr>
              <w:jc w:val="right"/>
            </w:pPr>
            <w:r>
              <w:rPr>
                <w:rFonts w:hint="eastAsia"/>
              </w:rPr>
              <w:t>457,710,712.31</w:t>
            </w:r>
          </w:p>
        </w:tc>
      </w:tr>
      <w:tr w14:paraId="392AD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F21393">
            <w:r>
              <w:rPr>
                <w:rFonts w:hint="eastAsia"/>
              </w:rPr>
              <w:t xml:space="preserve">      2.基金赎回款</w:t>
            </w:r>
          </w:p>
        </w:tc>
        <w:tc>
          <w:tcPr>
            <w:tcW w:w="1661" w:type="dxa"/>
            <w:vAlign w:val="center"/>
          </w:tcPr>
          <w:p w14:paraId="4AD6639D">
            <w:pPr>
              <w:jc w:val="right"/>
            </w:pPr>
            <w:r>
              <w:rPr>
                <w:rFonts w:hint="eastAsia"/>
              </w:rPr>
              <w:t>-204,333,661.87</w:t>
            </w:r>
          </w:p>
        </w:tc>
        <w:tc>
          <w:tcPr>
            <w:tcW w:w="1661" w:type="dxa"/>
            <w:vAlign w:val="center"/>
          </w:tcPr>
          <w:p w14:paraId="37090C80">
            <w:pPr>
              <w:jc w:val="right"/>
            </w:pPr>
            <w:r>
              <w:rPr>
                <w:rFonts w:hint="eastAsia"/>
              </w:rPr>
              <w:t>-</w:t>
            </w:r>
          </w:p>
        </w:tc>
        <w:tc>
          <w:tcPr>
            <w:tcW w:w="1661" w:type="dxa"/>
            <w:vAlign w:val="center"/>
          </w:tcPr>
          <w:p w14:paraId="2709B5C6">
            <w:pPr>
              <w:jc w:val="right"/>
            </w:pPr>
            <w:r>
              <w:rPr>
                <w:rFonts w:hint="eastAsia"/>
              </w:rPr>
              <w:t>-37,669,879.30</w:t>
            </w:r>
          </w:p>
        </w:tc>
        <w:tc>
          <w:tcPr>
            <w:tcW w:w="1661" w:type="dxa"/>
            <w:vAlign w:val="center"/>
          </w:tcPr>
          <w:p w14:paraId="69AFD471">
            <w:pPr>
              <w:jc w:val="right"/>
            </w:pPr>
            <w:r>
              <w:rPr>
                <w:rFonts w:hint="eastAsia"/>
              </w:rPr>
              <w:t>-242,003,541.17</w:t>
            </w:r>
          </w:p>
        </w:tc>
      </w:tr>
      <w:tr w14:paraId="2473B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3E9E2F">
            <w:r>
              <w:rPr>
                <w:rFonts w:hint="eastAsia"/>
              </w:rPr>
              <w:t>（三）、本期向基金份额持有人分配利润产生的净资产变动（净资产减少以“-”号填列）</w:t>
            </w:r>
          </w:p>
        </w:tc>
        <w:tc>
          <w:tcPr>
            <w:tcW w:w="1661" w:type="dxa"/>
            <w:vAlign w:val="center"/>
          </w:tcPr>
          <w:p w14:paraId="4EB44A6C">
            <w:pPr>
              <w:jc w:val="right"/>
            </w:pPr>
            <w:r>
              <w:rPr>
                <w:rFonts w:hint="eastAsia"/>
              </w:rPr>
              <w:t>-</w:t>
            </w:r>
          </w:p>
        </w:tc>
        <w:tc>
          <w:tcPr>
            <w:tcW w:w="1661" w:type="dxa"/>
            <w:vAlign w:val="center"/>
          </w:tcPr>
          <w:p w14:paraId="7A1079F5">
            <w:pPr>
              <w:jc w:val="right"/>
            </w:pPr>
            <w:r>
              <w:rPr>
                <w:rFonts w:hint="eastAsia"/>
              </w:rPr>
              <w:t>-</w:t>
            </w:r>
          </w:p>
        </w:tc>
        <w:tc>
          <w:tcPr>
            <w:tcW w:w="1661" w:type="dxa"/>
            <w:vAlign w:val="center"/>
          </w:tcPr>
          <w:p w14:paraId="27054F3E">
            <w:pPr>
              <w:jc w:val="right"/>
            </w:pPr>
            <w:r>
              <w:rPr>
                <w:rFonts w:hint="eastAsia"/>
              </w:rPr>
              <w:t>-</w:t>
            </w:r>
          </w:p>
        </w:tc>
        <w:tc>
          <w:tcPr>
            <w:tcW w:w="1661" w:type="dxa"/>
            <w:vAlign w:val="center"/>
          </w:tcPr>
          <w:p w14:paraId="28107229">
            <w:pPr>
              <w:jc w:val="right"/>
            </w:pPr>
            <w:r>
              <w:rPr>
                <w:rFonts w:hint="eastAsia"/>
              </w:rPr>
              <w:t>-</w:t>
            </w:r>
          </w:p>
        </w:tc>
      </w:tr>
      <w:tr w14:paraId="7E600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92FE5A">
            <w:r>
              <w:rPr>
                <w:rFonts w:hint="eastAsia"/>
              </w:rPr>
              <w:t>（四）、其他综合收益结转留存收益</w:t>
            </w:r>
          </w:p>
        </w:tc>
        <w:tc>
          <w:tcPr>
            <w:tcW w:w="1661" w:type="dxa"/>
            <w:vAlign w:val="center"/>
          </w:tcPr>
          <w:p w14:paraId="521C0AE1">
            <w:pPr>
              <w:jc w:val="right"/>
            </w:pPr>
            <w:r>
              <w:rPr>
                <w:rFonts w:hint="eastAsia"/>
              </w:rPr>
              <w:t>-</w:t>
            </w:r>
          </w:p>
        </w:tc>
        <w:tc>
          <w:tcPr>
            <w:tcW w:w="1661" w:type="dxa"/>
            <w:vAlign w:val="center"/>
          </w:tcPr>
          <w:p w14:paraId="1A06F6EE">
            <w:pPr>
              <w:jc w:val="right"/>
            </w:pPr>
            <w:r>
              <w:rPr>
                <w:rFonts w:hint="eastAsia"/>
              </w:rPr>
              <w:t>-</w:t>
            </w:r>
          </w:p>
        </w:tc>
        <w:tc>
          <w:tcPr>
            <w:tcW w:w="1661" w:type="dxa"/>
            <w:vAlign w:val="center"/>
          </w:tcPr>
          <w:p w14:paraId="19F6817A">
            <w:pPr>
              <w:jc w:val="right"/>
            </w:pPr>
            <w:r>
              <w:rPr>
                <w:rFonts w:hint="eastAsia"/>
              </w:rPr>
              <w:t>-</w:t>
            </w:r>
          </w:p>
        </w:tc>
        <w:tc>
          <w:tcPr>
            <w:tcW w:w="1661" w:type="dxa"/>
            <w:vAlign w:val="center"/>
          </w:tcPr>
          <w:p w14:paraId="6F52D084">
            <w:pPr>
              <w:jc w:val="right"/>
            </w:pPr>
            <w:r>
              <w:rPr>
                <w:rFonts w:hint="eastAsia"/>
              </w:rPr>
              <w:t>-</w:t>
            </w:r>
          </w:p>
        </w:tc>
      </w:tr>
      <w:tr w14:paraId="3FB9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D4EF07">
            <w:r>
              <w:rPr>
                <w:rFonts w:hint="eastAsia"/>
              </w:rPr>
              <w:t>四、本期期末净资产</w:t>
            </w:r>
          </w:p>
        </w:tc>
        <w:tc>
          <w:tcPr>
            <w:tcW w:w="1661" w:type="dxa"/>
            <w:vAlign w:val="center"/>
          </w:tcPr>
          <w:p w14:paraId="08FCAA3A">
            <w:pPr>
              <w:jc w:val="right"/>
            </w:pPr>
            <w:r>
              <w:rPr>
                <w:rFonts w:hint="eastAsia"/>
              </w:rPr>
              <w:t>218,514,398.68</w:t>
            </w:r>
          </w:p>
        </w:tc>
        <w:tc>
          <w:tcPr>
            <w:tcW w:w="1661" w:type="dxa"/>
            <w:vAlign w:val="center"/>
          </w:tcPr>
          <w:p w14:paraId="015A0F77">
            <w:pPr>
              <w:jc w:val="right"/>
            </w:pPr>
            <w:r>
              <w:rPr>
                <w:rFonts w:hint="eastAsia"/>
              </w:rPr>
              <w:t>-</w:t>
            </w:r>
          </w:p>
        </w:tc>
        <w:tc>
          <w:tcPr>
            <w:tcW w:w="1661" w:type="dxa"/>
            <w:vAlign w:val="center"/>
          </w:tcPr>
          <w:p w14:paraId="416DBC2B">
            <w:pPr>
              <w:jc w:val="right"/>
            </w:pPr>
            <w:r>
              <w:rPr>
                <w:rFonts w:hint="eastAsia"/>
              </w:rPr>
              <w:t>51,359,873.75</w:t>
            </w:r>
          </w:p>
        </w:tc>
        <w:tc>
          <w:tcPr>
            <w:tcW w:w="1661" w:type="dxa"/>
            <w:vAlign w:val="center"/>
          </w:tcPr>
          <w:p w14:paraId="197A1FDA">
            <w:pPr>
              <w:jc w:val="right"/>
            </w:pPr>
            <w:r>
              <w:rPr>
                <w:rFonts w:hint="eastAsia"/>
              </w:rPr>
              <w:t>269,874,272.43</w:t>
            </w:r>
          </w:p>
        </w:tc>
      </w:tr>
      <w:tr w14:paraId="59384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A94AA58">
            <w:r>
              <w:rPr>
                <w:rFonts w:hint="eastAsia"/>
              </w:rPr>
              <w:t>项目</w:t>
            </w:r>
          </w:p>
        </w:tc>
        <w:tc>
          <w:tcPr>
            <w:tcW w:w="1661" w:type="dxa"/>
            <w:gridSpan w:val="4"/>
            <w:vAlign w:val="center"/>
          </w:tcPr>
          <w:p w14:paraId="47FC97B0">
            <w:r>
              <w:rPr>
                <w:rFonts w:hint="eastAsia"/>
              </w:rPr>
              <w:t>上年度可比期间2024年5月21日（基金合同生效日）至2024年12月31日</w:t>
            </w:r>
          </w:p>
        </w:tc>
      </w:tr>
      <w:tr w14:paraId="1179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0AFEC4"/>
        </w:tc>
        <w:tc>
          <w:tcPr>
            <w:tcW w:w="1661" w:type="dxa"/>
            <w:vAlign w:val="center"/>
          </w:tcPr>
          <w:p w14:paraId="18DF1361">
            <w:r>
              <w:rPr>
                <w:rFonts w:hint="eastAsia"/>
              </w:rPr>
              <w:t>实收基金</w:t>
            </w:r>
          </w:p>
        </w:tc>
        <w:tc>
          <w:tcPr>
            <w:tcW w:w="1661" w:type="dxa"/>
            <w:vAlign w:val="center"/>
          </w:tcPr>
          <w:p w14:paraId="51B94977">
            <w:r>
              <w:rPr>
                <w:rFonts w:hint="eastAsia"/>
              </w:rPr>
              <w:t>其他综合收益</w:t>
            </w:r>
          </w:p>
        </w:tc>
        <w:tc>
          <w:tcPr>
            <w:tcW w:w="1661" w:type="dxa"/>
            <w:vAlign w:val="center"/>
          </w:tcPr>
          <w:p w14:paraId="0FCDAE6E">
            <w:r>
              <w:rPr>
                <w:rFonts w:hint="eastAsia"/>
              </w:rPr>
              <w:t>未分配利润</w:t>
            </w:r>
          </w:p>
        </w:tc>
        <w:tc>
          <w:tcPr>
            <w:tcW w:w="1661" w:type="dxa"/>
            <w:vAlign w:val="center"/>
          </w:tcPr>
          <w:p w14:paraId="5594D015">
            <w:r>
              <w:rPr>
                <w:rFonts w:hint="eastAsia"/>
              </w:rPr>
              <w:t>净资产合计</w:t>
            </w:r>
          </w:p>
        </w:tc>
      </w:tr>
      <w:tr w14:paraId="34C84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B67E40">
            <w:r>
              <w:rPr>
                <w:rFonts w:hint="eastAsia"/>
              </w:rPr>
              <w:t>一、上期期末净资产</w:t>
            </w:r>
          </w:p>
        </w:tc>
        <w:tc>
          <w:tcPr>
            <w:tcW w:w="1661" w:type="dxa"/>
            <w:vAlign w:val="center"/>
          </w:tcPr>
          <w:p w14:paraId="1337A0E7">
            <w:pPr>
              <w:jc w:val="right"/>
            </w:pPr>
            <w:r>
              <w:rPr>
                <w:rFonts w:hint="eastAsia"/>
              </w:rPr>
              <w:t>-</w:t>
            </w:r>
          </w:p>
        </w:tc>
        <w:tc>
          <w:tcPr>
            <w:tcW w:w="1661" w:type="dxa"/>
            <w:vAlign w:val="center"/>
          </w:tcPr>
          <w:p w14:paraId="2F084E87">
            <w:pPr>
              <w:jc w:val="right"/>
            </w:pPr>
            <w:r>
              <w:rPr>
                <w:rFonts w:hint="eastAsia"/>
              </w:rPr>
              <w:t>-</w:t>
            </w:r>
          </w:p>
        </w:tc>
        <w:tc>
          <w:tcPr>
            <w:tcW w:w="1661" w:type="dxa"/>
            <w:vAlign w:val="center"/>
          </w:tcPr>
          <w:p w14:paraId="114D663D">
            <w:pPr>
              <w:jc w:val="right"/>
            </w:pPr>
            <w:r>
              <w:rPr>
                <w:rFonts w:hint="eastAsia"/>
              </w:rPr>
              <w:t>-</w:t>
            </w:r>
          </w:p>
        </w:tc>
        <w:tc>
          <w:tcPr>
            <w:tcW w:w="1661" w:type="dxa"/>
            <w:vAlign w:val="center"/>
          </w:tcPr>
          <w:p w14:paraId="1938CDCB">
            <w:pPr>
              <w:jc w:val="right"/>
            </w:pPr>
            <w:r>
              <w:rPr>
                <w:rFonts w:hint="eastAsia"/>
              </w:rPr>
              <w:t>-</w:t>
            </w:r>
          </w:p>
        </w:tc>
      </w:tr>
      <w:tr w14:paraId="0AA88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0DFC7D">
            <w:r>
              <w:rPr>
                <w:rFonts w:hint="eastAsia"/>
              </w:rPr>
              <w:t>加：会计政策变更</w:t>
            </w:r>
          </w:p>
        </w:tc>
        <w:tc>
          <w:tcPr>
            <w:tcW w:w="1661" w:type="dxa"/>
            <w:vAlign w:val="center"/>
          </w:tcPr>
          <w:p w14:paraId="0C25B267">
            <w:pPr>
              <w:jc w:val="right"/>
            </w:pPr>
            <w:r>
              <w:rPr>
                <w:rFonts w:hint="eastAsia"/>
              </w:rPr>
              <w:t>-</w:t>
            </w:r>
          </w:p>
        </w:tc>
        <w:tc>
          <w:tcPr>
            <w:tcW w:w="1661" w:type="dxa"/>
            <w:vAlign w:val="center"/>
          </w:tcPr>
          <w:p w14:paraId="174FCE85">
            <w:pPr>
              <w:jc w:val="right"/>
            </w:pPr>
            <w:r>
              <w:rPr>
                <w:rFonts w:hint="eastAsia"/>
              </w:rPr>
              <w:t>-</w:t>
            </w:r>
          </w:p>
        </w:tc>
        <w:tc>
          <w:tcPr>
            <w:tcW w:w="1661" w:type="dxa"/>
            <w:vAlign w:val="center"/>
          </w:tcPr>
          <w:p w14:paraId="2A51D071">
            <w:pPr>
              <w:jc w:val="right"/>
            </w:pPr>
            <w:r>
              <w:rPr>
                <w:rFonts w:hint="eastAsia"/>
              </w:rPr>
              <w:t>-</w:t>
            </w:r>
          </w:p>
        </w:tc>
        <w:tc>
          <w:tcPr>
            <w:tcW w:w="1661" w:type="dxa"/>
            <w:vAlign w:val="center"/>
          </w:tcPr>
          <w:p w14:paraId="01FE595C">
            <w:pPr>
              <w:jc w:val="right"/>
            </w:pPr>
            <w:r>
              <w:rPr>
                <w:rFonts w:hint="eastAsia"/>
              </w:rPr>
              <w:t>-</w:t>
            </w:r>
          </w:p>
        </w:tc>
      </w:tr>
      <w:tr w14:paraId="79EE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5E53B8">
            <w:r>
              <w:rPr>
                <w:rFonts w:hint="eastAsia"/>
              </w:rPr>
              <w:t xml:space="preserve">    前期差错更正</w:t>
            </w:r>
          </w:p>
        </w:tc>
        <w:tc>
          <w:tcPr>
            <w:tcW w:w="1661" w:type="dxa"/>
            <w:vAlign w:val="center"/>
          </w:tcPr>
          <w:p w14:paraId="0CEA01BF">
            <w:pPr>
              <w:jc w:val="right"/>
            </w:pPr>
            <w:r>
              <w:rPr>
                <w:rFonts w:hint="eastAsia"/>
              </w:rPr>
              <w:t>-</w:t>
            </w:r>
          </w:p>
        </w:tc>
        <w:tc>
          <w:tcPr>
            <w:tcW w:w="1661" w:type="dxa"/>
            <w:vAlign w:val="center"/>
          </w:tcPr>
          <w:p w14:paraId="15BB59BA">
            <w:pPr>
              <w:jc w:val="right"/>
            </w:pPr>
            <w:r>
              <w:rPr>
                <w:rFonts w:hint="eastAsia"/>
              </w:rPr>
              <w:t>-</w:t>
            </w:r>
          </w:p>
        </w:tc>
        <w:tc>
          <w:tcPr>
            <w:tcW w:w="1661" w:type="dxa"/>
            <w:vAlign w:val="center"/>
          </w:tcPr>
          <w:p w14:paraId="6AB6BBC6">
            <w:pPr>
              <w:jc w:val="right"/>
            </w:pPr>
            <w:r>
              <w:rPr>
                <w:rFonts w:hint="eastAsia"/>
              </w:rPr>
              <w:t>-</w:t>
            </w:r>
          </w:p>
        </w:tc>
        <w:tc>
          <w:tcPr>
            <w:tcW w:w="1661" w:type="dxa"/>
            <w:vAlign w:val="center"/>
          </w:tcPr>
          <w:p w14:paraId="037EF2E3">
            <w:pPr>
              <w:jc w:val="right"/>
            </w:pPr>
            <w:r>
              <w:rPr>
                <w:rFonts w:hint="eastAsia"/>
              </w:rPr>
              <w:t>-</w:t>
            </w:r>
          </w:p>
        </w:tc>
      </w:tr>
      <w:tr w14:paraId="1F0B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6F0710">
            <w:r>
              <w:rPr>
                <w:rFonts w:hint="eastAsia"/>
              </w:rPr>
              <w:t xml:space="preserve">    其他</w:t>
            </w:r>
          </w:p>
        </w:tc>
        <w:tc>
          <w:tcPr>
            <w:tcW w:w="1661" w:type="dxa"/>
            <w:vAlign w:val="center"/>
          </w:tcPr>
          <w:p w14:paraId="02DC604D">
            <w:pPr>
              <w:jc w:val="right"/>
            </w:pPr>
            <w:r>
              <w:rPr>
                <w:rFonts w:hint="eastAsia"/>
              </w:rPr>
              <w:t>-</w:t>
            </w:r>
          </w:p>
        </w:tc>
        <w:tc>
          <w:tcPr>
            <w:tcW w:w="1661" w:type="dxa"/>
            <w:vAlign w:val="center"/>
          </w:tcPr>
          <w:p w14:paraId="632AC5B8">
            <w:pPr>
              <w:jc w:val="right"/>
            </w:pPr>
            <w:r>
              <w:rPr>
                <w:rFonts w:hint="eastAsia"/>
              </w:rPr>
              <w:t>-</w:t>
            </w:r>
          </w:p>
        </w:tc>
        <w:tc>
          <w:tcPr>
            <w:tcW w:w="1661" w:type="dxa"/>
            <w:vAlign w:val="center"/>
          </w:tcPr>
          <w:p w14:paraId="03523D8D">
            <w:pPr>
              <w:jc w:val="right"/>
            </w:pPr>
            <w:r>
              <w:rPr>
                <w:rFonts w:hint="eastAsia"/>
              </w:rPr>
              <w:t>-</w:t>
            </w:r>
          </w:p>
        </w:tc>
        <w:tc>
          <w:tcPr>
            <w:tcW w:w="1661" w:type="dxa"/>
            <w:vAlign w:val="center"/>
          </w:tcPr>
          <w:p w14:paraId="1D64887B">
            <w:pPr>
              <w:jc w:val="right"/>
            </w:pPr>
            <w:r>
              <w:rPr>
                <w:rFonts w:hint="eastAsia"/>
              </w:rPr>
              <w:t>-</w:t>
            </w:r>
          </w:p>
        </w:tc>
      </w:tr>
      <w:tr w14:paraId="53B7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7F3754">
            <w:r>
              <w:rPr>
                <w:rFonts w:hint="eastAsia"/>
              </w:rPr>
              <w:t>二、本期期初净资产</w:t>
            </w:r>
          </w:p>
        </w:tc>
        <w:tc>
          <w:tcPr>
            <w:tcW w:w="1661" w:type="dxa"/>
            <w:vAlign w:val="center"/>
          </w:tcPr>
          <w:p w14:paraId="42C9EA0F">
            <w:pPr>
              <w:jc w:val="right"/>
            </w:pPr>
            <w:r>
              <w:rPr>
                <w:rFonts w:hint="eastAsia"/>
              </w:rPr>
              <w:t>28,915,714.77</w:t>
            </w:r>
          </w:p>
        </w:tc>
        <w:tc>
          <w:tcPr>
            <w:tcW w:w="1661" w:type="dxa"/>
            <w:vAlign w:val="center"/>
          </w:tcPr>
          <w:p w14:paraId="6A3D6386">
            <w:pPr>
              <w:jc w:val="right"/>
            </w:pPr>
            <w:r>
              <w:rPr>
                <w:rFonts w:hint="eastAsia"/>
              </w:rPr>
              <w:t>-</w:t>
            </w:r>
          </w:p>
        </w:tc>
        <w:tc>
          <w:tcPr>
            <w:tcW w:w="1661" w:type="dxa"/>
            <w:vAlign w:val="center"/>
          </w:tcPr>
          <w:p w14:paraId="074C3E64">
            <w:pPr>
              <w:jc w:val="right"/>
            </w:pPr>
            <w:r>
              <w:rPr>
                <w:rFonts w:hint="eastAsia"/>
              </w:rPr>
              <w:t>-</w:t>
            </w:r>
          </w:p>
        </w:tc>
        <w:tc>
          <w:tcPr>
            <w:tcW w:w="1661" w:type="dxa"/>
            <w:vAlign w:val="center"/>
          </w:tcPr>
          <w:p w14:paraId="5DBBFCB1">
            <w:pPr>
              <w:jc w:val="right"/>
            </w:pPr>
            <w:r>
              <w:rPr>
                <w:rFonts w:hint="eastAsia"/>
              </w:rPr>
              <w:t>28,915,714.77</w:t>
            </w:r>
          </w:p>
        </w:tc>
      </w:tr>
      <w:tr w14:paraId="06E6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97284F">
            <w:r>
              <w:rPr>
                <w:rFonts w:hint="eastAsia"/>
              </w:rPr>
              <w:t>三、本期增减变动额（减少以“-”号填列）</w:t>
            </w:r>
          </w:p>
        </w:tc>
        <w:tc>
          <w:tcPr>
            <w:tcW w:w="1661" w:type="dxa"/>
            <w:vAlign w:val="center"/>
          </w:tcPr>
          <w:p w14:paraId="0E6E8C38">
            <w:pPr>
              <w:jc w:val="right"/>
            </w:pPr>
            <w:r>
              <w:rPr>
                <w:rFonts w:hint="eastAsia"/>
              </w:rPr>
              <w:t>10,404,217.80</w:t>
            </w:r>
          </w:p>
        </w:tc>
        <w:tc>
          <w:tcPr>
            <w:tcW w:w="1661" w:type="dxa"/>
            <w:vAlign w:val="center"/>
          </w:tcPr>
          <w:p w14:paraId="5E59B57B">
            <w:pPr>
              <w:jc w:val="right"/>
            </w:pPr>
            <w:r>
              <w:rPr>
                <w:rFonts w:hint="eastAsia"/>
              </w:rPr>
              <w:t>-</w:t>
            </w:r>
          </w:p>
        </w:tc>
        <w:tc>
          <w:tcPr>
            <w:tcW w:w="1661" w:type="dxa"/>
            <w:vAlign w:val="center"/>
          </w:tcPr>
          <w:p w14:paraId="54439168">
            <w:pPr>
              <w:jc w:val="right"/>
            </w:pPr>
            <w:r>
              <w:rPr>
                <w:rFonts w:hint="eastAsia"/>
              </w:rPr>
              <w:t>427,935.55</w:t>
            </w:r>
          </w:p>
        </w:tc>
        <w:tc>
          <w:tcPr>
            <w:tcW w:w="1661" w:type="dxa"/>
            <w:vAlign w:val="center"/>
          </w:tcPr>
          <w:p w14:paraId="5A9B5072">
            <w:pPr>
              <w:jc w:val="right"/>
            </w:pPr>
            <w:r>
              <w:rPr>
                <w:rFonts w:hint="eastAsia"/>
              </w:rPr>
              <w:t>10,832,153.35</w:t>
            </w:r>
          </w:p>
        </w:tc>
      </w:tr>
      <w:tr w14:paraId="37EA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2C11CA">
            <w:r>
              <w:rPr>
                <w:rFonts w:hint="eastAsia"/>
              </w:rPr>
              <w:t>（一）、综合收益总额</w:t>
            </w:r>
          </w:p>
        </w:tc>
        <w:tc>
          <w:tcPr>
            <w:tcW w:w="1661" w:type="dxa"/>
            <w:vAlign w:val="center"/>
          </w:tcPr>
          <w:p w14:paraId="080FC32F">
            <w:pPr>
              <w:jc w:val="right"/>
            </w:pPr>
            <w:r>
              <w:rPr>
                <w:rFonts w:hint="eastAsia"/>
              </w:rPr>
              <w:t>-</w:t>
            </w:r>
          </w:p>
        </w:tc>
        <w:tc>
          <w:tcPr>
            <w:tcW w:w="1661" w:type="dxa"/>
            <w:vAlign w:val="center"/>
          </w:tcPr>
          <w:p w14:paraId="07DE97EF">
            <w:pPr>
              <w:jc w:val="right"/>
            </w:pPr>
            <w:r>
              <w:rPr>
                <w:rFonts w:hint="eastAsia"/>
              </w:rPr>
              <w:t>-</w:t>
            </w:r>
          </w:p>
        </w:tc>
        <w:tc>
          <w:tcPr>
            <w:tcW w:w="1661" w:type="dxa"/>
            <w:vAlign w:val="center"/>
          </w:tcPr>
          <w:p w14:paraId="3ED16F6B">
            <w:pPr>
              <w:jc w:val="right"/>
            </w:pPr>
            <w:r>
              <w:rPr>
                <w:rFonts w:hint="eastAsia"/>
              </w:rPr>
              <w:t>391,278.56</w:t>
            </w:r>
          </w:p>
        </w:tc>
        <w:tc>
          <w:tcPr>
            <w:tcW w:w="1661" w:type="dxa"/>
            <w:vAlign w:val="center"/>
          </w:tcPr>
          <w:p w14:paraId="1D8AE8E7">
            <w:pPr>
              <w:jc w:val="right"/>
            </w:pPr>
            <w:r>
              <w:rPr>
                <w:rFonts w:hint="eastAsia"/>
              </w:rPr>
              <w:t>391,278.56</w:t>
            </w:r>
          </w:p>
        </w:tc>
      </w:tr>
      <w:tr w14:paraId="02E17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21EB69">
            <w:r>
              <w:rPr>
                <w:rFonts w:hint="eastAsia"/>
              </w:rPr>
              <w:t>（二）、本期基金份额交易产生的净资产变动数（净资产减少以“-”号填列）</w:t>
            </w:r>
          </w:p>
        </w:tc>
        <w:tc>
          <w:tcPr>
            <w:tcW w:w="1661" w:type="dxa"/>
            <w:vAlign w:val="center"/>
          </w:tcPr>
          <w:p w14:paraId="4E4F3008">
            <w:pPr>
              <w:jc w:val="right"/>
            </w:pPr>
            <w:r>
              <w:rPr>
                <w:rFonts w:hint="eastAsia"/>
              </w:rPr>
              <w:t>10,404,217.80</w:t>
            </w:r>
          </w:p>
        </w:tc>
        <w:tc>
          <w:tcPr>
            <w:tcW w:w="1661" w:type="dxa"/>
            <w:vAlign w:val="center"/>
          </w:tcPr>
          <w:p w14:paraId="102FCC3E">
            <w:pPr>
              <w:jc w:val="right"/>
            </w:pPr>
            <w:r>
              <w:rPr>
                <w:rFonts w:hint="eastAsia"/>
              </w:rPr>
              <w:t>-</w:t>
            </w:r>
          </w:p>
        </w:tc>
        <w:tc>
          <w:tcPr>
            <w:tcW w:w="1661" w:type="dxa"/>
            <w:vAlign w:val="center"/>
          </w:tcPr>
          <w:p w14:paraId="77C7B3B6">
            <w:pPr>
              <w:jc w:val="right"/>
            </w:pPr>
            <w:r>
              <w:rPr>
                <w:rFonts w:hint="eastAsia"/>
              </w:rPr>
              <w:t>36,656.99</w:t>
            </w:r>
          </w:p>
        </w:tc>
        <w:tc>
          <w:tcPr>
            <w:tcW w:w="1661" w:type="dxa"/>
            <w:vAlign w:val="center"/>
          </w:tcPr>
          <w:p w14:paraId="13ED11CD">
            <w:pPr>
              <w:jc w:val="right"/>
            </w:pPr>
            <w:r>
              <w:rPr>
                <w:rFonts w:hint="eastAsia"/>
              </w:rPr>
              <w:t>10,440,874.79</w:t>
            </w:r>
          </w:p>
        </w:tc>
      </w:tr>
      <w:tr w14:paraId="3C9A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DBD96B">
            <w:r>
              <w:rPr>
                <w:rFonts w:hint="eastAsia"/>
              </w:rPr>
              <w:t>其中：1.基金申购款</w:t>
            </w:r>
          </w:p>
        </w:tc>
        <w:tc>
          <w:tcPr>
            <w:tcW w:w="1661" w:type="dxa"/>
            <w:vAlign w:val="center"/>
          </w:tcPr>
          <w:p w14:paraId="62938C26">
            <w:pPr>
              <w:jc w:val="right"/>
            </w:pPr>
            <w:r>
              <w:rPr>
                <w:rFonts w:hint="eastAsia"/>
              </w:rPr>
              <w:t>67,878,334.29</w:t>
            </w:r>
          </w:p>
        </w:tc>
        <w:tc>
          <w:tcPr>
            <w:tcW w:w="1661" w:type="dxa"/>
            <w:vAlign w:val="center"/>
          </w:tcPr>
          <w:p w14:paraId="7E21A7AA">
            <w:pPr>
              <w:jc w:val="right"/>
            </w:pPr>
            <w:r>
              <w:rPr>
                <w:rFonts w:hint="eastAsia"/>
              </w:rPr>
              <w:t>-</w:t>
            </w:r>
          </w:p>
        </w:tc>
        <w:tc>
          <w:tcPr>
            <w:tcW w:w="1661" w:type="dxa"/>
            <w:vAlign w:val="center"/>
          </w:tcPr>
          <w:p w14:paraId="79F45F1E">
            <w:pPr>
              <w:jc w:val="right"/>
            </w:pPr>
            <w:r>
              <w:rPr>
                <w:rFonts w:hint="eastAsia"/>
              </w:rPr>
              <w:t>465,727.86</w:t>
            </w:r>
          </w:p>
        </w:tc>
        <w:tc>
          <w:tcPr>
            <w:tcW w:w="1661" w:type="dxa"/>
            <w:vAlign w:val="center"/>
          </w:tcPr>
          <w:p w14:paraId="3D703183">
            <w:pPr>
              <w:jc w:val="right"/>
            </w:pPr>
            <w:r>
              <w:rPr>
                <w:rFonts w:hint="eastAsia"/>
              </w:rPr>
              <w:t>68,344,062.15</w:t>
            </w:r>
          </w:p>
        </w:tc>
      </w:tr>
      <w:tr w14:paraId="4C02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D7E98B">
            <w:r>
              <w:rPr>
                <w:rFonts w:hint="eastAsia"/>
              </w:rPr>
              <w:t xml:space="preserve">      2.基金赎回款</w:t>
            </w:r>
          </w:p>
        </w:tc>
        <w:tc>
          <w:tcPr>
            <w:tcW w:w="1661" w:type="dxa"/>
            <w:vAlign w:val="center"/>
          </w:tcPr>
          <w:p w14:paraId="3D5D0CC1">
            <w:pPr>
              <w:jc w:val="right"/>
            </w:pPr>
            <w:r>
              <w:rPr>
                <w:rFonts w:hint="eastAsia"/>
              </w:rPr>
              <w:t>-57,474,116.49</w:t>
            </w:r>
          </w:p>
        </w:tc>
        <w:tc>
          <w:tcPr>
            <w:tcW w:w="1661" w:type="dxa"/>
            <w:vAlign w:val="center"/>
          </w:tcPr>
          <w:p w14:paraId="362E5770">
            <w:pPr>
              <w:jc w:val="right"/>
            </w:pPr>
            <w:r>
              <w:rPr>
                <w:rFonts w:hint="eastAsia"/>
              </w:rPr>
              <w:t>-</w:t>
            </w:r>
          </w:p>
        </w:tc>
        <w:tc>
          <w:tcPr>
            <w:tcW w:w="1661" w:type="dxa"/>
            <w:vAlign w:val="center"/>
          </w:tcPr>
          <w:p w14:paraId="6610B7CC">
            <w:pPr>
              <w:jc w:val="right"/>
            </w:pPr>
            <w:r>
              <w:rPr>
                <w:rFonts w:hint="eastAsia"/>
              </w:rPr>
              <w:t>-429,070.87</w:t>
            </w:r>
          </w:p>
        </w:tc>
        <w:tc>
          <w:tcPr>
            <w:tcW w:w="1661" w:type="dxa"/>
            <w:vAlign w:val="center"/>
          </w:tcPr>
          <w:p w14:paraId="10E6AADB">
            <w:pPr>
              <w:jc w:val="right"/>
            </w:pPr>
            <w:r>
              <w:rPr>
                <w:rFonts w:hint="eastAsia"/>
              </w:rPr>
              <w:t>-57,903,187.36</w:t>
            </w:r>
          </w:p>
        </w:tc>
      </w:tr>
      <w:tr w14:paraId="6611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9FB756">
            <w:r>
              <w:rPr>
                <w:rFonts w:hint="eastAsia"/>
              </w:rPr>
              <w:t>（三）、本期向基金份额持有人分配利润产生的净资产变动（净资产减少以“-”号填列）</w:t>
            </w:r>
          </w:p>
        </w:tc>
        <w:tc>
          <w:tcPr>
            <w:tcW w:w="1661" w:type="dxa"/>
            <w:vAlign w:val="center"/>
          </w:tcPr>
          <w:p w14:paraId="2F3A78F9">
            <w:pPr>
              <w:jc w:val="right"/>
            </w:pPr>
            <w:r>
              <w:rPr>
                <w:rFonts w:hint="eastAsia"/>
              </w:rPr>
              <w:t>-</w:t>
            </w:r>
          </w:p>
        </w:tc>
        <w:tc>
          <w:tcPr>
            <w:tcW w:w="1661" w:type="dxa"/>
            <w:vAlign w:val="center"/>
          </w:tcPr>
          <w:p w14:paraId="62B1251F">
            <w:pPr>
              <w:jc w:val="right"/>
            </w:pPr>
            <w:r>
              <w:rPr>
                <w:rFonts w:hint="eastAsia"/>
              </w:rPr>
              <w:t>-</w:t>
            </w:r>
          </w:p>
        </w:tc>
        <w:tc>
          <w:tcPr>
            <w:tcW w:w="1661" w:type="dxa"/>
            <w:vAlign w:val="center"/>
          </w:tcPr>
          <w:p w14:paraId="4E38D800">
            <w:pPr>
              <w:jc w:val="right"/>
            </w:pPr>
            <w:r>
              <w:rPr>
                <w:rFonts w:hint="eastAsia"/>
              </w:rPr>
              <w:t>-</w:t>
            </w:r>
          </w:p>
        </w:tc>
        <w:tc>
          <w:tcPr>
            <w:tcW w:w="1661" w:type="dxa"/>
            <w:vAlign w:val="center"/>
          </w:tcPr>
          <w:p w14:paraId="3750297E">
            <w:pPr>
              <w:jc w:val="right"/>
            </w:pPr>
            <w:r>
              <w:rPr>
                <w:rFonts w:hint="eastAsia"/>
              </w:rPr>
              <w:t>-</w:t>
            </w:r>
          </w:p>
        </w:tc>
      </w:tr>
      <w:tr w14:paraId="37299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B3AAB5">
            <w:r>
              <w:rPr>
                <w:rFonts w:hint="eastAsia"/>
              </w:rPr>
              <w:t>（四）、其他综合收益结转留存收益</w:t>
            </w:r>
          </w:p>
        </w:tc>
        <w:tc>
          <w:tcPr>
            <w:tcW w:w="1661" w:type="dxa"/>
            <w:vAlign w:val="center"/>
          </w:tcPr>
          <w:p w14:paraId="103D48D7">
            <w:pPr>
              <w:jc w:val="right"/>
            </w:pPr>
            <w:r>
              <w:rPr>
                <w:rFonts w:hint="eastAsia"/>
              </w:rPr>
              <w:t>-</w:t>
            </w:r>
          </w:p>
        </w:tc>
        <w:tc>
          <w:tcPr>
            <w:tcW w:w="1661" w:type="dxa"/>
            <w:vAlign w:val="center"/>
          </w:tcPr>
          <w:p w14:paraId="1C486E5F">
            <w:pPr>
              <w:jc w:val="right"/>
            </w:pPr>
            <w:r>
              <w:rPr>
                <w:rFonts w:hint="eastAsia"/>
              </w:rPr>
              <w:t>-</w:t>
            </w:r>
          </w:p>
        </w:tc>
        <w:tc>
          <w:tcPr>
            <w:tcW w:w="1661" w:type="dxa"/>
            <w:vAlign w:val="center"/>
          </w:tcPr>
          <w:p w14:paraId="238297B0">
            <w:pPr>
              <w:jc w:val="right"/>
            </w:pPr>
            <w:r>
              <w:rPr>
                <w:rFonts w:hint="eastAsia"/>
              </w:rPr>
              <w:t>-</w:t>
            </w:r>
          </w:p>
        </w:tc>
        <w:tc>
          <w:tcPr>
            <w:tcW w:w="1661" w:type="dxa"/>
            <w:vAlign w:val="center"/>
          </w:tcPr>
          <w:p w14:paraId="47B14E25">
            <w:pPr>
              <w:jc w:val="right"/>
            </w:pPr>
            <w:r>
              <w:rPr>
                <w:rFonts w:hint="eastAsia"/>
              </w:rPr>
              <w:t>-</w:t>
            </w:r>
          </w:p>
        </w:tc>
      </w:tr>
      <w:tr w14:paraId="1A2F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EC1D39">
            <w:r>
              <w:rPr>
                <w:rFonts w:hint="eastAsia"/>
              </w:rPr>
              <w:t>四、本期期末净资产</w:t>
            </w:r>
          </w:p>
        </w:tc>
        <w:tc>
          <w:tcPr>
            <w:tcW w:w="1661" w:type="dxa"/>
            <w:vAlign w:val="center"/>
          </w:tcPr>
          <w:p w14:paraId="0D9D4581">
            <w:pPr>
              <w:jc w:val="right"/>
            </w:pPr>
            <w:r>
              <w:rPr>
                <w:rFonts w:hint="eastAsia"/>
              </w:rPr>
              <w:t>39,319,932.57</w:t>
            </w:r>
          </w:p>
        </w:tc>
        <w:tc>
          <w:tcPr>
            <w:tcW w:w="1661" w:type="dxa"/>
            <w:vAlign w:val="center"/>
          </w:tcPr>
          <w:p w14:paraId="5C0325E7">
            <w:pPr>
              <w:jc w:val="right"/>
            </w:pPr>
            <w:r>
              <w:rPr>
                <w:rFonts w:hint="eastAsia"/>
              </w:rPr>
              <w:t>-</w:t>
            </w:r>
          </w:p>
        </w:tc>
        <w:tc>
          <w:tcPr>
            <w:tcW w:w="1661" w:type="dxa"/>
            <w:vAlign w:val="center"/>
          </w:tcPr>
          <w:p w14:paraId="6BC09200">
            <w:pPr>
              <w:jc w:val="right"/>
            </w:pPr>
            <w:r>
              <w:rPr>
                <w:rFonts w:hint="eastAsia"/>
              </w:rPr>
              <w:t>427,935.55</w:t>
            </w:r>
          </w:p>
        </w:tc>
        <w:tc>
          <w:tcPr>
            <w:tcW w:w="1661" w:type="dxa"/>
            <w:vAlign w:val="center"/>
          </w:tcPr>
          <w:p w14:paraId="4A9F7D8D">
            <w:pPr>
              <w:jc w:val="right"/>
            </w:pPr>
            <w:r>
              <w:rPr>
                <w:rFonts w:hint="eastAsia"/>
              </w:rPr>
              <w:t>39,747,868.12</w:t>
            </w:r>
          </w:p>
        </w:tc>
      </w:tr>
    </w:tbl>
    <w:p w14:paraId="398C7FC1">
      <w:pPr>
        <w:pStyle w:val="18"/>
        <w:rPr>
          <w:rFonts w:hint="eastAsia"/>
        </w:rPr>
      </w:pPr>
      <w:r>
        <w:rPr>
          <w:rFonts w:hint="eastAsia"/>
        </w:rPr>
        <w:t>报表附注为财务报表的组成部分。</w:t>
      </w:r>
    </w:p>
    <w:p w14:paraId="1EAF715F">
      <w:pPr>
        <w:pStyle w:val="18"/>
        <w:rPr>
          <w:rFonts w:hint="eastAsia"/>
        </w:rPr>
      </w:pPr>
      <w:r>
        <w:rPr>
          <w:rFonts w:hint="eastAsia"/>
        </w:rPr>
        <w:t>本报告 7.1 至 7.4 财务报表由下列负责人签署：</w:t>
      </w:r>
    </w:p>
    <w:p w14:paraId="3B9A87B5">
      <w:pPr>
        <w:pStyle w:val="18"/>
        <w:rPr>
          <w:rFonts w:hint="eastAsia"/>
        </w:rPr>
      </w:pPr>
      <w:r>
        <w:rPr>
          <w:rFonts w:hint="eastAsia"/>
        </w:rPr>
        <w:t>____杨小松___           ____蔡忠评______          ____徐超____</w:t>
      </w:r>
    </w:p>
    <w:p w14:paraId="4B6CB284">
      <w:pPr>
        <w:pStyle w:val="18"/>
        <w:rPr>
          <w:rFonts w:hint="eastAsia"/>
        </w:rPr>
      </w:pPr>
      <w:r>
        <w:rPr>
          <w:rFonts w:hint="eastAsia"/>
        </w:rPr>
        <w:t>基金管理人负责人     主管会计工作负责人         会计机构负责人</w:t>
      </w:r>
    </w:p>
    <w:p w14:paraId="7980EF8C">
      <w:pPr>
        <w:pStyle w:val="23"/>
      </w:pPr>
      <w:bookmarkStart w:id="52" w:name="_Toc24523"/>
      <w:r>
        <w:t>报表附注</w:t>
      </w:r>
      <w:bookmarkEnd w:id="52"/>
    </w:p>
    <w:p w14:paraId="1633912F">
      <w:pPr>
        <w:pStyle w:val="28"/>
      </w:pPr>
      <w:bookmarkStart w:id="53" w:name="_Toc53"/>
      <w:r>
        <w:t>基金基本情况</w:t>
      </w:r>
      <w:bookmarkEnd w:id="53"/>
    </w:p>
    <w:p w14:paraId="3C8384B7">
      <w:pPr>
        <w:pStyle w:val="18"/>
        <w:rPr>
          <w:rFonts w:hint="eastAsia"/>
        </w:rPr>
      </w:pPr>
      <w:r>
        <w:rPr>
          <w:rFonts w:hint="eastAsia"/>
        </w:rPr>
        <w:t>南方基金南方东英富时亚太低碳精选交易型开放式指数证券投资基金发起式联接基金(QDII)(原名为“南方基金南方东英银河联昌富时亚太低碳精选交易型开放式指数证券投资基金发起式联接基金(QDII)”，以下简称“本基金”)经中国证券监督管理委员会(以下简称“中国证监会”)证监许可[2024]448号《关于准予南方基金南方东英银河联昌富时亚太低碳精选交易型开放式指数证券投资基金发起式联接基金(QDII)注册的批复》注册，由南方基金管理股份有限公司依照《中华人民共和国证券投资基金法》和《南方基金南方东英银河联昌富时亚太低碳精选交易型开放式指数证券投资基金发起式联接基金(QDII)基金合同》负责公开募集。本基金为契约型开放式，存续期限不定，首次设立募集不包括认购资金利息共募集人民币28,910,163.08元，业经普华永道中天会计师事务所(特殊普通合伙)普华永道中天验字(2024)第0203号验资报告予以验证。经向中国证监会备案，《南方基金南方东英银河联昌富时亚太低碳精选交易型开放式指数证券投资基金发起式联接基金(QDII)基金合同》于2024年5月21日正式生效，基金合同生效日的基金份额总额为28,915,714.77份基金份额，其中认购资金利息折合5,551.69份基金份额。本基金的基金管理人为南方基金管理股份有限公司，基金托管人为招商银行股份有限公司，境外托管人为美国花旗银行有限公司。</w:t>
      </w:r>
    </w:p>
    <w:p w14:paraId="5C8174B8">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01B57892">
      <w:pPr>
        <w:pStyle w:val="18"/>
        <w:rPr>
          <w:rFonts w:hint="eastAsia"/>
        </w:rPr>
      </w:pPr>
      <w:r>
        <w:rPr>
          <w:rFonts w:hint="eastAsia"/>
        </w:rPr>
        <w:t>本基金根据认购/申购费用、销售服务费收取方式的不同，将基金份额分为不同的类别。在投资人认购/申购时收取前端认购/申购费用并在赎回时根据持有期限收取赎回费用、且不从本类别基金资产净值中计提销售服务费的基金份额，称为A类基金份额；从本类别基金资产净值中计提销售服务费、不收取认购/申购费用并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6C5A83A9">
      <w:pPr>
        <w:pStyle w:val="18"/>
        <w:rPr>
          <w:rFonts w:hint="eastAsia"/>
        </w:rPr>
      </w:pPr>
      <w:r>
        <w:rPr>
          <w:rFonts w:hint="eastAsia"/>
        </w:rPr>
        <w:t>根据本基金的基金管理人南方基金管理股份有限公司于2024年12月5日发布的《关于南方基金南方东英银河联昌富时亚太低碳精选交易型开放式指数证券投资基金(QDII)及联接基金变更基金名称并修改法律文件的公告》,本基金自2024年12月5日起更名为南方基金南方东英富时亚太低碳精选交易型开放式指数证券投资基金发起式联接基金(QDII)。</w:t>
      </w:r>
    </w:p>
    <w:p w14:paraId="71EB3EED">
      <w:pPr>
        <w:pStyle w:val="18"/>
        <w:rPr>
          <w:rFonts w:hint="eastAsia"/>
        </w:rPr>
      </w:pPr>
      <w:r>
        <w:rPr>
          <w:rFonts w:hint="eastAsia"/>
        </w:rPr>
        <w:t>本基金为南方基金南方东英富时亚太低碳精选交易型开放式指数证券投资基金(QDII)(原名为“南方基金南方东英银河联昌富时亚太低碳精选交易型开放式指数证券投资基金(QDII)”，自2024年12月5日起更名，以下简称“目标ETF”)的联接基金。目标ETF是采用完全复制法实现对富时亚太低碳精选指数(以下简称“标的指数”)紧密跟踪的被动指数基金，本基金主要通过投资于目标ETF实现对业绩比较基准的紧密跟踪，力争净值增长率与业绩比较基准之间的日均跟踪偏离度不超过0.35%，年跟踪误差不超过4%。</w:t>
      </w:r>
    </w:p>
    <w:p w14:paraId="2B4588A7">
      <w:pPr>
        <w:pStyle w:val="18"/>
        <w:rPr>
          <w:rFonts w:hint="eastAsia"/>
        </w:rPr>
      </w:pPr>
      <w:r>
        <w:rPr>
          <w:rFonts w:hint="eastAsia"/>
        </w:rPr>
        <w:t>根据《中华人民共和国证券投资基金法》和《南方基金南方东英富时亚太低碳精选交易型开放式指数证券投资基金发起式联接基金(QDII)基金合同》的有关规定，本基金主要投资于目标ETF基金份额、标的指数成份股、备选成份股(包括已与中国证监会签署双边监管合作谅解备忘录的国家或地区证券市场挂牌交易的普通股、优先股、全球存托凭证和美国存托凭证、房地产信托凭证、境内存托凭证等)，与标的指数相关的公募基金、上市交易型基金(含ETF)、中国证监会允许投资的结构性产品及金融衍生产品等。为更好地实现投资目标，本基金可参与其他境外市场投资工具和境内市场投资工具投资。境内市场投资工具包括股票(包含主板、创业板及其他经中国证监会核准或注册发行的股票以及存托凭证)、衍生工具(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根据相关规定可参与融资、转融通证券出借业务。境外市场投资工具包括在已与中国证监会签署双边监管合作谅解备忘录的国家或地区证券监管机构登记注册的公募基金(含ETF)；已与中国证监会签署双边监管合作谅解备忘录的国家或地区证券市场挂牌交易的普通股、优先股、全球存托凭证和美国存托凭证、房地产信托凭证；政府债券、公司债券、可转换债券、住房按揭支持证券、资产支持证券等及经中国证监会认可的国际金融组织发行的证券；银行存款、可转让存单、银行承兑汇票、银行票据、商业票据、回购协议、短期政府债券等货币市场工具；远期合约、互换及经中国证监会认可的境外交易所上市交易的权证、期权、期货等金融衍生产品；与固定收益、股权、信用、商品指数、基金等标的物挂钩的结构性投资产品；以及法律法规或中国证监会允许基金投资的其他金融工具，但须符合中国证监会相关规定。本基金在投资香港市场时，可通过合格境内机构投资者(QDII)境外投资额度或内地与香港股票市场交易互联互通机制进行投资。本基金可以进行境外证券借贷交易、境外正回购交易、逆回购交易。有关证券借贷交易的内容以专门签署的三方或多方协议约定为准。本基金的投资组合比例为：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本基金业绩比较基准为经估值汇率调整后的富时亚太低碳精选指数收益率×95%+银行人民币活期存款利率(税后)×5%。</w:t>
      </w:r>
    </w:p>
    <w:p w14:paraId="69E7FEFF">
      <w:pPr>
        <w:pStyle w:val="18"/>
        <w:rPr>
          <w:rFonts w:hint="eastAsia"/>
        </w:rPr>
      </w:pPr>
      <w:r>
        <w:rPr>
          <w:rFonts w:hint="eastAsia"/>
        </w:rPr>
        <w:t>本财务报表由本基金的基金管理人南方基金管理股份有限公司于2026年3月27日批准报出。</w:t>
      </w:r>
    </w:p>
    <w:p w14:paraId="5D33D8D7">
      <w:pPr>
        <w:pStyle w:val="28"/>
      </w:pPr>
      <w:bookmarkStart w:id="54" w:name="_Toc54"/>
      <w:r>
        <w:t>会计报表的编制基础</w:t>
      </w:r>
      <w:bookmarkEnd w:id="54"/>
    </w:p>
    <w:p w14:paraId="0198F91D">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66A9916A">
      <w:pPr>
        <w:pStyle w:val="18"/>
        <w:rPr>
          <w:rFonts w:hint="eastAsia"/>
        </w:rPr>
      </w:pPr>
      <w:r>
        <w:rPr>
          <w:rFonts w:hint="eastAsia"/>
        </w:rPr>
        <w:t>本财务报表以持续经营为基础编制。</w:t>
      </w:r>
    </w:p>
    <w:p w14:paraId="56304E56">
      <w:pPr>
        <w:pStyle w:val="28"/>
      </w:pPr>
      <w:bookmarkStart w:id="55" w:name="_Toc55"/>
      <w:r>
        <w:t>遵循企业会计准则及其他有关规定的声明</w:t>
      </w:r>
      <w:bookmarkEnd w:id="55"/>
    </w:p>
    <w:p w14:paraId="4D21DAAA">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0195B154">
      <w:pPr>
        <w:pStyle w:val="28"/>
      </w:pPr>
      <w:bookmarkStart w:id="56" w:name="_Toc56"/>
      <w:r>
        <w:t>重要会计政策和会计估计</w:t>
      </w:r>
      <w:bookmarkEnd w:id="56"/>
    </w:p>
    <w:p w14:paraId="0878C605">
      <w:pPr>
        <w:pStyle w:val="35"/>
      </w:pPr>
      <w:bookmarkStart w:id="57" w:name="_Toc57"/>
      <w:r>
        <w:t>会计年度</w:t>
      </w:r>
      <w:bookmarkEnd w:id="57"/>
    </w:p>
    <w:p w14:paraId="5ACB3C96">
      <w:pPr>
        <w:pStyle w:val="18"/>
        <w:rPr>
          <w:rFonts w:hint="eastAsia"/>
        </w:rPr>
      </w:pPr>
      <w:r>
        <w:rPr>
          <w:rFonts w:hint="eastAsia"/>
        </w:rPr>
        <w:t>本基金会计年度为公历1月1日起至12月31日止。比较财务报表的实际编制期间为2024年5月21日(基金合同生效日)至2024年12月31日。</w:t>
      </w:r>
    </w:p>
    <w:p w14:paraId="3954B8C8">
      <w:pPr>
        <w:pStyle w:val="35"/>
      </w:pPr>
      <w:bookmarkStart w:id="58" w:name="_Toc58"/>
      <w:r>
        <w:t>记账本位币</w:t>
      </w:r>
      <w:bookmarkEnd w:id="58"/>
    </w:p>
    <w:p w14:paraId="662A1EEC">
      <w:pPr>
        <w:pStyle w:val="18"/>
        <w:rPr>
          <w:rFonts w:hint="eastAsia"/>
        </w:rPr>
      </w:pPr>
      <w:r>
        <w:rPr>
          <w:rFonts w:hint="eastAsia"/>
        </w:rPr>
        <w:t>本基金的记账本位币为人民币。</w:t>
      </w:r>
    </w:p>
    <w:p w14:paraId="5F852501">
      <w:pPr>
        <w:pStyle w:val="35"/>
      </w:pPr>
      <w:bookmarkStart w:id="59" w:name="_Toc59"/>
      <w:r>
        <w:t>金融资产和金融负债的分类</w:t>
      </w:r>
      <w:bookmarkEnd w:id="59"/>
    </w:p>
    <w:p w14:paraId="323C9C88">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5515A3A5">
      <w:pPr>
        <w:pStyle w:val="18"/>
        <w:rPr>
          <w:rFonts w:hint="eastAsia"/>
        </w:rPr>
      </w:pPr>
      <w:r>
        <w:rPr>
          <w:rFonts w:hint="eastAsia"/>
        </w:rPr>
        <w:t>(1)金融资产</w:t>
      </w:r>
    </w:p>
    <w:p w14:paraId="0DE8934E">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1C4D711D">
      <w:pPr>
        <w:pStyle w:val="18"/>
        <w:rPr>
          <w:rFonts w:hint="eastAsia"/>
        </w:rPr>
      </w:pPr>
      <w:r>
        <w:rPr>
          <w:rFonts w:hint="eastAsia"/>
        </w:rPr>
        <w:t>债务工具</w:t>
      </w:r>
    </w:p>
    <w:p w14:paraId="79176763">
      <w:pPr>
        <w:pStyle w:val="18"/>
        <w:rPr>
          <w:rFonts w:hint="eastAsia"/>
        </w:rPr>
      </w:pPr>
      <w:r>
        <w:rPr>
          <w:rFonts w:hint="eastAsia"/>
        </w:rPr>
        <w:t>本基金持有的债务工具是指从发行方角度分析符合金融负债定义的工具，分别采用以下两种方式进行计量：</w:t>
      </w:r>
    </w:p>
    <w:p w14:paraId="2F024C75">
      <w:pPr>
        <w:pStyle w:val="18"/>
        <w:rPr>
          <w:rFonts w:hint="eastAsia"/>
        </w:rPr>
      </w:pPr>
      <w:r>
        <w:rPr>
          <w:rFonts w:hint="eastAsia"/>
        </w:rPr>
        <w:t>以摊余成本计量：</w:t>
      </w:r>
    </w:p>
    <w:p w14:paraId="6C0648A2">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1EE5EBAF">
      <w:pPr>
        <w:pStyle w:val="18"/>
        <w:rPr>
          <w:rFonts w:hint="eastAsia"/>
        </w:rPr>
      </w:pPr>
      <w:r>
        <w:rPr>
          <w:rFonts w:hint="eastAsia"/>
        </w:rPr>
        <w:t>以公允价值计量且其变动计入当期损益：</w:t>
      </w:r>
    </w:p>
    <w:p w14:paraId="404ADF9F">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13DE1D67">
      <w:pPr>
        <w:pStyle w:val="18"/>
        <w:rPr>
          <w:rFonts w:hint="eastAsia"/>
        </w:rPr>
      </w:pPr>
      <w:r>
        <w:rPr>
          <w:rFonts w:hint="eastAsia"/>
        </w:rPr>
        <w:t>权益工具</w:t>
      </w:r>
    </w:p>
    <w:p w14:paraId="2C446891">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129AB38D">
      <w:pPr>
        <w:pStyle w:val="18"/>
        <w:rPr>
          <w:rFonts w:hint="eastAsia"/>
        </w:rPr>
      </w:pPr>
      <w:r>
        <w:rPr>
          <w:rFonts w:hint="eastAsia"/>
        </w:rPr>
        <w:t>(2)金融负债</w:t>
      </w:r>
    </w:p>
    <w:p w14:paraId="3EDDEEB0">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74CB138C">
      <w:pPr>
        <w:pStyle w:val="18"/>
        <w:rPr>
          <w:rFonts w:hint="eastAsia"/>
        </w:rPr>
      </w:pPr>
      <w:r>
        <w:rPr>
          <w:rFonts w:hint="eastAsia"/>
        </w:rPr>
        <w:t>(3)衍生金融工具</w:t>
      </w:r>
    </w:p>
    <w:p w14:paraId="585466B9">
      <w:pPr>
        <w:pStyle w:val="18"/>
        <w:rPr>
          <w:rFonts w:hint="eastAsia"/>
        </w:rPr>
      </w:pPr>
      <w:r>
        <w:rPr>
          <w:rFonts w:hint="eastAsia"/>
        </w:rPr>
        <w:t>本基金将持有的衍生金融工具以公允价值计量且其变动计入当期损益，在资产负债表中列示为衍生金融资产/负债。</w:t>
      </w:r>
    </w:p>
    <w:p w14:paraId="76A039F1">
      <w:pPr>
        <w:pStyle w:val="35"/>
      </w:pPr>
      <w:bookmarkStart w:id="60" w:name="_Toc60"/>
      <w:r>
        <w:t>金融资产和金融负债的初始确认、后续计量和终止确认</w:t>
      </w:r>
      <w:bookmarkEnd w:id="60"/>
    </w:p>
    <w:p w14:paraId="7E4FAA8F">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3E1250FD">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05810A99">
      <w:pPr>
        <w:pStyle w:val="18"/>
        <w:rPr>
          <w:rFonts w:hint="eastAsia"/>
        </w:rPr>
      </w:pPr>
      <w:r>
        <w:rPr>
          <w:rFonts w:hint="eastAsia"/>
        </w:rPr>
        <w:t>本基金对于以摊余成本计量的金融资产，以预期信用损失为基础确认损失准备。</w:t>
      </w:r>
    </w:p>
    <w:p w14:paraId="380A1CD8">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24893CBC">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396FC085">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7E547C77">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460CCCE3">
      <w:pPr>
        <w:pStyle w:val="18"/>
        <w:rPr>
          <w:rFonts w:hint="eastAsia"/>
        </w:rPr>
      </w:pPr>
      <w:r>
        <w:rPr>
          <w:rFonts w:hint="eastAsia"/>
        </w:rPr>
        <w:t>本基金将计提或转回的损失准备计入当期损益。</w:t>
      </w:r>
    </w:p>
    <w:p w14:paraId="59A4C583">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7E9D443D">
      <w:pPr>
        <w:pStyle w:val="18"/>
        <w:rPr>
          <w:rFonts w:hint="eastAsia"/>
        </w:rPr>
      </w:pPr>
      <w:r>
        <w:rPr>
          <w:rFonts w:hint="eastAsia"/>
        </w:rPr>
        <w:t>金融资产终止确认时，其账面价值与收到的对价的差额，计入当期损益。</w:t>
      </w:r>
    </w:p>
    <w:p w14:paraId="69074B1C">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15EA0F00">
      <w:pPr>
        <w:pStyle w:val="35"/>
      </w:pPr>
      <w:bookmarkStart w:id="61" w:name="_Toc61"/>
      <w:r>
        <w:t>金融资产和金融负债的估值原则</w:t>
      </w:r>
      <w:bookmarkEnd w:id="61"/>
    </w:p>
    <w:p w14:paraId="092F7792">
      <w:pPr>
        <w:pStyle w:val="18"/>
        <w:rPr>
          <w:rFonts w:hint="eastAsia"/>
        </w:rPr>
      </w:pPr>
      <w:r>
        <w:rPr>
          <w:rFonts w:hint="eastAsia"/>
        </w:rPr>
        <w:t>本基金持有的以公允价值计量且其变动计入当期损益的金融资产按如下原则确定公允价值并进行估值：</w:t>
      </w:r>
    </w:p>
    <w:p w14:paraId="047BF444">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787A97C">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46A1ACF6">
      <w:pPr>
        <w:pStyle w:val="18"/>
        <w:rPr>
          <w:rFonts w:hint="eastAsia"/>
        </w:rPr>
      </w:pPr>
      <w:r>
        <w:rPr>
          <w:rFonts w:hint="eastAsia"/>
        </w:rPr>
        <w:t>(3)如经济环境发生重大变化或证券发行人发生影响金融工具价格的重大事件，应对估值进行调整并确定公允价值。</w:t>
      </w:r>
    </w:p>
    <w:p w14:paraId="4FA38199">
      <w:pPr>
        <w:pStyle w:val="35"/>
      </w:pPr>
      <w:bookmarkStart w:id="62" w:name="_Toc62"/>
      <w:r>
        <w:t>金融资产和金融负债的抵销</w:t>
      </w:r>
      <w:bookmarkEnd w:id="62"/>
    </w:p>
    <w:p w14:paraId="3BAA02AE">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41AE8658">
      <w:pPr>
        <w:pStyle w:val="35"/>
      </w:pPr>
      <w:bookmarkStart w:id="63" w:name="_Toc63"/>
      <w:r>
        <w:t>实收基金</w:t>
      </w:r>
      <w:bookmarkEnd w:id="63"/>
    </w:p>
    <w:p w14:paraId="4C7ACB2A">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6B105DBA">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7E8D59BC">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14B3D12F">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3CF8997D">
      <w:pPr>
        <w:pStyle w:val="18"/>
        <w:rPr>
          <w:rFonts w:hint="eastAsia"/>
        </w:rPr>
      </w:pPr>
      <w:r>
        <w:rPr>
          <w:rFonts w:hint="eastAsia"/>
        </w:rPr>
        <w:t>本基金将实收基金分类为权益工具，列报于净资产。</w:t>
      </w:r>
    </w:p>
    <w:p w14:paraId="12D56FB8">
      <w:pPr>
        <w:pStyle w:val="35"/>
      </w:pPr>
      <w:bookmarkStart w:id="64" w:name="_Toc64"/>
      <w:r>
        <w:t>损益平准金</w:t>
      </w:r>
      <w:bookmarkEnd w:id="64"/>
    </w:p>
    <w:p w14:paraId="55B55F7D">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79F253A9">
      <w:pPr>
        <w:pStyle w:val="35"/>
      </w:pPr>
      <w:bookmarkStart w:id="65" w:name="_Toc65"/>
      <w:r>
        <w:t>收入/（损失）的确认和计量</w:t>
      </w:r>
      <w:bookmarkEnd w:id="65"/>
    </w:p>
    <w:p w14:paraId="0553FC8E">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4D4B132B">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04485978">
      <w:pPr>
        <w:pStyle w:val="18"/>
        <w:rPr>
          <w:rFonts w:hint="eastAsia"/>
        </w:rPr>
      </w:pPr>
      <w:r>
        <w:rPr>
          <w:rFonts w:hint="eastAsia"/>
        </w:rPr>
        <w:t>应收款项在持有期间确认的利息收入按实际利率法计算，实际利率法与直线法差异较小的则按直线法计算。</w:t>
      </w:r>
    </w:p>
    <w:p w14:paraId="1E742C17">
      <w:pPr>
        <w:pStyle w:val="35"/>
      </w:pPr>
      <w:bookmarkStart w:id="66" w:name="_Toc66"/>
      <w:r>
        <w:t>费用的确认和计量</w:t>
      </w:r>
      <w:bookmarkEnd w:id="66"/>
    </w:p>
    <w:p w14:paraId="3E7F805F">
      <w:pPr>
        <w:pStyle w:val="18"/>
        <w:rPr>
          <w:rFonts w:hint="eastAsia"/>
        </w:rPr>
      </w:pPr>
      <w:r>
        <w:rPr>
          <w:rFonts w:hint="eastAsia"/>
        </w:rPr>
        <w:t>本基金的管理人报酬、托管费和销售服务费在费用涵盖期间按基金合同约定的费率和计算方法逐日确认。</w:t>
      </w:r>
    </w:p>
    <w:p w14:paraId="10DDB074">
      <w:pPr>
        <w:pStyle w:val="18"/>
        <w:rPr>
          <w:rFonts w:hint="eastAsia"/>
        </w:rPr>
      </w:pPr>
      <w:r>
        <w:rPr>
          <w:rFonts w:hint="eastAsia"/>
        </w:rPr>
        <w:t>以摊余成本计量的金融负债在持有期间确认的利息支出按实际利率法计算，实际利率法与直线法差异较小的则按直线法计算。</w:t>
      </w:r>
    </w:p>
    <w:p w14:paraId="02C6C543">
      <w:pPr>
        <w:pStyle w:val="35"/>
      </w:pPr>
      <w:bookmarkStart w:id="67" w:name="_Toc67"/>
      <w:r>
        <w:t>基金的收益分配政策</w:t>
      </w:r>
      <w:bookmarkEnd w:id="67"/>
    </w:p>
    <w:p w14:paraId="1FE31FCB">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0505A2AF">
      <w:pPr>
        <w:pStyle w:val="18"/>
        <w:rPr>
          <w:rFonts w:hint="eastAsia"/>
        </w:rPr>
      </w:pPr>
      <w:r>
        <w:rPr>
          <w:rFonts w:hint="eastAsia"/>
        </w:rPr>
        <w:t>经宣告的拟分配基金收益于分红除权日从净资产转出。</w:t>
      </w:r>
    </w:p>
    <w:p w14:paraId="5B68056D">
      <w:pPr>
        <w:pStyle w:val="35"/>
      </w:pPr>
      <w:bookmarkStart w:id="68" w:name="_Toc68"/>
      <w:r>
        <w:t>外币交易</w:t>
      </w:r>
      <w:bookmarkEnd w:id="68"/>
    </w:p>
    <w:p w14:paraId="7E09782A">
      <w:pPr>
        <w:pStyle w:val="18"/>
        <w:rPr>
          <w:rFonts w:hint="eastAsia"/>
        </w:rPr>
      </w:pPr>
      <w:r>
        <w:rPr>
          <w:rFonts w:hint="eastAsia"/>
        </w:rPr>
        <w:t>外币交易按交易发生日的即期汇率将外币金额折算为人民币入账。</w:t>
      </w:r>
    </w:p>
    <w:p w14:paraId="3A350F64">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0B5A362F">
      <w:pPr>
        <w:pStyle w:val="35"/>
      </w:pPr>
      <w:bookmarkStart w:id="69" w:name="_Toc69"/>
      <w:r>
        <w:t>分部报告</w:t>
      </w:r>
      <w:bookmarkEnd w:id="69"/>
    </w:p>
    <w:p w14:paraId="015F1EC1">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4F862549">
      <w:pPr>
        <w:pStyle w:val="18"/>
        <w:rPr>
          <w:rFonts w:hint="eastAsia"/>
        </w:rPr>
      </w:pPr>
      <w:r>
        <w:rPr>
          <w:rFonts w:hint="eastAsia"/>
        </w:rPr>
        <w:t>本基金目前以一个单一的经营分部运作，不需要披露分部信息。</w:t>
      </w:r>
    </w:p>
    <w:p w14:paraId="51D5A4CB">
      <w:pPr>
        <w:pStyle w:val="35"/>
      </w:pPr>
      <w:bookmarkStart w:id="70" w:name="_Toc70"/>
      <w:r>
        <w:t>其他重要的会计政策和会计估计</w:t>
      </w:r>
      <w:bookmarkEnd w:id="70"/>
    </w:p>
    <w:p w14:paraId="76BED475">
      <w:pPr>
        <w:pStyle w:val="18"/>
        <w:rPr>
          <w:rFonts w:hint="eastAsia"/>
        </w:rPr>
      </w:pPr>
      <w:r>
        <w:rPr>
          <w:rFonts w:hint="eastAsia"/>
        </w:rPr>
        <w:t>无。</w:t>
      </w:r>
    </w:p>
    <w:p w14:paraId="7AF6CD23">
      <w:pPr>
        <w:pStyle w:val="28"/>
      </w:pPr>
      <w:bookmarkStart w:id="71" w:name="_Toc71"/>
      <w:r>
        <w:t>会计政策和会计估计变更以及差错更正的说明</w:t>
      </w:r>
      <w:bookmarkEnd w:id="71"/>
    </w:p>
    <w:p w14:paraId="2B187DD8">
      <w:pPr>
        <w:pStyle w:val="35"/>
      </w:pPr>
      <w:bookmarkStart w:id="72" w:name="_Toc72"/>
      <w:r>
        <w:t>会计政策变更的说明</w:t>
      </w:r>
      <w:bookmarkEnd w:id="72"/>
    </w:p>
    <w:p w14:paraId="11693F25">
      <w:pPr>
        <w:pStyle w:val="18"/>
        <w:rPr>
          <w:rFonts w:hint="eastAsia"/>
        </w:rPr>
      </w:pPr>
      <w:r>
        <w:rPr>
          <w:rFonts w:hint="eastAsia"/>
        </w:rPr>
        <w:t>本基金本报告期未发生会计政策变更。</w:t>
      </w:r>
    </w:p>
    <w:p w14:paraId="6047446A">
      <w:pPr>
        <w:pStyle w:val="35"/>
      </w:pPr>
      <w:bookmarkStart w:id="73" w:name="_Toc73"/>
      <w:r>
        <w:t>会计估计变更的说明</w:t>
      </w:r>
      <w:bookmarkEnd w:id="73"/>
    </w:p>
    <w:p w14:paraId="718898DE">
      <w:pPr>
        <w:pStyle w:val="18"/>
        <w:rPr>
          <w:rFonts w:hint="eastAsia"/>
        </w:rPr>
      </w:pPr>
      <w:r>
        <w:rPr>
          <w:rFonts w:hint="eastAsia"/>
        </w:rPr>
        <w:t>本基金本报告期未发生会计估计变更。</w:t>
      </w:r>
    </w:p>
    <w:p w14:paraId="2EE886F9">
      <w:pPr>
        <w:pStyle w:val="35"/>
      </w:pPr>
      <w:bookmarkStart w:id="74" w:name="_Toc74"/>
      <w:r>
        <w:t>差错更正的说明</w:t>
      </w:r>
      <w:bookmarkEnd w:id="74"/>
    </w:p>
    <w:p w14:paraId="243225EB">
      <w:pPr>
        <w:pStyle w:val="18"/>
        <w:rPr>
          <w:rFonts w:hint="eastAsia"/>
        </w:rPr>
      </w:pPr>
      <w:r>
        <w:rPr>
          <w:rFonts w:hint="eastAsia"/>
        </w:rPr>
        <w:t>本基金在本报告期间无须说明的会计差错更正。</w:t>
      </w:r>
    </w:p>
    <w:p w14:paraId="234B99D7">
      <w:pPr>
        <w:pStyle w:val="28"/>
      </w:pPr>
      <w:bookmarkStart w:id="75" w:name="_Toc75"/>
      <w:r>
        <w:t>税项</w:t>
      </w:r>
      <w:bookmarkEnd w:id="75"/>
    </w:p>
    <w:p w14:paraId="47CB3231">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境内外财税法规和实务操作，主要税项列示如下：</w:t>
      </w:r>
    </w:p>
    <w:p w14:paraId="6E688471">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5D2CCE15">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5A370A99">
      <w:pPr>
        <w:pStyle w:val="18"/>
        <w:rPr>
          <w:rFonts w:hint="eastAsia"/>
        </w:rPr>
      </w:pPr>
      <w:r>
        <w:rPr>
          <w:rFonts w:hint="eastAsia"/>
        </w:rPr>
        <w:t>(2)目前基金取得的源自境外的差价收入，其涉及的境外所得税税收政策，按照相关国家或地区税收法律和法规执行，在境内暂不征收企业所得税。</w:t>
      </w:r>
    </w:p>
    <w:p w14:paraId="1D8CD042">
      <w:pPr>
        <w:pStyle w:val="18"/>
        <w:rPr>
          <w:rFonts w:hint="eastAsia"/>
        </w:rPr>
      </w:pPr>
      <w:r>
        <w:rPr>
          <w:rFonts w:hint="eastAsia"/>
        </w:rPr>
        <w:t>对基金从境内证券市场中取得的收入，包括买卖股票、债券的差价收入，股票的股息、红利收入，债券的利息收入及其他收入，暂不征收企业所得税。</w:t>
      </w:r>
    </w:p>
    <w:p w14:paraId="147ED0C2">
      <w:pPr>
        <w:pStyle w:val="18"/>
        <w:rPr>
          <w:rFonts w:hint="eastAsia"/>
        </w:rPr>
      </w:pPr>
      <w:r>
        <w:rPr>
          <w:rFonts w:hint="eastAsia"/>
        </w:rPr>
        <w:t>(3)目前基金取得的源自境外的股利收益，其涉及的境外所得税税收政策，按照相关国家或地区税收法律和法规执行，在境内暂不征收个人所得税和企业所得税。</w:t>
      </w:r>
    </w:p>
    <w:p w14:paraId="307F6F68">
      <w:pPr>
        <w:pStyle w:val="18"/>
        <w:rPr>
          <w:rFonts w:hint="eastAsia"/>
        </w:rPr>
      </w:pPr>
      <w:r>
        <w:rPr>
          <w:rFonts w:hint="eastAsia"/>
        </w:rPr>
        <w:t>对基金取得的境内企业债券利息收入，应由发行债券的企业在向基金支付利息时代扣代缴20%的个人所得税。对基金从境内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0362BBBA">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6389EC7D">
      <w:pPr>
        <w:pStyle w:val="18"/>
        <w:rPr>
          <w:rFonts w:hint="eastAsia"/>
        </w:rPr>
      </w:pPr>
      <w:r>
        <w:rPr>
          <w:rFonts w:hint="eastAsia"/>
        </w:rPr>
        <w:t>(4)基金卖出境内股票按0.1%的税率缴纳股票交易印花税，买入境内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4F8883E7">
      <w:pPr>
        <w:pStyle w:val="18"/>
        <w:rPr>
          <w:rFonts w:hint="eastAsia"/>
        </w:rPr>
      </w:pPr>
      <w:r>
        <w:rPr>
          <w:rFonts w:hint="eastAsia"/>
        </w:rPr>
        <w:t>(5)本基金的城市维护建设税、教育费附加和地方教育附加等税费按照实际缴纳增值税额的适用比例计算缴纳。</w:t>
      </w:r>
    </w:p>
    <w:p w14:paraId="32C41B08">
      <w:pPr>
        <w:pStyle w:val="28"/>
      </w:pPr>
      <w:bookmarkStart w:id="76" w:name="_Toc76"/>
      <w:r>
        <w:t>重要财务报表项目的说明</w:t>
      </w:r>
      <w:bookmarkEnd w:id="76"/>
    </w:p>
    <w:p w14:paraId="006898B4">
      <w:pPr>
        <w:pStyle w:val="35"/>
      </w:pPr>
      <w:bookmarkStart w:id="77" w:name="_Toc77"/>
      <w:r>
        <w:t>货币资金</w:t>
      </w:r>
      <w:bookmarkEnd w:id="77"/>
    </w:p>
    <w:p w14:paraId="0A40C64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7C2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FECF72">
            <w:pPr>
              <w:jc w:val="center"/>
            </w:pPr>
            <w:r>
              <w:rPr>
                <w:rFonts w:hint="eastAsia"/>
                <w:b/>
              </w:rPr>
              <w:t>项目</w:t>
            </w:r>
          </w:p>
        </w:tc>
        <w:tc>
          <w:tcPr>
            <w:tcW w:w="2768" w:type="dxa"/>
            <w:shd w:val="clear" w:color="auto" w:fill="BFBFBF"/>
            <w:vAlign w:val="center"/>
          </w:tcPr>
          <w:p w14:paraId="2B3BF61A">
            <w:pPr>
              <w:jc w:val="center"/>
            </w:pPr>
            <w:r>
              <w:rPr>
                <w:rFonts w:hint="eastAsia"/>
                <w:b/>
              </w:rPr>
              <w:t>本期末2025年12月31日</w:t>
            </w:r>
          </w:p>
        </w:tc>
        <w:tc>
          <w:tcPr>
            <w:tcW w:w="2768" w:type="dxa"/>
            <w:shd w:val="clear" w:color="auto" w:fill="BFBFBF"/>
            <w:vAlign w:val="center"/>
          </w:tcPr>
          <w:p w14:paraId="12401341">
            <w:pPr>
              <w:jc w:val="center"/>
            </w:pPr>
            <w:r>
              <w:rPr>
                <w:rFonts w:hint="eastAsia"/>
                <w:b/>
              </w:rPr>
              <w:t>上年度末2024年12月31日</w:t>
            </w:r>
          </w:p>
        </w:tc>
      </w:tr>
      <w:tr w14:paraId="20F1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13CBC0">
            <w:r>
              <w:rPr>
                <w:rFonts w:hint="eastAsia"/>
              </w:rPr>
              <w:t>活期存款</w:t>
            </w:r>
          </w:p>
        </w:tc>
        <w:tc>
          <w:tcPr>
            <w:tcW w:w="2768" w:type="dxa"/>
            <w:vAlign w:val="center"/>
          </w:tcPr>
          <w:p w14:paraId="5C2DFC31">
            <w:pPr>
              <w:jc w:val="right"/>
            </w:pPr>
            <w:r>
              <w:rPr>
                <w:rFonts w:hint="eastAsia"/>
              </w:rPr>
              <w:t>25,841,103.04</w:t>
            </w:r>
          </w:p>
        </w:tc>
        <w:tc>
          <w:tcPr>
            <w:tcW w:w="2768" w:type="dxa"/>
            <w:vAlign w:val="center"/>
          </w:tcPr>
          <w:p w14:paraId="7CD0E6B1">
            <w:pPr>
              <w:jc w:val="right"/>
            </w:pPr>
            <w:r>
              <w:rPr>
                <w:rFonts w:hint="eastAsia"/>
              </w:rPr>
              <w:t>4,764,043.82</w:t>
            </w:r>
          </w:p>
        </w:tc>
      </w:tr>
      <w:tr w14:paraId="156FD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1BF9A5">
            <w:r>
              <w:rPr>
                <w:rFonts w:hint="eastAsia"/>
              </w:rPr>
              <w:t>等于：本金</w:t>
            </w:r>
          </w:p>
        </w:tc>
        <w:tc>
          <w:tcPr>
            <w:tcW w:w="2768" w:type="dxa"/>
            <w:vAlign w:val="center"/>
          </w:tcPr>
          <w:p w14:paraId="681FFFDB">
            <w:pPr>
              <w:jc w:val="right"/>
            </w:pPr>
            <w:r>
              <w:rPr>
                <w:rFonts w:hint="eastAsia"/>
              </w:rPr>
              <w:t>25,839,056.16</w:t>
            </w:r>
          </w:p>
        </w:tc>
        <w:tc>
          <w:tcPr>
            <w:tcW w:w="2768" w:type="dxa"/>
            <w:vAlign w:val="center"/>
          </w:tcPr>
          <w:p w14:paraId="26209AAC">
            <w:pPr>
              <w:jc w:val="right"/>
            </w:pPr>
            <w:r>
              <w:rPr>
                <w:rFonts w:hint="eastAsia"/>
              </w:rPr>
              <w:t>4,763,576.21</w:t>
            </w:r>
          </w:p>
        </w:tc>
      </w:tr>
      <w:tr w14:paraId="4473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583AC5">
            <w:r>
              <w:rPr>
                <w:rFonts w:hint="eastAsia"/>
              </w:rPr>
              <w:t xml:space="preserve">      加：应计利息</w:t>
            </w:r>
          </w:p>
        </w:tc>
        <w:tc>
          <w:tcPr>
            <w:tcW w:w="2768" w:type="dxa"/>
            <w:vAlign w:val="center"/>
          </w:tcPr>
          <w:p w14:paraId="51C755FF">
            <w:pPr>
              <w:jc w:val="right"/>
            </w:pPr>
            <w:r>
              <w:rPr>
                <w:rFonts w:hint="eastAsia"/>
              </w:rPr>
              <w:t>2,046.88</w:t>
            </w:r>
          </w:p>
        </w:tc>
        <w:tc>
          <w:tcPr>
            <w:tcW w:w="2768" w:type="dxa"/>
            <w:vAlign w:val="center"/>
          </w:tcPr>
          <w:p w14:paraId="261C7D98">
            <w:pPr>
              <w:jc w:val="right"/>
            </w:pPr>
            <w:r>
              <w:rPr>
                <w:rFonts w:hint="eastAsia"/>
              </w:rPr>
              <w:t>467.61</w:t>
            </w:r>
          </w:p>
        </w:tc>
      </w:tr>
      <w:tr w14:paraId="7D97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DC11E0">
            <w:r>
              <w:rPr>
                <w:rFonts w:hint="eastAsia"/>
              </w:rPr>
              <w:t xml:space="preserve">      减：坏账准备</w:t>
            </w:r>
          </w:p>
        </w:tc>
        <w:tc>
          <w:tcPr>
            <w:tcW w:w="2768" w:type="dxa"/>
            <w:vAlign w:val="center"/>
          </w:tcPr>
          <w:p w14:paraId="78CC8580">
            <w:pPr>
              <w:jc w:val="right"/>
            </w:pPr>
            <w:r>
              <w:rPr>
                <w:rFonts w:hint="eastAsia"/>
              </w:rPr>
              <w:t>-</w:t>
            </w:r>
          </w:p>
        </w:tc>
        <w:tc>
          <w:tcPr>
            <w:tcW w:w="2768" w:type="dxa"/>
            <w:vAlign w:val="center"/>
          </w:tcPr>
          <w:p w14:paraId="75F541DC">
            <w:pPr>
              <w:jc w:val="right"/>
            </w:pPr>
            <w:r>
              <w:rPr>
                <w:rFonts w:hint="eastAsia"/>
              </w:rPr>
              <w:t>-</w:t>
            </w:r>
          </w:p>
        </w:tc>
      </w:tr>
      <w:tr w14:paraId="50F9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1B805E">
            <w:r>
              <w:rPr>
                <w:rFonts w:hint="eastAsia"/>
              </w:rPr>
              <w:t>定期存款</w:t>
            </w:r>
          </w:p>
        </w:tc>
        <w:tc>
          <w:tcPr>
            <w:tcW w:w="2768" w:type="dxa"/>
            <w:vAlign w:val="center"/>
          </w:tcPr>
          <w:p w14:paraId="2EFCD3DA">
            <w:pPr>
              <w:jc w:val="right"/>
            </w:pPr>
            <w:r>
              <w:rPr>
                <w:rFonts w:hint="eastAsia"/>
              </w:rPr>
              <w:t>-</w:t>
            </w:r>
          </w:p>
        </w:tc>
        <w:tc>
          <w:tcPr>
            <w:tcW w:w="2768" w:type="dxa"/>
            <w:vAlign w:val="center"/>
          </w:tcPr>
          <w:p w14:paraId="1DB2F26A">
            <w:pPr>
              <w:jc w:val="right"/>
            </w:pPr>
            <w:r>
              <w:rPr>
                <w:rFonts w:hint="eastAsia"/>
              </w:rPr>
              <w:t>-</w:t>
            </w:r>
          </w:p>
        </w:tc>
      </w:tr>
      <w:tr w14:paraId="2C42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6F8D0E">
            <w:r>
              <w:rPr>
                <w:rFonts w:hint="eastAsia"/>
              </w:rPr>
              <w:t>等于：本金</w:t>
            </w:r>
          </w:p>
        </w:tc>
        <w:tc>
          <w:tcPr>
            <w:tcW w:w="2768" w:type="dxa"/>
            <w:vAlign w:val="center"/>
          </w:tcPr>
          <w:p w14:paraId="60C1AB10">
            <w:pPr>
              <w:jc w:val="right"/>
            </w:pPr>
            <w:r>
              <w:rPr>
                <w:rFonts w:hint="eastAsia"/>
              </w:rPr>
              <w:t>-</w:t>
            </w:r>
          </w:p>
        </w:tc>
        <w:tc>
          <w:tcPr>
            <w:tcW w:w="2768" w:type="dxa"/>
            <w:vAlign w:val="center"/>
          </w:tcPr>
          <w:p w14:paraId="2ACD0988">
            <w:pPr>
              <w:jc w:val="right"/>
            </w:pPr>
            <w:r>
              <w:rPr>
                <w:rFonts w:hint="eastAsia"/>
              </w:rPr>
              <w:t>-</w:t>
            </w:r>
          </w:p>
        </w:tc>
      </w:tr>
      <w:tr w14:paraId="5C83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A72638">
            <w:r>
              <w:rPr>
                <w:rFonts w:hint="eastAsia"/>
              </w:rPr>
              <w:t xml:space="preserve">      加：应计利息</w:t>
            </w:r>
          </w:p>
        </w:tc>
        <w:tc>
          <w:tcPr>
            <w:tcW w:w="2768" w:type="dxa"/>
            <w:vAlign w:val="center"/>
          </w:tcPr>
          <w:p w14:paraId="3CA36CD7">
            <w:pPr>
              <w:jc w:val="right"/>
            </w:pPr>
            <w:r>
              <w:rPr>
                <w:rFonts w:hint="eastAsia"/>
              </w:rPr>
              <w:t>-</w:t>
            </w:r>
          </w:p>
        </w:tc>
        <w:tc>
          <w:tcPr>
            <w:tcW w:w="2768" w:type="dxa"/>
            <w:vAlign w:val="center"/>
          </w:tcPr>
          <w:p w14:paraId="2579F40B">
            <w:pPr>
              <w:jc w:val="right"/>
            </w:pPr>
            <w:r>
              <w:rPr>
                <w:rFonts w:hint="eastAsia"/>
              </w:rPr>
              <w:t>-</w:t>
            </w:r>
          </w:p>
        </w:tc>
      </w:tr>
      <w:tr w14:paraId="09493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88E51B">
            <w:r>
              <w:rPr>
                <w:rFonts w:hint="eastAsia"/>
              </w:rPr>
              <w:t xml:space="preserve">      减：坏账准备</w:t>
            </w:r>
          </w:p>
        </w:tc>
        <w:tc>
          <w:tcPr>
            <w:tcW w:w="2768" w:type="dxa"/>
            <w:vAlign w:val="center"/>
          </w:tcPr>
          <w:p w14:paraId="0E1521E5">
            <w:pPr>
              <w:jc w:val="right"/>
            </w:pPr>
            <w:r>
              <w:rPr>
                <w:rFonts w:hint="eastAsia"/>
              </w:rPr>
              <w:t>-</w:t>
            </w:r>
          </w:p>
        </w:tc>
        <w:tc>
          <w:tcPr>
            <w:tcW w:w="2768" w:type="dxa"/>
            <w:vAlign w:val="center"/>
          </w:tcPr>
          <w:p w14:paraId="4AC70F32">
            <w:pPr>
              <w:jc w:val="right"/>
            </w:pPr>
            <w:r>
              <w:rPr>
                <w:rFonts w:hint="eastAsia"/>
              </w:rPr>
              <w:t>-</w:t>
            </w:r>
          </w:p>
        </w:tc>
      </w:tr>
      <w:tr w14:paraId="4FD4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B804E2">
            <w:r>
              <w:rPr>
                <w:rFonts w:hint="eastAsia"/>
              </w:rPr>
              <w:t>其中：存款期限1个月以内</w:t>
            </w:r>
          </w:p>
        </w:tc>
        <w:tc>
          <w:tcPr>
            <w:tcW w:w="2768" w:type="dxa"/>
            <w:vAlign w:val="center"/>
          </w:tcPr>
          <w:p w14:paraId="2C356930">
            <w:pPr>
              <w:jc w:val="right"/>
            </w:pPr>
            <w:r>
              <w:rPr>
                <w:rFonts w:hint="eastAsia"/>
              </w:rPr>
              <w:t>-</w:t>
            </w:r>
          </w:p>
        </w:tc>
        <w:tc>
          <w:tcPr>
            <w:tcW w:w="2768" w:type="dxa"/>
            <w:vAlign w:val="center"/>
          </w:tcPr>
          <w:p w14:paraId="608FF759">
            <w:pPr>
              <w:jc w:val="right"/>
            </w:pPr>
            <w:r>
              <w:rPr>
                <w:rFonts w:hint="eastAsia"/>
              </w:rPr>
              <w:t>-</w:t>
            </w:r>
          </w:p>
        </w:tc>
      </w:tr>
      <w:tr w14:paraId="1C18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1BA460">
            <w:r>
              <w:rPr>
                <w:rFonts w:hint="eastAsia"/>
              </w:rPr>
              <w:t xml:space="preserve">      存款期限1-3个月</w:t>
            </w:r>
          </w:p>
        </w:tc>
        <w:tc>
          <w:tcPr>
            <w:tcW w:w="2768" w:type="dxa"/>
            <w:vAlign w:val="center"/>
          </w:tcPr>
          <w:p w14:paraId="23F87BF1">
            <w:pPr>
              <w:jc w:val="right"/>
            </w:pPr>
            <w:r>
              <w:rPr>
                <w:rFonts w:hint="eastAsia"/>
              </w:rPr>
              <w:t>-</w:t>
            </w:r>
          </w:p>
        </w:tc>
        <w:tc>
          <w:tcPr>
            <w:tcW w:w="2768" w:type="dxa"/>
            <w:vAlign w:val="center"/>
          </w:tcPr>
          <w:p w14:paraId="26CBA329">
            <w:pPr>
              <w:jc w:val="right"/>
            </w:pPr>
            <w:r>
              <w:rPr>
                <w:rFonts w:hint="eastAsia"/>
              </w:rPr>
              <w:t>-</w:t>
            </w:r>
          </w:p>
        </w:tc>
      </w:tr>
      <w:tr w14:paraId="3CAA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E68D91">
            <w:r>
              <w:rPr>
                <w:rFonts w:hint="eastAsia"/>
              </w:rPr>
              <w:t xml:space="preserve">      存款期限3个月以上</w:t>
            </w:r>
          </w:p>
        </w:tc>
        <w:tc>
          <w:tcPr>
            <w:tcW w:w="2768" w:type="dxa"/>
            <w:vAlign w:val="center"/>
          </w:tcPr>
          <w:p w14:paraId="1EAA24BE">
            <w:pPr>
              <w:jc w:val="right"/>
            </w:pPr>
            <w:r>
              <w:rPr>
                <w:rFonts w:hint="eastAsia"/>
              </w:rPr>
              <w:t>-</w:t>
            </w:r>
          </w:p>
        </w:tc>
        <w:tc>
          <w:tcPr>
            <w:tcW w:w="2768" w:type="dxa"/>
            <w:vAlign w:val="center"/>
          </w:tcPr>
          <w:p w14:paraId="75FE4E74">
            <w:pPr>
              <w:jc w:val="right"/>
            </w:pPr>
            <w:r>
              <w:rPr>
                <w:rFonts w:hint="eastAsia"/>
              </w:rPr>
              <w:t>-</w:t>
            </w:r>
          </w:p>
        </w:tc>
      </w:tr>
      <w:tr w14:paraId="5416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F99CD7">
            <w:r>
              <w:rPr>
                <w:rFonts w:hint="eastAsia"/>
              </w:rPr>
              <w:t>其他存款</w:t>
            </w:r>
          </w:p>
        </w:tc>
        <w:tc>
          <w:tcPr>
            <w:tcW w:w="2768" w:type="dxa"/>
            <w:vAlign w:val="center"/>
          </w:tcPr>
          <w:p w14:paraId="7B6DA163">
            <w:pPr>
              <w:jc w:val="right"/>
            </w:pPr>
            <w:r>
              <w:rPr>
                <w:rFonts w:hint="eastAsia"/>
              </w:rPr>
              <w:t>-</w:t>
            </w:r>
          </w:p>
        </w:tc>
        <w:tc>
          <w:tcPr>
            <w:tcW w:w="2768" w:type="dxa"/>
            <w:vAlign w:val="center"/>
          </w:tcPr>
          <w:p w14:paraId="6BF4C551">
            <w:pPr>
              <w:jc w:val="right"/>
            </w:pPr>
            <w:r>
              <w:rPr>
                <w:rFonts w:hint="eastAsia"/>
              </w:rPr>
              <w:t>-</w:t>
            </w:r>
          </w:p>
        </w:tc>
      </w:tr>
      <w:tr w14:paraId="60C04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C80B12">
            <w:r>
              <w:rPr>
                <w:rFonts w:hint="eastAsia"/>
              </w:rPr>
              <w:t>等于：本金</w:t>
            </w:r>
          </w:p>
        </w:tc>
        <w:tc>
          <w:tcPr>
            <w:tcW w:w="2768" w:type="dxa"/>
            <w:vAlign w:val="center"/>
          </w:tcPr>
          <w:p w14:paraId="58CFFF95">
            <w:pPr>
              <w:jc w:val="right"/>
            </w:pPr>
            <w:r>
              <w:rPr>
                <w:rFonts w:hint="eastAsia"/>
              </w:rPr>
              <w:t>-</w:t>
            </w:r>
          </w:p>
        </w:tc>
        <w:tc>
          <w:tcPr>
            <w:tcW w:w="2768" w:type="dxa"/>
            <w:vAlign w:val="center"/>
          </w:tcPr>
          <w:p w14:paraId="2ECF6E4E">
            <w:pPr>
              <w:jc w:val="right"/>
            </w:pPr>
            <w:r>
              <w:rPr>
                <w:rFonts w:hint="eastAsia"/>
              </w:rPr>
              <w:t>-</w:t>
            </w:r>
          </w:p>
        </w:tc>
      </w:tr>
      <w:tr w14:paraId="070B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0E3CFB">
            <w:r>
              <w:rPr>
                <w:rFonts w:hint="eastAsia"/>
              </w:rPr>
              <w:t xml:space="preserve">      加：应计利息</w:t>
            </w:r>
          </w:p>
        </w:tc>
        <w:tc>
          <w:tcPr>
            <w:tcW w:w="2768" w:type="dxa"/>
            <w:vAlign w:val="center"/>
          </w:tcPr>
          <w:p w14:paraId="0FDFD4B0">
            <w:pPr>
              <w:jc w:val="right"/>
            </w:pPr>
            <w:r>
              <w:rPr>
                <w:rFonts w:hint="eastAsia"/>
              </w:rPr>
              <w:t>-</w:t>
            </w:r>
          </w:p>
        </w:tc>
        <w:tc>
          <w:tcPr>
            <w:tcW w:w="2768" w:type="dxa"/>
            <w:vAlign w:val="center"/>
          </w:tcPr>
          <w:p w14:paraId="2CA95C72">
            <w:pPr>
              <w:jc w:val="right"/>
            </w:pPr>
            <w:r>
              <w:rPr>
                <w:rFonts w:hint="eastAsia"/>
              </w:rPr>
              <w:t>-</w:t>
            </w:r>
          </w:p>
        </w:tc>
      </w:tr>
      <w:tr w14:paraId="6F4E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809751">
            <w:r>
              <w:rPr>
                <w:rFonts w:hint="eastAsia"/>
              </w:rPr>
              <w:t xml:space="preserve">      减：坏账准备</w:t>
            </w:r>
          </w:p>
        </w:tc>
        <w:tc>
          <w:tcPr>
            <w:tcW w:w="2768" w:type="dxa"/>
            <w:vAlign w:val="center"/>
          </w:tcPr>
          <w:p w14:paraId="6481280B">
            <w:pPr>
              <w:jc w:val="right"/>
            </w:pPr>
            <w:r>
              <w:rPr>
                <w:rFonts w:hint="eastAsia"/>
              </w:rPr>
              <w:t>-</w:t>
            </w:r>
          </w:p>
        </w:tc>
        <w:tc>
          <w:tcPr>
            <w:tcW w:w="2768" w:type="dxa"/>
            <w:vAlign w:val="center"/>
          </w:tcPr>
          <w:p w14:paraId="46D272BC">
            <w:pPr>
              <w:jc w:val="right"/>
            </w:pPr>
            <w:r>
              <w:rPr>
                <w:rFonts w:hint="eastAsia"/>
              </w:rPr>
              <w:t>-</w:t>
            </w:r>
          </w:p>
        </w:tc>
      </w:tr>
      <w:tr w14:paraId="1EF1D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D144A9">
            <w:r>
              <w:rPr>
                <w:rFonts w:hint="eastAsia"/>
              </w:rPr>
              <w:t>合计</w:t>
            </w:r>
          </w:p>
        </w:tc>
        <w:tc>
          <w:tcPr>
            <w:tcW w:w="2768" w:type="dxa"/>
            <w:vAlign w:val="center"/>
          </w:tcPr>
          <w:p w14:paraId="12481392">
            <w:pPr>
              <w:jc w:val="right"/>
            </w:pPr>
            <w:r>
              <w:rPr>
                <w:rFonts w:hint="eastAsia"/>
              </w:rPr>
              <w:t>25,841,103.04</w:t>
            </w:r>
          </w:p>
        </w:tc>
        <w:tc>
          <w:tcPr>
            <w:tcW w:w="2768" w:type="dxa"/>
            <w:vAlign w:val="center"/>
          </w:tcPr>
          <w:p w14:paraId="65E46583">
            <w:pPr>
              <w:jc w:val="right"/>
            </w:pPr>
            <w:r>
              <w:rPr>
                <w:rFonts w:hint="eastAsia"/>
              </w:rPr>
              <w:t>4,764,043.82</w:t>
            </w:r>
          </w:p>
        </w:tc>
      </w:tr>
    </w:tbl>
    <w:p w14:paraId="2C0ECD01">
      <w:pPr>
        <w:pStyle w:val="35"/>
      </w:pPr>
      <w:bookmarkStart w:id="78" w:name="_Toc78"/>
      <w:r>
        <w:t>交易性金融资产</w:t>
      </w:r>
      <w:bookmarkEnd w:id="78"/>
    </w:p>
    <w:p w14:paraId="4BFBA0C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CB4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913E802">
            <w:r>
              <w:rPr>
                <w:rFonts w:hint="eastAsia"/>
              </w:rPr>
              <w:t>项目</w:t>
            </w:r>
          </w:p>
        </w:tc>
        <w:tc>
          <w:tcPr>
            <w:tcW w:w="1860" w:type="dxa"/>
            <w:gridSpan w:val="4"/>
            <w:vAlign w:val="center"/>
          </w:tcPr>
          <w:p w14:paraId="069BF558">
            <w:r>
              <w:rPr>
                <w:rFonts w:hint="eastAsia"/>
              </w:rPr>
              <w:t>本期末2025年12月31日</w:t>
            </w:r>
          </w:p>
        </w:tc>
      </w:tr>
      <w:tr w14:paraId="2F5C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D4EA180"/>
        </w:tc>
        <w:tc>
          <w:tcPr>
            <w:tcW w:w="1860" w:type="dxa"/>
            <w:vAlign w:val="center"/>
          </w:tcPr>
          <w:p w14:paraId="1990C09F">
            <w:r>
              <w:rPr>
                <w:rFonts w:hint="eastAsia"/>
              </w:rPr>
              <w:t>成本</w:t>
            </w:r>
          </w:p>
        </w:tc>
        <w:tc>
          <w:tcPr>
            <w:tcW w:w="1517" w:type="dxa"/>
            <w:vAlign w:val="center"/>
          </w:tcPr>
          <w:p w14:paraId="1DD7ED01">
            <w:r>
              <w:rPr>
                <w:rFonts w:hint="eastAsia"/>
              </w:rPr>
              <w:t>应计利息</w:t>
            </w:r>
          </w:p>
        </w:tc>
        <w:tc>
          <w:tcPr>
            <w:tcW w:w="1860" w:type="dxa"/>
            <w:vAlign w:val="center"/>
          </w:tcPr>
          <w:p w14:paraId="5127E28E">
            <w:r>
              <w:rPr>
                <w:rFonts w:hint="eastAsia"/>
              </w:rPr>
              <w:t>公允价值</w:t>
            </w:r>
          </w:p>
        </w:tc>
        <w:tc>
          <w:tcPr>
            <w:tcW w:w="1517" w:type="dxa"/>
            <w:vAlign w:val="center"/>
          </w:tcPr>
          <w:p w14:paraId="35939775">
            <w:r>
              <w:rPr>
                <w:rFonts w:hint="eastAsia"/>
              </w:rPr>
              <w:t>公允价值变动</w:t>
            </w:r>
          </w:p>
        </w:tc>
      </w:tr>
      <w:tr w14:paraId="407E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899905">
            <w:r>
              <w:rPr>
                <w:rFonts w:hint="eastAsia"/>
              </w:rPr>
              <w:t>股票</w:t>
            </w:r>
          </w:p>
        </w:tc>
        <w:tc>
          <w:tcPr>
            <w:tcW w:w="1860" w:type="dxa"/>
            <w:vAlign w:val="center"/>
          </w:tcPr>
          <w:p w14:paraId="627833F8">
            <w:pPr>
              <w:jc w:val="right"/>
            </w:pPr>
            <w:r>
              <w:rPr>
                <w:rFonts w:hint="eastAsia"/>
              </w:rPr>
              <w:t>-</w:t>
            </w:r>
          </w:p>
        </w:tc>
        <w:tc>
          <w:tcPr>
            <w:tcW w:w="1517" w:type="dxa"/>
            <w:vAlign w:val="center"/>
          </w:tcPr>
          <w:p w14:paraId="05EEEF57">
            <w:pPr>
              <w:jc w:val="right"/>
            </w:pPr>
            <w:r>
              <w:rPr>
                <w:rFonts w:hint="eastAsia"/>
              </w:rPr>
              <w:t>-</w:t>
            </w:r>
          </w:p>
        </w:tc>
        <w:tc>
          <w:tcPr>
            <w:tcW w:w="1860" w:type="dxa"/>
            <w:vAlign w:val="center"/>
          </w:tcPr>
          <w:p w14:paraId="6EC46167">
            <w:pPr>
              <w:jc w:val="right"/>
            </w:pPr>
            <w:r>
              <w:rPr>
                <w:rFonts w:hint="eastAsia"/>
              </w:rPr>
              <w:t>-</w:t>
            </w:r>
          </w:p>
        </w:tc>
        <w:tc>
          <w:tcPr>
            <w:tcW w:w="1517" w:type="dxa"/>
            <w:vAlign w:val="center"/>
          </w:tcPr>
          <w:p w14:paraId="14BD3CEA">
            <w:pPr>
              <w:jc w:val="right"/>
            </w:pPr>
            <w:r>
              <w:rPr>
                <w:rFonts w:hint="eastAsia"/>
              </w:rPr>
              <w:t>-</w:t>
            </w:r>
          </w:p>
        </w:tc>
      </w:tr>
      <w:tr w14:paraId="09BE5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5B1BA6">
            <w:r>
              <w:rPr>
                <w:rFonts w:hint="eastAsia"/>
              </w:rPr>
              <w:t>贵金属投资-金交所黄金合约</w:t>
            </w:r>
          </w:p>
        </w:tc>
        <w:tc>
          <w:tcPr>
            <w:tcW w:w="1860" w:type="dxa"/>
            <w:vAlign w:val="center"/>
          </w:tcPr>
          <w:p w14:paraId="0107941B">
            <w:pPr>
              <w:jc w:val="right"/>
            </w:pPr>
            <w:r>
              <w:rPr>
                <w:rFonts w:hint="eastAsia"/>
              </w:rPr>
              <w:t>-</w:t>
            </w:r>
          </w:p>
        </w:tc>
        <w:tc>
          <w:tcPr>
            <w:tcW w:w="1517" w:type="dxa"/>
            <w:vAlign w:val="center"/>
          </w:tcPr>
          <w:p w14:paraId="2BC59473">
            <w:pPr>
              <w:jc w:val="right"/>
            </w:pPr>
            <w:r>
              <w:rPr>
                <w:rFonts w:hint="eastAsia"/>
              </w:rPr>
              <w:t>-</w:t>
            </w:r>
          </w:p>
        </w:tc>
        <w:tc>
          <w:tcPr>
            <w:tcW w:w="1860" w:type="dxa"/>
            <w:vAlign w:val="center"/>
          </w:tcPr>
          <w:p w14:paraId="471C4FB4">
            <w:pPr>
              <w:jc w:val="right"/>
            </w:pPr>
            <w:r>
              <w:rPr>
                <w:rFonts w:hint="eastAsia"/>
              </w:rPr>
              <w:t>-</w:t>
            </w:r>
          </w:p>
        </w:tc>
        <w:tc>
          <w:tcPr>
            <w:tcW w:w="1517" w:type="dxa"/>
            <w:vAlign w:val="center"/>
          </w:tcPr>
          <w:p w14:paraId="6C1F1419">
            <w:pPr>
              <w:jc w:val="right"/>
            </w:pPr>
            <w:r>
              <w:rPr>
                <w:rFonts w:hint="eastAsia"/>
              </w:rPr>
              <w:t>-</w:t>
            </w:r>
          </w:p>
        </w:tc>
      </w:tr>
      <w:tr w14:paraId="3D67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1AA5816">
            <w:r>
              <w:rPr>
                <w:rFonts w:hint="eastAsia"/>
              </w:rPr>
              <w:t>债券</w:t>
            </w:r>
          </w:p>
        </w:tc>
        <w:tc>
          <w:tcPr>
            <w:tcW w:w="897" w:type="dxa"/>
            <w:vAlign w:val="center"/>
          </w:tcPr>
          <w:p w14:paraId="3C300680">
            <w:r>
              <w:rPr>
                <w:rFonts w:hint="eastAsia"/>
              </w:rPr>
              <w:t>交易所市场</w:t>
            </w:r>
          </w:p>
        </w:tc>
        <w:tc>
          <w:tcPr>
            <w:tcW w:w="1860" w:type="dxa"/>
            <w:vAlign w:val="center"/>
          </w:tcPr>
          <w:p w14:paraId="301A610A">
            <w:pPr>
              <w:jc w:val="right"/>
            </w:pPr>
            <w:r>
              <w:rPr>
                <w:rFonts w:hint="eastAsia"/>
              </w:rPr>
              <w:t>-</w:t>
            </w:r>
          </w:p>
        </w:tc>
        <w:tc>
          <w:tcPr>
            <w:tcW w:w="1517" w:type="dxa"/>
            <w:vAlign w:val="center"/>
          </w:tcPr>
          <w:p w14:paraId="2572D777">
            <w:pPr>
              <w:jc w:val="right"/>
            </w:pPr>
            <w:r>
              <w:rPr>
                <w:rFonts w:hint="eastAsia"/>
              </w:rPr>
              <w:t>-</w:t>
            </w:r>
          </w:p>
        </w:tc>
        <w:tc>
          <w:tcPr>
            <w:tcW w:w="1860" w:type="dxa"/>
            <w:vAlign w:val="center"/>
          </w:tcPr>
          <w:p w14:paraId="643FB2E0">
            <w:pPr>
              <w:jc w:val="right"/>
            </w:pPr>
            <w:r>
              <w:rPr>
                <w:rFonts w:hint="eastAsia"/>
              </w:rPr>
              <w:t>-</w:t>
            </w:r>
          </w:p>
        </w:tc>
        <w:tc>
          <w:tcPr>
            <w:tcW w:w="1517" w:type="dxa"/>
            <w:vAlign w:val="center"/>
          </w:tcPr>
          <w:p w14:paraId="5AB6BB3A">
            <w:pPr>
              <w:jc w:val="right"/>
            </w:pPr>
            <w:r>
              <w:rPr>
                <w:rFonts w:hint="eastAsia"/>
              </w:rPr>
              <w:t>-</w:t>
            </w:r>
          </w:p>
        </w:tc>
      </w:tr>
      <w:tr w14:paraId="2858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9D8363E"/>
        </w:tc>
        <w:tc>
          <w:tcPr>
            <w:tcW w:w="897" w:type="dxa"/>
            <w:vAlign w:val="center"/>
          </w:tcPr>
          <w:p w14:paraId="7A42ACCC">
            <w:r>
              <w:rPr>
                <w:rFonts w:hint="eastAsia"/>
              </w:rPr>
              <w:t>银行间市场</w:t>
            </w:r>
          </w:p>
        </w:tc>
        <w:tc>
          <w:tcPr>
            <w:tcW w:w="1860" w:type="dxa"/>
            <w:vAlign w:val="center"/>
          </w:tcPr>
          <w:p w14:paraId="7F0B0AB1">
            <w:pPr>
              <w:jc w:val="right"/>
            </w:pPr>
            <w:r>
              <w:rPr>
                <w:rFonts w:hint="eastAsia"/>
              </w:rPr>
              <w:t>-</w:t>
            </w:r>
          </w:p>
        </w:tc>
        <w:tc>
          <w:tcPr>
            <w:tcW w:w="1517" w:type="dxa"/>
            <w:vAlign w:val="center"/>
          </w:tcPr>
          <w:p w14:paraId="35CBB1C7">
            <w:pPr>
              <w:jc w:val="right"/>
            </w:pPr>
            <w:r>
              <w:rPr>
                <w:rFonts w:hint="eastAsia"/>
              </w:rPr>
              <w:t>-</w:t>
            </w:r>
          </w:p>
        </w:tc>
        <w:tc>
          <w:tcPr>
            <w:tcW w:w="1860" w:type="dxa"/>
            <w:vAlign w:val="center"/>
          </w:tcPr>
          <w:p w14:paraId="0F736C68">
            <w:pPr>
              <w:jc w:val="right"/>
            </w:pPr>
            <w:r>
              <w:rPr>
                <w:rFonts w:hint="eastAsia"/>
              </w:rPr>
              <w:t>-</w:t>
            </w:r>
          </w:p>
        </w:tc>
        <w:tc>
          <w:tcPr>
            <w:tcW w:w="1517" w:type="dxa"/>
            <w:vAlign w:val="center"/>
          </w:tcPr>
          <w:p w14:paraId="55018D71">
            <w:pPr>
              <w:jc w:val="right"/>
            </w:pPr>
            <w:r>
              <w:rPr>
                <w:rFonts w:hint="eastAsia"/>
              </w:rPr>
              <w:t>-</w:t>
            </w:r>
          </w:p>
        </w:tc>
      </w:tr>
      <w:tr w14:paraId="29D6A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FD2DE71"/>
        </w:tc>
        <w:tc>
          <w:tcPr>
            <w:tcW w:w="897" w:type="dxa"/>
            <w:vAlign w:val="center"/>
          </w:tcPr>
          <w:p w14:paraId="65FDB656">
            <w:r>
              <w:rPr>
                <w:rFonts w:hint="eastAsia"/>
              </w:rPr>
              <w:t>合计</w:t>
            </w:r>
          </w:p>
        </w:tc>
        <w:tc>
          <w:tcPr>
            <w:tcW w:w="1860" w:type="dxa"/>
            <w:vAlign w:val="center"/>
          </w:tcPr>
          <w:p w14:paraId="4C32CC01">
            <w:pPr>
              <w:jc w:val="right"/>
            </w:pPr>
            <w:r>
              <w:rPr>
                <w:rFonts w:hint="eastAsia"/>
              </w:rPr>
              <w:t>-</w:t>
            </w:r>
          </w:p>
        </w:tc>
        <w:tc>
          <w:tcPr>
            <w:tcW w:w="1517" w:type="dxa"/>
            <w:vAlign w:val="center"/>
          </w:tcPr>
          <w:p w14:paraId="3940C6A3">
            <w:pPr>
              <w:jc w:val="right"/>
            </w:pPr>
            <w:r>
              <w:rPr>
                <w:rFonts w:hint="eastAsia"/>
              </w:rPr>
              <w:t>-</w:t>
            </w:r>
          </w:p>
        </w:tc>
        <w:tc>
          <w:tcPr>
            <w:tcW w:w="1860" w:type="dxa"/>
            <w:vAlign w:val="center"/>
          </w:tcPr>
          <w:p w14:paraId="5CCC38B3">
            <w:pPr>
              <w:jc w:val="right"/>
            </w:pPr>
            <w:r>
              <w:rPr>
                <w:rFonts w:hint="eastAsia"/>
              </w:rPr>
              <w:t>-</w:t>
            </w:r>
          </w:p>
        </w:tc>
        <w:tc>
          <w:tcPr>
            <w:tcW w:w="1517" w:type="dxa"/>
            <w:vAlign w:val="center"/>
          </w:tcPr>
          <w:p w14:paraId="183F0832">
            <w:pPr>
              <w:jc w:val="right"/>
            </w:pPr>
            <w:r>
              <w:rPr>
                <w:rFonts w:hint="eastAsia"/>
              </w:rPr>
              <w:t>-</w:t>
            </w:r>
          </w:p>
        </w:tc>
      </w:tr>
      <w:tr w14:paraId="3DF2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6A1569">
            <w:r>
              <w:rPr>
                <w:rFonts w:hint="eastAsia"/>
              </w:rPr>
              <w:t>资产支持证券</w:t>
            </w:r>
          </w:p>
        </w:tc>
        <w:tc>
          <w:tcPr>
            <w:tcW w:w="1860" w:type="dxa"/>
            <w:vAlign w:val="center"/>
          </w:tcPr>
          <w:p w14:paraId="05556444">
            <w:pPr>
              <w:jc w:val="right"/>
            </w:pPr>
            <w:r>
              <w:rPr>
                <w:rFonts w:hint="eastAsia"/>
              </w:rPr>
              <w:t>-</w:t>
            </w:r>
          </w:p>
        </w:tc>
        <w:tc>
          <w:tcPr>
            <w:tcW w:w="1517" w:type="dxa"/>
            <w:vAlign w:val="center"/>
          </w:tcPr>
          <w:p w14:paraId="249CEE90">
            <w:pPr>
              <w:jc w:val="right"/>
            </w:pPr>
            <w:r>
              <w:rPr>
                <w:rFonts w:hint="eastAsia"/>
              </w:rPr>
              <w:t>-</w:t>
            </w:r>
          </w:p>
        </w:tc>
        <w:tc>
          <w:tcPr>
            <w:tcW w:w="1860" w:type="dxa"/>
            <w:vAlign w:val="center"/>
          </w:tcPr>
          <w:p w14:paraId="423120B6">
            <w:pPr>
              <w:jc w:val="right"/>
            </w:pPr>
            <w:r>
              <w:rPr>
                <w:rFonts w:hint="eastAsia"/>
              </w:rPr>
              <w:t>-</w:t>
            </w:r>
          </w:p>
        </w:tc>
        <w:tc>
          <w:tcPr>
            <w:tcW w:w="1517" w:type="dxa"/>
            <w:vAlign w:val="center"/>
          </w:tcPr>
          <w:p w14:paraId="79BF5434">
            <w:pPr>
              <w:jc w:val="right"/>
            </w:pPr>
            <w:r>
              <w:rPr>
                <w:rFonts w:hint="eastAsia"/>
              </w:rPr>
              <w:t>-</w:t>
            </w:r>
          </w:p>
        </w:tc>
      </w:tr>
      <w:tr w14:paraId="34C3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7A4F9C">
            <w:r>
              <w:rPr>
                <w:rFonts w:hint="eastAsia"/>
              </w:rPr>
              <w:t>基金</w:t>
            </w:r>
          </w:p>
        </w:tc>
        <w:tc>
          <w:tcPr>
            <w:tcW w:w="1860" w:type="dxa"/>
            <w:vAlign w:val="center"/>
          </w:tcPr>
          <w:p w14:paraId="45AA48EA">
            <w:pPr>
              <w:jc w:val="right"/>
            </w:pPr>
            <w:r>
              <w:rPr>
                <w:rFonts w:hint="eastAsia"/>
              </w:rPr>
              <w:t>241,180,429.49</w:t>
            </w:r>
          </w:p>
        </w:tc>
        <w:tc>
          <w:tcPr>
            <w:tcW w:w="1517" w:type="dxa"/>
            <w:vAlign w:val="center"/>
          </w:tcPr>
          <w:p w14:paraId="1602E42E">
            <w:pPr>
              <w:jc w:val="right"/>
            </w:pPr>
            <w:r>
              <w:rPr>
                <w:rFonts w:hint="eastAsia"/>
              </w:rPr>
              <w:t>-</w:t>
            </w:r>
          </w:p>
        </w:tc>
        <w:tc>
          <w:tcPr>
            <w:tcW w:w="1860" w:type="dxa"/>
            <w:vAlign w:val="center"/>
          </w:tcPr>
          <w:p w14:paraId="30FD2FE7">
            <w:pPr>
              <w:jc w:val="right"/>
            </w:pPr>
            <w:r>
              <w:rPr>
                <w:rFonts w:hint="eastAsia"/>
              </w:rPr>
              <w:t>254,249,873.66</w:t>
            </w:r>
          </w:p>
        </w:tc>
        <w:tc>
          <w:tcPr>
            <w:tcW w:w="1517" w:type="dxa"/>
            <w:vAlign w:val="center"/>
          </w:tcPr>
          <w:p w14:paraId="3C5FAC44">
            <w:pPr>
              <w:jc w:val="right"/>
            </w:pPr>
            <w:r>
              <w:rPr>
                <w:rFonts w:hint="eastAsia"/>
              </w:rPr>
              <w:t>13,069,444.17</w:t>
            </w:r>
          </w:p>
        </w:tc>
      </w:tr>
      <w:tr w14:paraId="42F9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86456A">
            <w:r>
              <w:rPr>
                <w:rFonts w:hint="eastAsia"/>
              </w:rPr>
              <w:t>其他</w:t>
            </w:r>
          </w:p>
        </w:tc>
        <w:tc>
          <w:tcPr>
            <w:tcW w:w="1860" w:type="dxa"/>
            <w:vAlign w:val="center"/>
          </w:tcPr>
          <w:p w14:paraId="1F6BF918">
            <w:pPr>
              <w:jc w:val="right"/>
            </w:pPr>
            <w:r>
              <w:rPr>
                <w:rFonts w:hint="eastAsia"/>
              </w:rPr>
              <w:t>-</w:t>
            </w:r>
          </w:p>
        </w:tc>
        <w:tc>
          <w:tcPr>
            <w:tcW w:w="1517" w:type="dxa"/>
            <w:vAlign w:val="center"/>
          </w:tcPr>
          <w:p w14:paraId="16194B07">
            <w:pPr>
              <w:jc w:val="right"/>
            </w:pPr>
            <w:r>
              <w:rPr>
                <w:rFonts w:hint="eastAsia"/>
              </w:rPr>
              <w:t>-</w:t>
            </w:r>
          </w:p>
        </w:tc>
        <w:tc>
          <w:tcPr>
            <w:tcW w:w="1860" w:type="dxa"/>
            <w:vAlign w:val="center"/>
          </w:tcPr>
          <w:p w14:paraId="72F4EBE6">
            <w:pPr>
              <w:jc w:val="right"/>
            </w:pPr>
            <w:r>
              <w:rPr>
                <w:rFonts w:hint="eastAsia"/>
              </w:rPr>
              <w:t>-</w:t>
            </w:r>
          </w:p>
        </w:tc>
        <w:tc>
          <w:tcPr>
            <w:tcW w:w="1517" w:type="dxa"/>
            <w:vAlign w:val="center"/>
          </w:tcPr>
          <w:p w14:paraId="124EB3AC">
            <w:pPr>
              <w:jc w:val="right"/>
            </w:pPr>
            <w:r>
              <w:rPr>
                <w:rFonts w:hint="eastAsia"/>
              </w:rPr>
              <w:t>-</w:t>
            </w:r>
          </w:p>
        </w:tc>
      </w:tr>
      <w:tr w14:paraId="49601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923FE4">
            <w:r>
              <w:rPr>
                <w:rFonts w:hint="eastAsia"/>
              </w:rPr>
              <w:t>合计</w:t>
            </w:r>
          </w:p>
        </w:tc>
        <w:tc>
          <w:tcPr>
            <w:tcW w:w="1860" w:type="dxa"/>
            <w:vAlign w:val="center"/>
          </w:tcPr>
          <w:p w14:paraId="5E69BB87">
            <w:pPr>
              <w:jc w:val="right"/>
            </w:pPr>
            <w:r>
              <w:rPr>
                <w:rFonts w:hint="eastAsia"/>
              </w:rPr>
              <w:t>241,180,429.49</w:t>
            </w:r>
          </w:p>
        </w:tc>
        <w:tc>
          <w:tcPr>
            <w:tcW w:w="1517" w:type="dxa"/>
            <w:vAlign w:val="center"/>
          </w:tcPr>
          <w:p w14:paraId="0F0B4A29">
            <w:pPr>
              <w:jc w:val="right"/>
            </w:pPr>
            <w:r>
              <w:rPr>
                <w:rFonts w:hint="eastAsia"/>
              </w:rPr>
              <w:t>-</w:t>
            </w:r>
          </w:p>
        </w:tc>
        <w:tc>
          <w:tcPr>
            <w:tcW w:w="1860" w:type="dxa"/>
            <w:vAlign w:val="center"/>
          </w:tcPr>
          <w:p w14:paraId="0D63B7FB">
            <w:pPr>
              <w:jc w:val="right"/>
            </w:pPr>
            <w:r>
              <w:rPr>
                <w:rFonts w:hint="eastAsia"/>
              </w:rPr>
              <w:t>254,249,873.66</w:t>
            </w:r>
          </w:p>
        </w:tc>
        <w:tc>
          <w:tcPr>
            <w:tcW w:w="1517" w:type="dxa"/>
            <w:vAlign w:val="center"/>
          </w:tcPr>
          <w:p w14:paraId="65985636">
            <w:pPr>
              <w:jc w:val="right"/>
            </w:pPr>
            <w:r>
              <w:rPr>
                <w:rFonts w:hint="eastAsia"/>
              </w:rPr>
              <w:t>13,069,444.17</w:t>
            </w:r>
          </w:p>
        </w:tc>
      </w:tr>
      <w:tr w14:paraId="008F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FC523B9">
            <w:r>
              <w:rPr>
                <w:rFonts w:hint="eastAsia"/>
              </w:rPr>
              <w:t>项目</w:t>
            </w:r>
          </w:p>
        </w:tc>
        <w:tc>
          <w:tcPr>
            <w:tcW w:w="1860" w:type="dxa"/>
            <w:gridSpan w:val="4"/>
            <w:vAlign w:val="center"/>
          </w:tcPr>
          <w:p w14:paraId="089F37FC">
            <w:r>
              <w:rPr>
                <w:rFonts w:hint="eastAsia"/>
              </w:rPr>
              <w:t>上年度末2024年12月31日</w:t>
            </w:r>
          </w:p>
        </w:tc>
      </w:tr>
      <w:tr w14:paraId="067D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433316B"/>
        </w:tc>
        <w:tc>
          <w:tcPr>
            <w:tcW w:w="1860" w:type="dxa"/>
            <w:vAlign w:val="center"/>
          </w:tcPr>
          <w:p w14:paraId="76071AB3">
            <w:r>
              <w:rPr>
                <w:rFonts w:hint="eastAsia"/>
              </w:rPr>
              <w:t>成本</w:t>
            </w:r>
          </w:p>
        </w:tc>
        <w:tc>
          <w:tcPr>
            <w:tcW w:w="1517" w:type="dxa"/>
            <w:vAlign w:val="center"/>
          </w:tcPr>
          <w:p w14:paraId="48E1D6B2">
            <w:r>
              <w:rPr>
                <w:rFonts w:hint="eastAsia"/>
              </w:rPr>
              <w:t>应计利息</w:t>
            </w:r>
          </w:p>
        </w:tc>
        <w:tc>
          <w:tcPr>
            <w:tcW w:w="1860" w:type="dxa"/>
            <w:vAlign w:val="center"/>
          </w:tcPr>
          <w:p w14:paraId="58CE80D2">
            <w:r>
              <w:rPr>
                <w:rFonts w:hint="eastAsia"/>
              </w:rPr>
              <w:t>公允价值</w:t>
            </w:r>
          </w:p>
        </w:tc>
        <w:tc>
          <w:tcPr>
            <w:tcW w:w="1517" w:type="dxa"/>
            <w:vAlign w:val="center"/>
          </w:tcPr>
          <w:p w14:paraId="6529BE3B">
            <w:r>
              <w:rPr>
                <w:rFonts w:hint="eastAsia"/>
              </w:rPr>
              <w:t>公允价值变动</w:t>
            </w:r>
          </w:p>
        </w:tc>
      </w:tr>
      <w:tr w14:paraId="06178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3D7BF1">
            <w:r>
              <w:rPr>
                <w:rFonts w:hint="eastAsia"/>
              </w:rPr>
              <w:t>股票</w:t>
            </w:r>
          </w:p>
        </w:tc>
        <w:tc>
          <w:tcPr>
            <w:tcW w:w="1860" w:type="dxa"/>
            <w:vAlign w:val="center"/>
          </w:tcPr>
          <w:p w14:paraId="5ABB814A">
            <w:pPr>
              <w:jc w:val="right"/>
            </w:pPr>
            <w:r>
              <w:rPr>
                <w:rFonts w:hint="eastAsia"/>
              </w:rPr>
              <w:t>-</w:t>
            </w:r>
          </w:p>
        </w:tc>
        <w:tc>
          <w:tcPr>
            <w:tcW w:w="1517" w:type="dxa"/>
            <w:vAlign w:val="center"/>
          </w:tcPr>
          <w:p w14:paraId="76ABE9C3">
            <w:pPr>
              <w:jc w:val="right"/>
            </w:pPr>
            <w:r>
              <w:rPr>
                <w:rFonts w:hint="eastAsia"/>
              </w:rPr>
              <w:t>-</w:t>
            </w:r>
          </w:p>
        </w:tc>
        <w:tc>
          <w:tcPr>
            <w:tcW w:w="1860" w:type="dxa"/>
            <w:vAlign w:val="center"/>
          </w:tcPr>
          <w:p w14:paraId="3C30DA57">
            <w:pPr>
              <w:jc w:val="right"/>
            </w:pPr>
            <w:r>
              <w:rPr>
                <w:rFonts w:hint="eastAsia"/>
              </w:rPr>
              <w:t>-</w:t>
            </w:r>
          </w:p>
        </w:tc>
        <w:tc>
          <w:tcPr>
            <w:tcW w:w="1517" w:type="dxa"/>
            <w:vAlign w:val="center"/>
          </w:tcPr>
          <w:p w14:paraId="3462D5FE">
            <w:pPr>
              <w:jc w:val="right"/>
            </w:pPr>
            <w:r>
              <w:rPr>
                <w:rFonts w:hint="eastAsia"/>
              </w:rPr>
              <w:t>-</w:t>
            </w:r>
          </w:p>
        </w:tc>
      </w:tr>
      <w:tr w14:paraId="0744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38487C">
            <w:r>
              <w:rPr>
                <w:rFonts w:hint="eastAsia"/>
              </w:rPr>
              <w:t>贵金属投资-金交所黄金合约</w:t>
            </w:r>
          </w:p>
        </w:tc>
        <w:tc>
          <w:tcPr>
            <w:tcW w:w="1860" w:type="dxa"/>
            <w:vAlign w:val="center"/>
          </w:tcPr>
          <w:p w14:paraId="67AFC29C">
            <w:pPr>
              <w:jc w:val="right"/>
            </w:pPr>
            <w:r>
              <w:rPr>
                <w:rFonts w:hint="eastAsia"/>
              </w:rPr>
              <w:t>-</w:t>
            </w:r>
          </w:p>
        </w:tc>
        <w:tc>
          <w:tcPr>
            <w:tcW w:w="1517" w:type="dxa"/>
            <w:vAlign w:val="center"/>
          </w:tcPr>
          <w:p w14:paraId="287C0BE4">
            <w:pPr>
              <w:jc w:val="right"/>
            </w:pPr>
            <w:r>
              <w:rPr>
                <w:rFonts w:hint="eastAsia"/>
              </w:rPr>
              <w:t>-</w:t>
            </w:r>
          </w:p>
        </w:tc>
        <w:tc>
          <w:tcPr>
            <w:tcW w:w="1860" w:type="dxa"/>
            <w:vAlign w:val="center"/>
          </w:tcPr>
          <w:p w14:paraId="2806DC7D">
            <w:pPr>
              <w:jc w:val="right"/>
            </w:pPr>
            <w:r>
              <w:rPr>
                <w:rFonts w:hint="eastAsia"/>
              </w:rPr>
              <w:t>-</w:t>
            </w:r>
          </w:p>
        </w:tc>
        <w:tc>
          <w:tcPr>
            <w:tcW w:w="1517" w:type="dxa"/>
            <w:vAlign w:val="center"/>
          </w:tcPr>
          <w:p w14:paraId="31C13D50">
            <w:pPr>
              <w:jc w:val="right"/>
            </w:pPr>
            <w:r>
              <w:rPr>
                <w:rFonts w:hint="eastAsia"/>
              </w:rPr>
              <w:t>-</w:t>
            </w:r>
          </w:p>
        </w:tc>
      </w:tr>
      <w:tr w14:paraId="7F75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A3ED7CB">
            <w:r>
              <w:rPr>
                <w:rFonts w:hint="eastAsia"/>
              </w:rPr>
              <w:t>债券</w:t>
            </w:r>
          </w:p>
        </w:tc>
        <w:tc>
          <w:tcPr>
            <w:tcW w:w="897" w:type="dxa"/>
            <w:vAlign w:val="center"/>
          </w:tcPr>
          <w:p w14:paraId="4D70F98F">
            <w:r>
              <w:rPr>
                <w:rFonts w:hint="eastAsia"/>
              </w:rPr>
              <w:t>交易所市场</w:t>
            </w:r>
          </w:p>
        </w:tc>
        <w:tc>
          <w:tcPr>
            <w:tcW w:w="1860" w:type="dxa"/>
            <w:vAlign w:val="center"/>
          </w:tcPr>
          <w:p w14:paraId="180B2DB2">
            <w:pPr>
              <w:jc w:val="right"/>
            </w:pPr>
            <w:r>
              <w:rPr>
                <w:rFonts w:hint="eastAsia"/>
              </w:rPr>
              <w:t>1,886,426.56</w:t>
            </w:r>
          </w:p>
        </w:tc>
        <w:tc>
          <w:tcPr>
            <w:tcW w:w="1517" w:type="dxa"/>
            <w:vAlign w:val="center"/>
          </w:tcPr>
          <w:p w14:paraId="4F87004E">
            <w:pPr>
              <w:jc w:val="right"/>
            </w:pPr>
            <w:r>
              <w:rPr>
                <w:rFonts w:hint="eastAsia"/>
              </w:rPr>
              <w:t>20,558.90</w:t>
            </w:r>
          </w:p>
        </w:tc>
        <w:tc>
          <w:tcPr>
            <w:tcW w:w="1860" w:type="dxa"/>
            <w:vAlign w:val="center"/>
          </w:tcPr>
          <w:p w14:paraId="2E6E275D">
            <w:pPr>
              <w:jc w:val="right"/>
            </w:pPr>
            <w:r>
              <w:rPr>
                <w:rFonts w:hint="eastAsia"/>
              </w:rPr>
              <w:t>1,905,376.10</w:t>
            </w:r>
          </w:p>
        </w:tc>
        <w:tc>
          <w:tcPr>
            <w:tcW w:w="1517" w:type="dxa"/>
            <w:vAlign w:val="center"/>
          </w:tcPr>
          <w:p w14:paraId="343AA94A">
            <w:pPr>
              <w:jc w:val="right"/>
            </w:pPr>
            <w:r>
              <w:rPr>
                <w:rFonts w:hint="eastAsia"/>
              </w:rPr>
              <w:t>-1,609.36</w:t>
            </w:r>
          </w:p>
        </w:tc>
      </w:tr>
      <w:tr w14:paraId="076F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BCC0C84"/>
        </w:tc>
        <w:tc>
          <w:tcPr>
            <w:tcW w:w="897" w:type="dxa"/>
            <w:vAlign w:val="center"/>
          </w:tcPr>
          <w:p w14:paraId="334009AA">
            <w:r>
              <w:rPr>
                <w:rFonts w:hint="eastAsia"/>
              </w:rPr>
              <w:t>银行间市场</w:t>
            </w:r>
          </w:p>
        </w:tc>
        <w:tc>
          <w:tcPr>
            <w:tcW w:w="1860" w:type="dxa"/>
            <w:vAlign w:val="center"/>
          </w:tcPr>
          <w:p w14:paraId="48D0AE56">
            <w:pPr>
              <w:jc w:val="right"/>
            </w:pPr>
            <w:r>
              <w:rPr>
                <w:rFonts w:hint="eastAsia"/>
              </w:rPr>
              <w:t>-</w:t>
            </w:r>
          </w:p>
        </w:tc>
        <w:tc>
          <w:tcPr>
            <w:tcW w:w="1517" w:type="dxa"/>
            <w:vAlign w:val="center"/>
          </w:tcPr>
          <w:p w14:paraId="218A8CFE">
            <w:pPr>
              <w:jc w:val="right"/>
            </w:pPr>
            <w:r>
              <w:rPr>
                <w:rFonts w:hint="eastAsia"/>
              </w:rPr>
              <w:t>-</w:t>
            </w:r>
          </w:p>
        </w:tc>
        <w:tc>
          <w:tcPr>
            <w:tcW w:w="1860" w:type="dxa"/>
            <w:vAlign w:val="center"/>
          </w:tcPr>
          <w:p w14:paraId="55B231B6">
            <w:pPr>
              <w:jc w:val="right"/>
            </w:pPr>
            <w:r>
              <w:rPr>
                <w:rFonts w:hint="eastAsia"/>
              </w:rPr>
              <w:t>-</w:t>
            </w:r>
          </w:p>
        </w:tc>
        <w:tc>
          <w:tcPr>
            <w:tcW w:w="1517" w:type="dxa"/>
            <w:vAlign w:val="center"/>
          </w:tcPr>
          <w:p w14:paraId="47083D2D">
            <w:pPr>
              <w:jc w:val="right"/>
            </w:pPr>
            <w:r>
              <w:rPr>
                <w:rFonts w:hint="eastAsia"/>
              </w:rPr>
              <w:t>-</w:t>
            </w:r>
          </w:p>
        </w:tc>
      </w:tr>
      <w:tr w14:paraId="3A19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191AA93"/>
        </w:tc>
        <w:tc>
          <w:tcPr>
            <w:tcW w:w="897" w:type="dxa"/>
            <w:vAlign w:val="center"/>
          </w:tcPr>
          <w:p w14:paraId="5F945640">
            <w:r>
              <w:rPr>
                <w:rFonts w:hint="eastAsia"/>
              </w:rPr>
              <w:t>合计</w:t>
            </w:r>
          </w:p>
        </w:tc>
        <w:tc>
          <w:tcPr>
            <w:tcW w:w="1860" w:type="dxa"/>
            <w:vAlign w:val="center"/>
          </w:tcPr>
          <w:p w14:paraId="504E3606">
            <w:pPr>
              <w:jc w:val="right"/>
            </w:pPr>
            <w:r>
              <w:rPr>
                <w:rFonts w:hint="eastAsia"/>
              </w:rPr>
              <w:t>1,886,426.56</w:t>
            </w:r>
          </w:p>
        </w:tc>
        <w:tc>
          <w:tcPr>
            <w:tcW w:w="1517" w:type="dxa"/>
            <w:vAlign w:val="center"/>
          </w:tcPr>
          <w:p w14:paraId="5EB60395">
            <w:pPr>
              <w:jc w:val="right"/>
            </w:pPr>
            <w:r>
              <w:rPr>
                <w:rFonts w:hint="eastAsia"/>
              </w:rPr>
              <w:t>20,558.90</w:t>
            </w:r>
          </w:p>
        </w:tc>
        <w:tc>
          <w:tcPr>
            <w:tcW w:w="1860" w:type="dxa"/>
            <w:vAlign w:val="center"/>
          </w:tcPr>
          <w:p w14:paraId="36788FC7">
            <w:pPr>
              <w:jc w:val="right"/>
            </w:pPr>
            <w:r>
              <w:rPr>
                <w:rFonts w:hint="eastAsia"/>
              </w:rPr>
              <w:t>1,905,376.10</w:t>
            </w:r>
          </w:p>
        </w:tc>
        <w:tc>
          <w:tcPr>
            <w:tcW w:w="1517" w:type="dxa"/>
            <w:vAlign w:val="center"/>
          </w:tcPr>
          <w:p w14:paraId="459EE131">
            <w:pPr>
              <w:jc w:val="right"/>
            </w:pPr>
            <w:r>
              <w:rPr>
                <w:rFonts w:hint="eastAsia"/>
              </w:rPr>
              <w:t>-1,609.36</w:t>
            </w:r>
          </w:p>
        </w:tc>
      </w:tr>
      <w:tr w14:paraId="208C4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11C9E5">
            <w:r>
              <w:rPr>
                <w:rFonts w:hint="eastAsia"/>
              </w:rPr>
              <w:t>资产支持证券</w:t>
            </w:r>
          </w:p>
        </w:tc>
        <w:tc>
          <w:tcPr>
            <w:tcW w:w="1860" w:type="dxa"/>
            <w:vAlign w:val="center"/>
          </w:tcPr>
          <w:p w14:paraId="754DFC31">
            <w:pPr>
              <w:jc w:val="right"/>
            </w:pPr>
            <w:r>
              <w:rPr>
                <w:rFonts w:hint="eastAsia"/>
              </w:rPr>
              <w:t>-</w:t>
            </w:r>
          </w:p>
        </w:tc>
        <w:tc>
          <w:tcPr>
            <w:tcW w:w="1517" w:type="dxa"/>
            <w:vAlign w:val="center"/>
          </w:tcPr>
          <w:p w14:paraId="15419EB8">
            <w:pPr>
              <w:jc w:val="right"/>
            </w:pPr>
            <w:r>
              <w:rPr>
                <w:rFonts w:hint="eastAsia"/>
              </w:rPr>
              <w:t>-</w:t>
            </w:r>
          </w:p>
        </w:tc>
        <w:tc>
          <w:tcPr>
            <w:tcW w:w="1860" w:type="dxa"/>
            <w:vAlign w:val="center"/>
          </w:tcPr>
          <w:p w14:paraId="4FCDF188">
            <w:pPr>
              <w:jc w:val="right"/>
            </w:pPr>
            <w:r>
              <w:rPr>
                <w:rFonts w:hint="eastAsia"/>
              </w:rPr>
              <w:t>-</w:t>
            </w:r>
          </w:p>
        </w:tc>
        <w:tc>
          <w:tcPr>
            <w:tcW w:w="1517" w:type="dxa"/>
            <w:vAlign w:val="center"/>
          </w:tcPr>
          <w:p w14:paraId="2BF706F6">
            <w:pPr>
              <w:jc w:val="right"/>
            </w:pPr>
            <w:r>
              <w:rPr>
                <w:rFonts w:hint="eastAsia"/>
              </w:rPr>
              <w:t>-</w:t>
            </w:r>
          </w:p>
        </w:tc>
      </w:tr>
      <w:tr w14:paraId="4430A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63BC47">
            <w:r>
              <w:rPr>
                <w:rFonts w:hint="eastAsia"/>
              </w:rPr>
              <w:t>基金</w:t>
            </w:r>
          </w:p>
        </w:tc>
        <w:tc>
          <w:tcPr>
            <w:tcW w:w="1860" w:type="dxa"/>
            <w:vAlign w:val="center"/>
          </w:tcPr>
          <w:p w14:paraId="21BB13CF">
            <w:pPr>
              <w:jc w:val="right"/>
            </w:pPr>
            <w:r>
              <w:rPr>
                <w:rFonts w:hint="eastAsia"/>
              </w:rPr>
              <w:t>37,539,758.95</w:t>
            </w:r>
          </w:p>
        </w:tc>
        <w:tc>
          <w:tcPr>
            <w:tcW w:w="1517" w:type="dxa"/>
            <w:vAlign w:val="center"/>
          </w:tcPr>
          <w:p w14:paraId="7DE7C845">
            <w:pPr>
              <w:jc w:val="right"/>
            </w:pPr>
            <w:r>
              <w:rPr>
                <w:rFonts w:hint="eastAsia"/>
              </w:rPr>
              <w:t>-</w:t>
            </w:r>
          </w:p>
        </w:tc>
        <w:tc>
          <w:tcPr>
            <w:tcW w:w="1860" w:type="dxa"/>
            <w:vAlign w:val="center"/>
          </w:tcPr>
          <w:p w14:paraId="1B86F23E">
            <w:pPr>
              <w:jc w:val="right"/>
            </w:pPr>
            <w:r>
              <w:rPr>
                <w:rFonts w:hint="eastAsia"/>
              </w:rPr>
              <w:t>37,664,951.42</w:t>
            </w:r>
          </w:p>
        </w:tc>
        <w:tc>
          <w:tcPr>
            <w:tcW w:w="1517" w:type="dxa"/>
            <w:vAlign w:val="center"/>
          </w:tcPr>
          <w:p w14:paraId="78A1F914">
            <w:pPr>
              <w:jc w:val="right"/>
            </w:pPr>
            <w:r>
              <w:rPr>
                <w:rFonts w:hint="eastAsia"/>
              </w:rPr>
              <w:t>125,192.47</w:t>
            </w:r>
          </w:p>
        </w:tc>
      </w:tr>
      <w:tr w14:paraId="672E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2C86DA">
            <w:r>
              <w:rPr>
                <w:rFonts w:hint="eastAsia"/>
              </w:rPr>
              <w:t>其他</w:t>
            </w:r>
          </w:p>
        </w:tc>
        <w:tc>
          <w:tcPr>
            <w:tcW w:w="1860" w:type="dxa"/>
            <w:vAlign w:val="center"/>
          </w:tcPr>
          <w:p w14:paraId="417A0638">
            <w:pPr>
              <w:jc w:val="right"/>
            </w:pPr>
            <w:r>
              <w:rPr>
                <w:rFonts w:hint="eastAsia"/>
              </w:rPr>
              <w:t>-</w:t>
            </w:r>
          </w:p>
        </w:tc>
        <w:tc>
          <w:tcPr>
            <w:tcW w:w="1517" w:type="dxa"/>
            <w:vAlign w:val="center"/>
          </w:tcPr>
          <w:p w14:paraId="53E70599">
            <w:pPr>
              <w:jc w:val="right"/>
            </w:pPr>
            <w:r>
              <w:rPr>
                <w:rFonts w:hint="eastAsia"/>
              </w:rPr>
              <w:t>-</w:t>
            </w:r>
          </w:p>
        </w:tc>
        <w:tc>
          <w:tcPr>
            <w:tcW w:w="1860" w:type="dxa"/>
            <w:vAlign w:val="center"/>
          </w:tcPr>
          <w:p w14:paraId="2743BF90">
            <w:pPr>
              <w:jc w:val="right"/>
            </w:pPr>
            <w:r>
              <w:rPr>
                <w:rFonts w:hint="eastAsia"/>
              </w:rPr>
              <w:t>-</w:t>
            </w:r>
          </w:p>
        </w:tc>
        <w:tc>
          <w:tcPr>
            <w:tcW w:w="1517" w:type="dxa"/>
            <w:vAlign w:val="center"/>
          </w:tcPr>
          <w:p w14:paraId="334F5022">
            <w:pPr>
              <w:jc w:val="right"/>
            </w:pPr>
            <w:r>
              <w:rPr>
                <w:rFonts w:hint="eastAsia"/>
              </w:rPr>
              <w:t>-</w:t>
            </w:r>
          </w:p>
        </w:tc>
      </w:tr>
      <w:tr w14:paraId="7FF3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AADEF9">
            <w:r>
              <w:rPr>
                <w:rFonts w:hint="eastAsia"/>
              </w:rPr>
              <w:t>合计</w:t>
            </w:r>
          </w:p>
        </w:tc>
        <w:tc>
          <w:tcPr>
            <w:tcW w:w="1860" w:type="dxa"/>
            <w:vAlign w:val="center"/>
          </w:tcPr>
          <w:p w14:paraId="01656828">
            <w:pPr>
              <w:jc w:val="right"/>
            </w:pPr>
            <w:r>
              <w:rPr>
                <w:rFonts w:hint="eastAsia"/>
              </w:rPr>
              <w:t>39,426,185.51</w:t>
            </w:r>
          </w:p>
        </w:tc>
        <w:tc>
          <w:tcPr>
            <w:tcW w:w="1517" w:type="dxa"/>
            <w:vAlign w:val="center"/>
          </w:tcPr>
          <w:p w14:paraId="2F777038">
            <w:pPr>
              <w:jc w:val="right"/>
            </w:pPr>
            <w:r>
              <w:rPr>
                <w:rFonts w:hint="eastAsia"/>
              </w:rPr>
              <w:t>20,558.90</w:t>
            </w:r>
          </w:p>
        </w:tc>
        <w:tc>
          <w:tcPr>
            <w:tcW w:w="1860" w:type="dxa"/>
            <w:vAlign w:val="center"/>
          </w:tcPr>
          <w:p w14:paraId="67058DE1">
            <w:pPr>
              <w:jc w:val="right"/>
            </w:pPr>
            <w:r>
              <w:rPr>
                <w:rFonts w:hint="eastAsia"/>
              </w:rPr>
              <w:t>39,570,327.52</w:t>
            </w:r>
          </w:p>
        </w:tc>
        <w:tc>
          <w:tcPr>
            <w:tcW w:w="1517" w:type="dxa"/>
            <w:vAlign w:val="center"/>
          </w:tcPr>
          <w:p w14:paraId="3A237DC1">
            <w:pPr>
              <w:jc w:val="right"/>
            </w:pPr>
            <w:r>
              <w:rPr>
                <w:rFonts w:hint="eastAsia"/>
              </w:rPr>
              <w:t>123,583.11</w:t>
            </w:r>
          </w:p>
        </w:tc>
      </w:tr>
    </w:tbl>
    <w:p w14:paraId="4FA053D5">
      <w:pPr>
        <w:pStyle w:val="35"/>
      </w:pPr>
      <w:bookmarkStart w:id="79" w:name="_Toc79"/>
      <w:r>
        <w:t>衍生金融资产/负债</w:t>
      </w:r>
      <w:bookmarkEnd w:id="79"/>
    </w:p>
    <w:p w14:paraId="2C615ACF">
      <w:pPr>
        <w:pStyle w:val="36"/>
      </w:pPr>
      <w:bookmarkStart w:id="80" w:name="_Toc80"/>
      <w:r>
        <w:t>衍生金融资产/负债期末余额</w:t>
      </w:r>
      <w:bookmarkEnd w:id="80"/>
    </w:p>
    <w:p w14:paraId="2F838C13">
      <w:pPr>
        <w:pStyle w:val="18"/>
        <w:rPr>
          <w:rFonts w:hint="eastAsia"/>
        </w:rPr>
      </w:pPr>
      <w:r>
        <w:rPr>
          <w:rFonts w:hint="eastAsia"/>
        </w:rPr>
        <w:t>无。</w:t>
      </w:r>
    </w:p>
    <w:p w14:paraId="032A3EAD">
      <w:pPr>
        <w:pStyle w:val="35"/>
      </w:pPr>
      <w:bookmarkStart w:id="81" w:name="_Toc81"/>
      <w:r>
        <w:t>买入返售金融资产</w:t>
      </w:r>
      <w:bookmarkEnd w:id="81"/>
    </w:p>
    <w:p w14:paraId="63FD8A7B">
      <w:pPr>
        <w:pStyle w:val="36"/>
      </w:pPr>
      <w:bookmarkStart w:id="82" w:name="_Toc82"/>
      <w:r>
        <w:t>各项买入返售金融资产期末余额</w:t>
      </w:r>
      <w:bookmarkEnd w:id="82"/>
    </w:p>
    <w:p w14:paraId="79E234D1">
      <w:pPr>
        <w:pStyle w:val="18"/>
        <w:rPr>
          <w:rFonts w:hint="eastAsia"/>
        </w:rPr>
      </w:pPr>
      <w:r>
        <w:rPr>
          <w:rFonts w:hint="eastAsia"/>
        </w:rPr>
        <w:t>无。</w:t>
      </w:r>
    </w:p>
    <w:p w14:paraId="2001218A">
      <w:pPr>
        <w:pStyle w:val="36"/>
      </w:pPr>
      <w:bookmarkStart w:id="83" w:name="_Toc83"/>
      <w:r>
        <w:t>期末买断式逆回购交易中取得的债券</w:t>
      </w:r>
      <w:bookmarkEnd w:id="83"/>
    </w:p>
    <w:p w14:paraId="108B07F5">
      <w:pPr>
        <w:pStyle w:val="18"/>
        <w:rPr>
          <w:rFonts w:hint="eastAsia"/>
        </w:rPr>
      </w:pPr>
      <w:r>
        <w:rPr>
          <w:rFonts w:hint="eastAsia"/>
        </w:rPr>
        <w:t>无。</w:t>
      </w:r>
    </w:p>
    <w:p w14:paraId="4151BC7D">
      <w:pPr>
        <w:pStyle w:val="35"/>
      </w:pPr>
      <w:bookmarkStart w:id="84" w:name="_Toc84"/>
      <w:r>
        <w:t>其他资产</w:t>
      </w:r>
      <w:bookmarkEnd w:id="84"/>
    </w:p>
    <w:p w14:paraId="58A37399">
      <w:pPr>
        <w:pStyle w:val="18"/>
        <w:rPr>
          <w:rFonts w:hint="eastAsia"/>
        </w:rPr>
      </w:pPr>
      <w:r>
        <w:rPr>
          <w:rFonts w:hint="eastAsia"/>
        </w:rPr>
        <w:t>无。</w:t>
      </w:r>
    </w:p>
    <w:p w14:paraId="0C0A0B5C">
      <w:pPr>
        <w:pStyle w:val="35"/>
      </w:pPr>
      <w:bookmarkStart w:id="85" w:name="_Toc85"/>
      <w:r>
        <w:t>其他负债</w:t>
      </w:r>
      <w:bookmarkEnd w:id="85"/>
    </w:p>
    <w:p w14:paraId="42C450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AA1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E4657C">
            <w:pPr>
              <w:jc w:val="center"/>
            </w:pPr>
            <w:r>
              <w:rPr>
                <w:rFonts w:hint="eastAsia"/>
                <w:b/>
              </w:rPr>
              <w:t>项目</w:t>
            </w:r>
          </w:p>
        </w:tc>
        <w:tc>
          <w:tcPr>
            <w:tcW w:w="2768" w:type="dxa"/>
            <w:shd w:val="clear" w:color="auto" w:fill="BFBFBF"/>
            <w:vAlign w:val="center"/>
          </w:tcPr>
          <w:p w14:paraId="35C3EBE3">
            <w:pPr>
              <w:jc w:val="center"/>
            </w:pPr>
            <w:r>
              <w:rPr>
                <w:rFonts w:hint="eastAsia"/>
                <w:b/>
              </w:rPr>
              <w:t>本期末2025年12月31日</w:t>
            </w:r>
          </w:p>
        </w:tc>
        <w:tc>
          <w:tcPr>
            <w:tcW w:w="2768" w:type="dxa"/>
            <w:shd w:val="clear" w:color="auto" w:fill="BFBFBF"/>
            <w:vAlign w:val="center"/>
          </w:tcPr>
          <w:p w14:paraId="788EA70B">
            <w:pPr>
              <w:jc w:val="center"/>
            </w:pPr>
            <w:r>
              <w:rPr>
                <w:rFonts w:hint="eastAsia"/>
                <w:b/>
              </w:rPr>
              <w:t>上年度末2024年12月31日</w:t>
            </w:r>
          </w:p>
        </w:tc>
      </w:tr>
      <w:tr w14:paraId="4F6D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8A9EE0">
            <w:r>
              <w:rPr>
                <w:rFonts w:hint="eastAsia"/>
              </w:rPr>
              <w:t>应付券商交易单元保证金</w:t>
            </w:r>
          </w:p>
        </w:tc>
        <w:tc>
          <w:tcPr>
            <w:tcW w:w="2768" w:type="dxa"/>
            <w:vAlign w:val="center"/>
          </w:tcPr>
          <w:p w14:paraId="5539EB10">
            <w:pPr>
              <w:jc w:val="right"/>
            </w:pPr>
            <w:r>
              <w:rPr>
                <w:rFonts w:hint="eastAsia"/>
              </w:rPr>
              <w:t>-</w:t>
            </w:r>
          </w:p>
        </w:tc>
        <w:tc>
          <w:tcPr>
            <w:tcW w:w="2768" w:type="dxa"/>
            <w:vAlign w:val="center"/>
          </w:tcPr>
          <w:p w14:paraId="01C09BE5">
            <w:pPr>
              <w:jc w:val="right"/>
            </w:pPr>
            <w:r>
              <w:rPr>
                <w:rFonts w:hint="eastAsia"/>
              </w:rPr>
              <w:t>-</w:t>
            </w:r>
          </w:p>
        </w:tc>
      </w:tr>
      <w:tr w14:paraId="0DD9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BAC158">
            <w:r>
              <w:rPr>
                <w:rFonts w:hint="eastAsia"/>
              </w:rPr>
              <w:t>应付赎回费</w:t>
            </w:r>
          </w:p>
        </w:tc>
        <w:tc>
          <w:tcPr>
            <w:tcW w:w="2768" w:type="dxa"/>
            <w:vAlign w:val="center"/>
          </w:tcPr>
          <w:p w14:paraId="43301105">
            <w:pPr>
              <w:jc w:val="right"/>
            </w:pPr>
            <w:r>
              <w:rPr>
                <w:rFonts w:hint="eastAsia"/>
              </w:rPr>
              <w:t>-</w:t>
            </w:r>
          </w:p>
        </w:tc>
        <w:tc>
          <w:tcPr>
            <w:tcW w:w="2768" w:type="dxa"/>
            <w:vAlign w:val="center"/>
          </w:tcPr>
          <w:p w14:paraId="01DE8B6C">
            <w:pPr>
              <w:jc w:val="right"/>
            </w:pPr>
            <w:r>
              <w:rPr>
                <w:rFonts w:hint="eastAsia"/>
              </w:rPr>
              <w:t>-</w:t>
            </w:r>
          </w:p>
        </w:tc>
      </w:tr>
      <w:tr w14:paraId="0B94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3AE623">
            <w:r>
              <w:rPr>
                <w:rFonts w:hint="eastAsia"/>
              </w:rPr>
              <w:t>应付证券出借违约金</w:t>
            </w:r>
          </w:p>
        </w:tc>
        <w:tc>
          <w:tcPr>
            <w:tcW w:w="2768" w:type="dxa"/>
            <w:vAlign w:val="center"/>
          </w:tcPr>
          <w:p w14:paraId="1D9EBFF6">
            <w:pPr>
              <w:jc w:val="right"/>
            </w:pPr>
            <w:r>
              <w:rPr>
                <w:rFonts w:hint="eastAsia"/>
              </w:rPr>
              <w:t>-</w:t>
            </w:r>
          </w:p>
        </w:tc>
        <w:tc>
          <w:tcPr>
            <w:tcW w:w="2768" w:type="dxa"/>
            <w:vAlign w:val="center"/>
          </w:tcPr>
          <w:p w14:paraId="7222CAAC">
            <w:pPr>
              <w:jc w:val="right"/>
            </w:pPr>
            <w:r>
              <w:rPr>
                <w:rFonts w:hint="eastAsia"/>
              </w:rPr>
              <w:t>-</w:t>
            </w:r>
          </w:p>
        </w:tc>
      </w:tr>
      <w:tr w14:paraId="1291D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FB9C63">
            <w:r>
              <w:rPr>
                <w:rFonts w:hint="eastAsia"/>
              </w:rPr>
              <w:t>应付交易费用</w:t>
            </w:r>
          </w:p>
        </w:tc>
        <w:tc>
          <w:tcPr>
            <w:tcW w:w="2768" w:type="dxa"/>
            <w:vAlign w:val="center"/>
          </w:tcPr>
          <w:p w14:paraId="5A81CC62">
            <w:pPr>
              <w:jc w:val="right"/>
            </w:pPr>
            <w:r>
              <w:rPr>
                <w:rFonts w:hint="eastAsia"/>
              </w:rPr>
              <w:t>-</w:t>
            </w:r>
          </w:p>
        </w:tc>
        <w:tc>
          <w:tcPr>
            <w:tcW w:w="2768" w:type="dxa"/>
            <w:vAlign w:val="center"/>
          </w:tcPr>
          <w:p w14:paraId="6B304BF8">
            <w:pPr>
              <w:jc w:val="right"/>
            </w:pPr>
            <w:r>
              <w:rPr>
                <w:rFonts w:hint="eastAsia"/>
              </w:rPr>
              <w:t>-</w:t>
            </w:r>
          </w:p>
        </w:tc>
      </w:tr>
      <w:tr w14:paraId="6A1E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1FD6F4">
            <w:r>
              <w:rPr>
                <w:rFonts w:hint="eastAsia"/>
              </w:rPr>
              <w:t>其中：交易所市场</w:t>
            </w:r>
          </w:p>
        </w:tc>
        <w:tc>
          <w:tcPr>
            <w:tcW w:w="2768" w:type="dxa"/>
            <w:vAlign w:val="center"/>
          </w:tcPr>
          <w:p w14:paraId="2A9DD68D">
            <w:pPr>
              <w:jc w:val="right"/>
            </w:pPr>
            <w:r>
              <w:rPr>
                <w:rFonts w:hint="eastAsia"/>
              </w:rPr>
              <w:t>-</w:t>
            </w:r>
          </w:p>
        </w:tc>
        <w:tc>
          <w:tcPr>
            <w:tcW w:w="2768" w:type="dxa"/>
            <w:vAlign w:val="center"/>
          </w:tcPr>
          <w:p w14:paraId="53851E5C">
            <w:pPr>
              <w:jc w:val="right"/>
            </w:pPr>
            <w:r>
              <w:rPr>
                <w:rFonts w:hint="eastAsia"/>
              </w:rPr>
              <w:t>-</w:t>
            </w:r>
          </w:p>
        </w:tc>
      </w:tr>
      <w:tr w14:paraId="0B3D7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9EBFFD">
            <w:r>
              <w:rPr>
                <w:rFonts w:hint="eastAsia"/>
              </w:rPr>
              <w:t xml:space="preserve">      银行间市场</w:t>
            </w:r>
          </w:p>
        </w:tc>
        <w:tc>
          <w:tcPr>
            <w:tcW w:w="2768" w:type="dxa"/>
            <w:vAlign w:val="center"/>
          </w:tcPr>
          <w:p w14:paraId="6C64A9C1">
            <w:pPr>
              <w:jc w:val="right"/>
            </w:pPr>
            <w:r>
              <w:rPr>
                <w:rFonts w:hint="eastAsia"/>
              </w:rPr>
              <w:t>-</w:t>
            </w:r>
          </w:p>
        </w:tc>
        <w:tc>
          <w:tcPr>
            <w:tcW w:w="2768" w:type="dxa"/>
            <w:vAlign w:val="center"/>
          </w:tcPr>
          <w:p w14:paraId="1268B7E6">
            <w:pPr>
              <w:jc w:val="right"/>
            </w:pPr>
            <w:r>
              <w:rPr>
                <w:rFonts w:hint="eastAsia"/>
              </w:rPr>
              <w:t>-</w:t>
            </w:r>
          </w:p>
        </w:tc>
      </w:tr>
      <w:tr w14:paraId="3D23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AF26BF">
            <w:r>
              <w:rPr>
                <w:rFonts w:hint="eastAsia"/>
              </w:rPr>
              <w:t>应付利息</w:t>
            </w:r>
          </w:p>
        </w:tc>
        <w:tc>
          <w:tcPr>
            <w:tcW w:w="2768" w:type="dxa"/>
            <w:vAlign w:val="center"/>
          </w:tcPr>
          <w:p w14:paraId="77EA5DB1">
            <w:pPr>
              <w:jc w:val="right"/>
            </w:pPr>
            <w:r>
              <w:rPr>
                <w:rFonts w:hint="eastAsia"/>
              </w:rPr>
              <w:t>-</w:t>
            </w:r>
          </w:p>
        </w:tc>
        <w:tc>
          <w:tcPr>
            <w:tcW w:w="2768" w:type="dxa"/>
            <w:vAlign w:val="center"/>
          </w:tcPr>
          <w:p w14:paraId="3DF9CFB3">
            <w:pPr>
              <w:jc w:val="right"/>
            </w:pPr>
            <w:r>
              <w:rPr>
                <w:rFonts w:hint="eastAsia"/>
              </w:rPr>
              <w:t>-</w:t>
            </w:r>
          </w:p>
        </w:tc>
      </w:tr>
      <w:tr w14:paraId="18C2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05FCBF">
            <w:r>
              <w:rPr>
                <w:rFonts w:hint="eastAsia"/>
              </w:rPr>
              <w:t>应退退补款</w:t>
            </w:r>
          </w:p>
        </w:tc>
        <w:tc>
          <w:tcPr>
            <w:tcW w:w="2768" w:type="dxa"/>
            <w:vAlign w:val="center"/>
          </w:tcPr>
          <w:p w14:paraId="59AB8206">
            <w:pPr>
              <w:jc w:val="right"/>
            </w:pPr>
            <w:r>
              <w:rPr>
                <w:rFonts w:hint="eastAsia"/>
              </w:rPr>
              <w:t>-</w:t>
            </w:r>
          </w:p>
        </w:tc>
        <w:tc>
          <w:tcPr>
            <w:tcW w:w="2768" w:type="dxa"/>
            <w:vAlign w:val="center"/>
          </w:tcPr>
          <w:p w14:paraId="6D3A97D7">
            <w:pPr>
              <w:jc w:val="right"/>
            </w:pPr>
            <w:r>
              <w:rPr>
                <w:rFonts w:hint="eastAsia"/>
              </w:rPr>
              <w:t>-</w:t>
            </w:r>
          </w:p>
        </w:tc>
      </w:tr>
      <w:tr w14:paraId="38D5C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206EB2">
            <w:r>
              <w:rPr>
                <w:rFonts w:hint="eastAsia"/>
              </w:rPr>
              <w:t>预提费用</w:t>
            </w:r>
          </w:p>
        </w:tc>
        <w:tc>
          <w:tcPr>
            <w:tcW w:w="2768" w:type="dxa"/>
            <w:vAlign w:val="center"/>
          </w:tcPr>
          <w:p w14:paraId="132037F4">
            <w:pPr>
              <w:jc w:val="right"/>
            </w:pPr>
            <w:r>
              <w:rPr>
                <w:rFonts w:hint="eastAsia"/>
              </w:rPr>
              <w:t>130,000.00</w:t>
            </w:r>
          </w:p>
        </w:tc>
        <w:tc>
          <w:tcPr>
            <w:tcW w:w="2768" w:type="dxa"/>
            <w:vAlign w:val="center"/>
          </w:tcPr>
          <w:p w14:paraId="18BA6B5C">
            <w:pPr>
              <w:jc w:val="right"/>
            </w:pPr>
            <w:r>
              <w:rPr>
                <w:rFonts w:hint="eastAsia"/>
              </w:rPr>
              <w:t>4,000.00</w:t>
            </w:r>
          </w:p>
        </w:tc>
      </w:tr>
      <w:tr w14:paraId="3AB88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CC8CBA">
            <w:r>
              <w:rPr>
                <w:rFonts w:hint="eastAsia"/>
              </w:rPr>
              <w:t>应付指数使用费</w:t>
            </w:r>
          </w:p>
        </w:tc>
        <w:tc>
          <w:tcPr>
            <w:tcW w:w="2768" w:type="dxa"/>
            <w:vAlign w:val="center"/>
          </w:tcPr>
          <w:p w14:paraId="42ABEB50">
            <w:pPr>
              <w:jc w:val="right"/>
            </w:pPr>
            <w:r>
              <w:rPr>
                <w:rFonts w:hint="eastAsia"/>
              </w:rPr>
              <w:t>-</w:t>
            </w:r>
          </w:p>
        </w:tc>
        <w:tc>
          <w:tcPr>
            <w:tcW w:w="2768" w:type="dxa"/>
            <w:vAlign w:val="center"/>
          </w:tcPr>
          <w:p w14:paraId="65527650">
            <w:pPr>
              <w:jc w:val="right"/>
            </w:pPr>
            <w:r>
              <w:rPr>
                <w:rFonts w:hint="eastAsia"/>
              </w:rPr>
              <w:t>-</w:t>
            </w:r>
          </w:p>
        </w:tc>
      </w:tr>
      <w:tr w14:paraId="015B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9CFB07">
            <w:r>
              <w:rPr>
                <w:rFonts w:hint="eastAsia"/>
              </w:rPr>
              <w:t>可退替代款</w:t>
            </w:r>
          </w:p>
        </w:tc>
        <w:tc>
          <w:tcPr>
            <w:tcW w:w="2768" w:type="dxa"/>
            <w:vAlign w:val="center"/>
          </w:tcPr>
          <w:p w14:paraId="167E2268">
            <w:pPr>
              <w:jc w:val="right"/>
            </w:pPr>
            <w:r>
              <w:rPr>
                <w:rFonts w:hint="eastAsia"/>
              </w:rPr>
              <w:t>-</w:t>
            </w:r>
          </w:p>
        </w:tc>
        <w:tc>
          <w:tcPr>
            <w:tcW w:w="2768" w:type="dxa"/>
            <w:vAlign w:val="center"/>
          </w:tcPr>
          <w:p w14:paraId="236767C9">
            <w:pPr>
              <w:jc w:val="right"/>
            </w:pPr>
            <w:r>
              <w:rPr>
                <w:rFonts w:hint="eastAsia"/>
              </w:rPr>
              <w:t>-</w:t>
            </w:r>
          </w:p>
        </w:tc>
      </w:tr>
      <w:tr w14:paraId="704A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6608D6">
            <w:r>
              <w:rPr>
                <w:rFonts w:hint="eastAsia"/>
              </w:rPr>
              <w:t>合计</w:t>
            </w:r>
          </w:p>
        </w:tc>
        <w:tc>
          <w:tcPr>
            <w:tcW w:w="2768" w:type="dxa"/>
            <w:vAlign w:val="center"/>
          </w:tcPr>
          <w:p w14:paraId="658E4630">
            <w:pPr>
              <w:jc w:val="right"/>
            </w:pPr>
            <w:r>
              <w:rPr>
                <w:rFonts w:hint="eastAsia"/>
              </w:rPr>
              <w:t>130,000.00</w:t>
            </w:r>
          </w:p>
        </w:tc>
        <w:tc>
          <w:tcPr>
            <w:tcW w:w="2768" w:type="dxa"/>
            <w:vAlign w:val="center"/>
          </w:tcPr>
          <w:p w14:paraId="6C3A3397">
            <w:pPr>
              <w:jc w:val="right"/>
            </w:pPr>
            <w:r>
              <w:rPr>
                <w:rFonts w:hint="eastAsia"/>
              </w:rPr>
              <w:t>4,000.00</w:t>
            </w:r>
          </w:p>
        </w:tc>
      </w:tr>
    </w:tbl>
    <w:p w14:paraId="116E757D">
      <w:pPr>
        <w:pStyle w:val="35"/>
      </w:pPr>
      <w:bookmarkStart w:id="86" w:name="_Toc86"/>
      <w:r>
        <w:t>实收基金</w:t>
      </w:r>
      <w:bookmarkEnd w:id="86"/>
    </w:p>
    <w:p w14:paraId="2F3B855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F2A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99F49EC">
            <w:pPr>
              <w:jc w:val="center"/>
            </w:pPr>
            <w:r>
              <w:rPr>
                <w:rFonts w:hint="eastAsia"/>
                <w:b/>
              </w:rPr>
              <w:t>南方富时亚太低碳精选ETF发起联接（QDII）A</w:t>
            </w:r>
          </w:p>
        </w:tc>
      </w:tr>
      <w:tr w14:paraId="6C050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118C77B">
            <w:pPr>
              <w:jc w:val="center"/>
            </w:pPr>
            <w:r>
              <w:rPr>
                <w:rFonts w:hint="eastAsia"/>
                <w:b/>
              </w:rPr>
              <w:t>项目</w:t>
            </w:r>
          </w:p>
        </w:tc>
        <w:tc>
          <w:tcPr>
            <w:tcW w:w="2491" w:type="dxa"/>
            <w:gridSpan w:val="2"/>
            <w:shd w:val="clear" w:color="auto" w:fill="BFBFBF"/>
            <w:vAlign w:val="center"/>
          </w:tcPr>
          <w:p w14:paraId="0439A872">
            <w:pPr>
              <w:jc w:val="center"/>
            </w:pPr>
            <w:r>
              <w:rPr>
                <w:rFonts w:hint="eastAsia"/>
                <w:b/>
              </w:rPr>
              <w:t>本期2025年1月1日至2025年12月31日</w:t>
            </w:r>
          </w:p>
        </w:tc>
      </w:tr>
      <w:tr w14:paraId="279B1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4DB8B61"/>
        </w:tc>
        <w:tc>
          <w:tcPr>
            <w:tcW w:w="2491" w:type="dxa"/>
            <w:shd w:val="clear" w:color="auto" w:fill="BFBFBF"/>
            <w:vAlign w:val="center"/>
          </w:tcPr>
          <w:p w14:paraId="5F45F6B6">
            <w:pPr>
              <w:jc w:val="center"/>
            </w:pPr>
            <w:r>
              <w:rPr>
                <w:rFonts w:hint="eastAsia"/>
                <w:b/>
              </w:rPr>
              <w:t>基金份额（份）</w:t>
            </w:r>
          </w:p>
        </w:tc>
        <w:tc>
          <w:tcPr>
            <w:tcW w:w="2907" w:type="dxa"/>
            <w:shd w:val="clear" w:color="auto" w:fill="BFBFBF"/>
            <w:vAlign w:val="center"/>
          </w:tcPr>
          <w:p w14:paraId="0C9CA5EC">
            <w:pPr>
              <w:jc w:val="center"/>
            </w:pPr>
            <w:r>
              <w:rPr>
                <w:rFonts w:hint="eastAsia"/>
                <w:b/>
              </w:rPr>
              <w:t>账面金额</w:t>
            </w:r>
          </w:p>
        </w:tc>
      </w:tr>
      <w:tr w14:paraId="6405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AB472E">
            <w:r>
              <w:rPr>
                <w:rFonts w:hint="eastAsia"/>
              </w:rPr>
              <w:t>上年度末</w:t>
            </w:r>
          </w:p>
        </w:tc>
        <w:tc>
          <w:tcPr>
            <w:tcW w:w="2491" w:type="dxa"/>
            <w:vAlign w:val="center"/>
          </w:tcPr>
          <w:p w14:paraId="2B3C984B">
            <w:pPr>
              <w:jc w:val="right"/>
            </w:pPr>
            <w:r>
              <w:rPr>
                <w:rFonts w:hint="eastAsia"/>
              </w:rPr>
              <w:t>22,215,627.69</w:t>
            </w:r>
          </w:p>
        </w:tc>
        <w:tc>
          <w:tcPr>
            <w:tcW w:w="2907" w:type="dxa"/>
            <w:vAlign w:val="center"/>
          </w:tcPr>
          <w:p w14:paraId="2E8510D6">
            <w:pPr>
              <w:jc w:val="right"/>
            </w:pPr>
            <w:r>
              <w:rPr>
                <w:rFonts w:hint="eastAsia"/>
              </w:rPr>
              <w:t>22,215,627.69</w:t>
            </w:r>
          </w:p>
        </w:tc>
      </w:tr>
      <w:tr w14:paraId="4F86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655517">
            <w:r>
              <w:rPr>
                <w:rFonts w:hint="eastAsia"/>
              </w:rPr>
              <w:t>本期申购</w:t>
            </w:r>
          </w:p>
        </w:tc>
        <w:tc>
          <w:tcPr>
            <w:tcW w:w="2491" w:type="dxa"/>
            <w:vAlign w:val="center"/>
          </w:tcPr>
          <w:p w14:paraId="56A0443C">
            <w:pPr>
              <w:jc w:val="right"/>
            </w:pPr>
            <w:r>
              <w:rPr>
                <w:rFonts w:hint="eastAsia"/>
              </w:rPr>
              <w:t>54,339,258.40</w:t>
            </w:r>
          </w:p>
        </w:tc>
        <w:tc>
          <w:tcPr>
            <w:tcW w:w="2907" w:type="dxa"/>
            <w:vAlign w:val="center"/>
          </w:tcPr>
          <w:p w14:paraId="1B2D57C0">
            <w:pPr>
              <w:jc w:val="right"/>
            </w:pPr>
            <w:r>
              <w:rPr>
                <w:rFonts w:hint="eastAsia"/>
              </w:rPr>
              <w:t>54,339,258.40</w:t>
            </w:r>
          </w:p>
        </w:tc>
      </w:tr>
      <w:tr w14:paraId="2C270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FAC871">
            <w:r>
              <w:rPr>
                <w:rFonts w:hint="eastAsia"/>
              </w:rPr>
              <w:t>本期赎回（以“-”号填列）</w:t>
            </w:r>
          </w:p>
        </w:tc>
        <w:tc>
          <w:tcPr>
            <w:tcW w:w="2491" w:type="dxa"/>
            <w:vAlign w:val="center"/>
          </w:tcPr>
          <w:p w14:paraId="097E7237">
            <w:pPr>
              <w:jc w:val="right"/>
            </w:pPr>
            <w:r>
              <w:rPr>
                <w:rFonts w:hint="eastAsia"/>
              </w:rPr>
              <w:t>-25,440,586.04</w:t>
            </w:r>
          </w:p>
        </w:tc>
        <w:tc>
          <w:tcPr>
            <w:tcW w:w="2907" w:type="dxa"/>
            <w:vAlign w:val="center"/>
          </w:tcPr>
          <w:p w14:paraId="542C6545">
            <w:pPr>
              <w:jc w:val="right"/>
            </w:pPr>
            <w:r>
              <w:rPr>
                <w:rFonts w:hint="eastAsia"/>
              </w:rPr>
              <w:t>-25,440,586.04</w:t>
            </w:r>
          </w:p>
        </w:tc>
      </w:tr>
      <w:tr w14:paraId="3351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199072">
            <w:r>
              <w:rPr>
                <w:rFonts w:hint="eastAsia"/>
              </w:rPr>
              <w:t>基金拆分/份额折算前</w:t>
            </w:r>
          </w:p>
        </w:tc>
        <w:tc>
          <w:tcPr>
            <w:tcW w:w="2491" w:type="dxa"/>
            <w:vAlign w:val="center"/>
          </w:tcPr>
          <w:p w14:paraId="295F1AA2">
            <w:pPr>
              <w:jc w:val="right"/>
            </w:pPr>
            <w:r>
              <w:rPr>
                <w:rFonts w:hint="eastAsia"/>
              </w:rPr>
              <w:t>-</w:t>
            </w:r>
          </w:p>
        </w:tc>
        <w:tc>
          <w:tcPr>
            <w:tcW w:w="2907" w:type="dxa"/>
            <w:vAlign w:val="center"/>
          </w:tcPr>
          <w:p w14:paraId="3E027E02">
            <w:pPr>
              <w:jc w:val="right"/>
            </w:pPr>
            <w:r>
              <w:rPr>
                <w:rFonts w:hint="eastAsia"/>
              </w:rPr>
              <w:t>-</w:t>
            </w:r>
          </w:p>
        </w:tc>
      </w:tr>
      <w:tr w14:paraId="04762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5844BC">
            <w:r>
              <w:rPr>
                <w:rFonts w:hint="eastAsia"/>
              </w:rPr>
              <w:t>基金拆分/份额折算调整</w:t>
            </w:r>
          </w:p>
        </w:tc>
        <w:tc>
          <w:tcPr>
            <w:tcW w:w="2491" w:type="dxa"/>
            <w:vAlign w:val="center"/>
          </w:tcPr>
          <w:p w14:paraId="327CB5E4">
            <w:pPr>
              <w:jc w:val="right"/>
            </w:pPr>
            <w:r>
              <w:rPr>
                <w:rFonts w:hint="eastAsia"/>
              </w:rPr>
              <w:t>-</w:t>
            </w:r>
          </w:p>
        </w:tc>
        <w:tc>
          <w:tcPr>
            <w:tcW w:w="2907" w:type="dxa"/>
            <w:vAlign w:val="center"/>
          </w:tcPr>
          <w:p w14:paraId="5CAB3093">
            <w:pPr>
              <w:jc w:val="right"/>
            </w:pPr>
            <w:r>
              <w:rPr>
                <w:rFonts w:hint="eastAsia"/>
              </w:rPr>
              <w:t>-</w:t>
            </w:r>
          </w:p>
        </w:tc>
      </w:tr>
      <w:tr w14:paraId="046A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460A4F">
            <w:r>
              <w:rPr>
                <w:rFonts w:hint="eastAsia"/>
              </w:rPr>
              <w:t>本期申购</w:t>
            </w:r>
          </w:p>
        </w:tc>
        <w:tc>
          <w:tcPr>
            <w:tcW w:w="2491" w:type="dxa"/>
            <w:vAlign w:val="center"/>
          </w:tcPr>
          <w:p w14:paraId="289694E0">
            <w:pPr>
              <w:jc w:val="right"/>
            </w:pPr>
            <w:r>
              <w:rPr>
                <w:rFonts w:hint="eastAsia"/>
              </w:rPr>
              <w:t>-</w:t>
            </w:r>
          </w:p>
        </w:tc>
        <w:tc>
          <w:tcPr>
            <w:tcW w:w="2907" w:type="dxa"/>
            <w:vAlign w:val="center"/>
          </w:tcPr>
          <w:p w14:paraId="478C0686">
            <w:pPr>
              <w:jc w:val="right"/>
            </w:pPr>
            <w:r>
              <w:rPr>
                <w:rFonts w:hint="eastAsia"/>
              </w:rPr>
              <w:t>-</w:t>
            </w:r>
          </w:p>
        </w:tc>
      </w:tr>
      <w:tr w14:paraId="620C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274AB3">
            <w:r>
              <w:rPr>
                <w:rFonts w:hint="eastAsia"/>
              </w:rPr>
              <w:t>本期赎回（以“-”号填列）</w:t>
            </w:r>
          </w:p>
        </w:tc>
        <w:tc>
          <w:tcPr>
            <w:tcW w:w="2491" w:type="dxa"/>
            <w:vAlign w:val="center"/>
          </w:tcPr>
          <w:p w14:paraId="4AEE2167">
            <w:pPr>
              <w:jc w:val="right"/>
            </w:pPr>
            <w:r>
              <w:rPr>
                <w:rFonts w:hint="eastAsia"/>
              </w:rPr>
              <w:t>-</w:t>
            </w:r>
          </w:p>
        </w:tc>
        <w:tc>
          <w:tcPr>
            <w:tcW w:w="2907" w:type="dxa"/>
            <w:vAlign w:val="center"/>
          </w:tcPr>
          <w:p w14:paraId="54526EC6">
            <w:pPr>
              <w:jc w:val="right"/>
            </w:pPr>
            <w:r>
              <w:rPr>
                <w:rFonts w:hint="eastAsia"/>
              </w:rPr>
              <w:t>-</w:t>
            </w:r>
          </w:p>
        </w:tc>
      </w:tr>
      <w:tr w14:paraId="77B4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2B0917">
            <w:r>
              <w:rPr>
                <w:rFonts w:hint="eastAsia"/>
              </w:rPr>
              <w:t>本期末</w:t>
            </w:r>
          </w:p>
        </w:tc>
        <w:tc>
          <w:tcPr>
            <w:tcW w:w="2491" w:type="dxa"/>
            <w:vAlign w:val="center"/>
          </w:tcPr>
          <w:p w14:paraId="5FCC9112">
            <w:pPr>
              <w:jc w:val="right"/>
            </w:pPr>
            <w:r>
              <w:rPr>
                <w:rFonts w:hint="eastAsia"/>
              </w:rPr>
              <w:t>51,114,300.05</w:t>
            </w:r>
          </w:p>
        </w:tc>
        <w:tc>
          <w:tcPr>
            <w:tcW w:w="2907" w:type="dxa"/>
            <w:vAlign w:val="center"/>
          </w:tcPr>
          <w:p w14:paraId="2C0A724F">
            <w:pPr>
              <w:jc w:val="right"/>
            </w:pPr>
            <w:r>
              <w:rPr>
                <w:rFonts w:hint="eastAsia"/>
              </w:rPr>
              <w:t>51,114,300.05</w:t>
            </w:r>
          </w:p>
        </w:tc>
      </w:tr>
    </w:tbl>
    <w:p w14:paraId="616C338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5FDA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BBD51BF">
            <w:pPr>
              <w:jc w:val="center"/>
            </w:pPr>
            <w:r>
              <w:rPr>
                <w:rFonts w:hint="eastAsia"/>
                <w:b/>
              </w:rPr>
              <w:t>南方富时亚太低碳精选ETF发起联接（QDII）C</w:t>
            </w:r>
          </w:p>
        </w:tc>
      </w:tr>
      <w:tr w14:paraId="5BFE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D4C95C2">
            <w:pPr>
              <w:jc w:val="center"/>
            </w:pPr>
            <w:r>
              <w:rPr>
                <w:rFonts w:hint="eastAsia"/>
                <w:b/>
              </w:rPr>
              <w:t>项目</w:t>
            </w:r>
          </w:p>
        </w:tc>
        <w:tc>
          <w:tcPr>
            <w:tcW w:w="2491" w:type="dxa"/>
            <w:gridSpan w:val="2"/>
            <w:shd w:val="clear" w:color="auto" w:fill="BFBFBF"/>
            <w:vAlign w:val="center"/>
          </w:tcPr>
          <w:p w14:paraId="2E8FE6A9">
            <w:pPr>
              <w:jc w:val="center"/>
            </w:pPr>
            <w:r>
              <w:rPr>
                <w:rFonts w:hint="eastAsia"/>
                <w:b/>
              </w:rPr>
              <w:t>本期2025年1月1日至2025年12月31日</w:t>
            </w:r>
          </w:p>
        </w:tc>
      </w:tr>
      <w:tr w14:paraId="5260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2DE85B7"/>
        </w:tc>
        <w:tc>
          <w:tcPr>
            <w:tcW w:w="2491" w:type="dxa"/>
            <w:shd w:val="clear" w:color="auto" w:fill="BFBFBF"/>
            <w:vAlign w:val="center"/>
          </w:tcPr>
          <w:p w14:paraId="04BF06F1">
            <w:pPr>
              <w:jc w:val="center"/>
            </w:pPr>
            <w:r>
              <w:rPr>
                <w:rFonts w:hint="eastAsia"/>
                <w:b/>
              </w:rPr>
              <w:t>基金份额（份）</w:t>
            </w:r>
          </w:p>
        </w:tc>
        <w:tc>
          <w:tcPr>
            <w:tcW w:w="2907" w:type="dxa"/>
            <w:shd w:val="clear" w:color="auto" w:fill="BFBFBF"/>
            <w:vAlign w:val="center"/>
          </w:tcPr>
          <w:p w14:paraId="70171E5F">
            <w:pPr>
              <w:jc w:val="center"/>
            </w:pPr>
            <w:r>
              <w:rPr>
                <w:rFonts w:hint="eastAsia"/>
                <w:b/>
              </w:rPr>
              <w:t>账面金额</w:t>
            </w:r>
          </w:p>
        </w:tc>
      </w:tr>
      <w:tr w14:paraId="37825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954D62">
            <w:r>
              <w:rPr>
                <w:rFonts w:hint="eastAsia"/>
              </w:rPr>
              <w:t>上年度末</w:t>
            </w:r>
          </w:p>
        </w:tc>
        <w:tc>
          <w:tcPr>
            <w:tcW w:w="2491" w:type="dxa"/>
            <w:vAlign w:val="center"/>
          </w:tcPr>
          <w:p w14:paraId="75FCB68A">
            <w:pPr>
              <w:jc w:val="right"/>
            </w:pPr>
            <w:r>
              <w:rPr>
                <w:rFonts w:hint="eastAsia"/>
              </w:rPr>
              <w:t>17,104,304.88</w:t>
            </w:r>
          </w:p>
        </w:tc>
        <w:tc>
          <w:tcPr>
            <w:tcW w:w="2907" w:type="dxa"/>
            <w:vAlign w:val="center"/>
          </w:tcPr>
          <w:p w14:paraId="41AEA4BB">
            <w:pPr>
              <w:jc w:val="right"/>
            </w:pPr>
            <w:r>
              <w:rPr>
                <w:rFonts w:hint="eastAsia"/>
              </w:rPr>
              <w:t>17,104,304.88</w:t>
            </w:r>
          </w:p>
        </w:tc>
      </w:tr>
      <w:tr w14:paraId="0243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D189B4">
            <w:r>
              <w:rPr>
                <w:rFonts w:hint="eastAsia"/>
              </w:rPr>
              <w:t>本期申购</w:t>
            </w:r>
          </w:p>
        </w:tc>
        <w:tc>
          <w:tcPr>
            <w:tcW w:w="2491" w:type="dxa"/>
            <w:vAlign w:val="center"/>
          </w:tcPr>
          <w:p w14:paraId="4882EE84">
            <w:pPr>
              <w:jc w:val="right"/>
            </w:pPr>
            <w:r>
              <w:rPr>
                <w:rFonts w:hint="eastAsia"/>
              </w:rPr>
              <w:t>329,188,869.58</w:t>
            </w:r>
          </w:p>
        </w:tc>
        <w:tc>
          <w:tcPr>
            <w:tcW w:w="2907" w:type="dxa"/>
            <w:vAlign w:val="center"/>
          </w:tcPr>
          <w:p w14:paraId="1DD8BE51">
            <w:pPr>
              <w:jc w:val="right"/>
            </w:pPr>
            <w:r>
              <w:rPr>
                <w:rFonts w:hint="eastAsia"/>
              </w:rPr>
              <w:t>329,188,869.58</w:t>
            </w:r>
          </w:p>
        </w:tc>
      </w:tr>
      <w:tr w14:paraId="23DB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5D9BD0">
            <w:r>
              <w:rPr>
                <w:rFonts w:hint="eastAsia"/>
              </w:rPr>
              <w:t>本期赎回（以“-”号填列）</w:t>
            </w:r>
          </w:p>
        </w:tc>
        <w:tc>
          <w:tcPr>
            <w:tcW w:w="2491" w:type="dxa"/>
            <w:vAlign w:val="center"/>
          </w:tcPr>
          <w:p w14:paraId="43B5A95D">
            <w:pPr>
              <w:jc w:val="right"/>
            </w:pPr>
            <w:r>
              <w:rPr>
                <w:rFonts w:hint="eastAsia"/>
              </w:rPr>
              <w:t>-178,893,075.83</w:t>
            </w:r>
          </w:p>
        </w:tc>
        <w:tc>
          <w:tcPr>
            <w:tcW w:w="2907" w:type="dxa"/>
            <w:vAlign w:val="center"/>
          </w:tcPr>
          <w:p w14:paraId="177335EE">
            <w:pPr>
              <w:jc w:val="right"/>
            </w:pPr>
            <w:r>
              <w:rPr>
                <w:rFonts w:hint="eastAsia"/>
              </w:rPr>
              <w:t>-178,893,075.83</w:t>
            </w:r>
          </w:p>
        </w:tc>
      </w:tr>
      <w:tr w14:paraId="1E0D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67A810">
            <w:r>
              <w:rPr>
                <w:rFonts w:hint="eastAsia"/>
              </w:rPr>
              <w:t>基金拆分/份额折算前</w:t>
            </w:r>
          </w:p>
        </w:tc>
        <w:tc>
          <w:tcPr>
            <w:tcW w:w="2491" w:type="dxa"/>
            <w:vAlign w:val="center"/>
          </w:tcPr>
          <w:p w14:paraId="2FD91EA6">
            <w:pPr>
              <w:jc w:val="right"/>
            </w:pPr>
            <w:r>
              <w:rPr>
                <w:rFonts w:hint="eastAsia"/>
              </w:rPr>
              <w:t>-</w:t>
            </w:r>
          </w:p>
        </w:tc>
        <w:tc>
          <w:tcPr>
            <w:tcW w:w="2907" w:type="dxa"/>
            <w:vAlign w:val="center"/>
          </w:tcPr>
          <w:p w14:paraId="7FFF4C47">
            <w:pPr>
              <w:jc w:val="right"/>
            </w:pPr>
            <w:r>
              <w:rPr>
                <w:rFonts w:hint="eastAsia"/>
              </w:rPr>
              <w:t>-</w:t>
            </w:r>
          </w:p>
        </w:tc>
      </w:tr>
      <w:tr w14:paraId="65B1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F27CB6">
            <w:r>
              <w:rPr>
                <w:rFonts w:hint="eastAsia"/>
              </w:rPr>
              <w:t>基金拆分/份额折算调整</w:t>
            </w:r>
          </w:p>
        </w:tc>
        <w:tc>
          <w:tcPr>
            <w:tcW w:w="2491" w:type="dxa"/>
            <w:vAlign w:val="center"/>
          </w:tcPr>
          <w:p w14:paraId="250EAAB4">
            <w:pPr>
              <w:jc w:val="right"/>
            </w:pPr>
            <w:r>
              <w:rPr>
                <w:rFonts w:hint="eastAsia"/>
              </w:rPr>
              <w:t>-</w:t>
            </w:r>
          </w:p>
        </w:tc>
        <w:tc>
          <w:tcPr>
            <w:tcW w:w="2907" w:type="dxa"/>
            <w:vAlign w:val="center"/>
          </w:tcPr>
          <w:p w14:paraId="1154A042">
            <w:pPr>
              <w:jc w:val="right"/>
            </w:pPr>
            <w:r>
              <w:rPr>
                <w:rFonts w:hint="eastAsia"/>
              </w:rPr>
              <w:t>-</w:t>
            </w:r>
          </w:p>
        </w:tc>
      </w:tr>
      <w:tr w14:paraId="5972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53F46F">
            <w:r>
              <w:rPr>
                <w:rFonts w:hint="eastAsia"/>
              </w:rPr>
              <w:t>本期申购</w:t>
            </w:r>
          </w:p>
        </w:tc>
        <w:tc>
          <w:tcPr>
            <w:tcW w:w="2491" w:type="dxa"/>
            <w:vAlign w:val="center"/>
          </w:tcPr>
          <w:p w14:paraId="5D5BFEE2">
            <w:pPr>
              <w:jc w:val="right"/>
            </w:pPr>
            <w:r>
              <w:rPr>
                <w:rFonts w:hint="eastAsia"/>
              </w:rPr>
              <w:t>-</w:t>
            </w:r>
          </w:p>
        </w:tc>
        <w:tc>
          <w:tcPr>
            <w:tcW w:w="2907" w:type="dxa"/>
            <w:vAlign w:val="center"/>
          </w:tcPr>
          <w:p w14:paraId="0CCBD820">
            <w:pPr>
              <w:jc w:val="right"/>
            </w:pPr>
            <w:r>
              <w:rPr>
                <w:rFonts w:hint="eastAsia"/>
              </w:rPr>
              <w:t>-</w:t>
            </w:r>
          </w:p>
        </w:tc>
      </w:tr>
      <w:tr w14:paraId="3E14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4F3772">
            <w:r>
              <w:rPr>
                <w:rFonts w:hint="eastAsia"/>
              </w:rPr>
              <w:t>本期赎回（以“-”号填列）</w:t>
            </w:r>
          </w:p>
        </w:tc>
        <w:tc>
          <w:tcPr>
            <w:tcW w:w="2491" w:type="dxa"/>
            <w:vAlign w:val="center"/>
          </w:tcPr>
          <w:p w14:paraId="489C4D2F">
            <w:pPr>
              <w:jc w:val="right"/>
            </w:pPr>
            <w:r>
              <w:rPr>
                <w:rFonts w:hint="eastAsia"/>
              </w:rPr>
              <w:t>-</w:t>
            </w:r>
          </w:p>
        </w:tc>
        <w:tc>
          <w:tcPr>
            <w:tcW w:w="2907" w:type="dxa"/>
            <w:vAlign w:val="center"/>
          </w:tcPr>
          <w:p w14:paraId="13C5F115">
            <w:pPr>
              <w:jc w:val="right"/>
            </w:pPr>
            <w:r>
              <w:rPr>
                <w:rFonts w:hint="eastAsia"/>
              </w:rPr>
              <w:t>-</w:t>
            </w:r>
          </w:p>
        </w:tc>
      </w:tr>
      <w:tr w14:paraId="217E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780592">
            <w:r>
              <w:rPr>
                <w:rFonts w:hint="eastAsia"/>
              </w:rPr>
              <w:t>本期末</w:t>
            </w:r>
          </w:p>
        </w:tc>
        <w:tc>
          <w:tcPr>
            <w:tcW w:w="2491" w:type="dxa"/>
            <w:vAlign w:val="center"/>
          </w:tcPr>
          <w:p w14:paraId="03B52F0B">
            <w:pPr>
              <w:jc w:val="right"/>
            </w:pPr>
            <w:r>
              <w:rPr>
                <w:rFonts w:hint="eastAsia"/>
              </w:rPr>
              <w:t>167,400,098.63</w:t>
            </w:r>
          </w:p>
        </w:tc>
        <w:tc>
          <w:tcPr>
            <w:tcW w:w="2907" w:type="dxa"/>
            <w:vAlign w:val="center"/>
          </w:tcPr>
          <w:p w14:paraId="5DDC6FAD">
            <w:pPr>
              <w:jc w:val="right"/>
            </w:pPr>
            <w:r>
              <w:rPr>
                <w:rFonts w:hint="eastAsia"/>
              </w:rPr>
              <w:t>167,400,098.63</w:t>
            </w:r>
          </w:p>
        </w:tc>
      </w:tr>
    </w:tbl>
    <w:p w14:paraId="580787C7">
      <w:pPr>
        <w:pStyle w:val="47"/>
        <w:rPr>
          <w:rFonts w:hint="eastAsia"/>
        </w:rPr>
      </w:pPr>
      <w:r>
        <w:rPr>
          <w:rFonts w:hint="eastAsia"/>
        </w:rPr>
        <w:t>注：本基金申购含红利再投份额（如有）、转换入份额（如有）；赎回含转出份额（如有）。</w:t>
      </w:r>
    </w:p>
    <w:p w14:paraId="377D224A">
      <w:pPr>
        <w:pStyle w:val="35"/>
      </w:pPr>
      <w:bookmarkStart w:id="87" w:name="_Toc87"/>
      <w:r>
        <w:t>未分配利润</w:t>
      </w:r>
      <w:bookmarkEnd w:id="87"/>
    </w:p>
    <w:p w14:paraId="2F09AE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3315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155DF6E">
            <w:pPr>
              <w:jc w:val="center"/>
            </w:pPr>
            <w:r>
              <w:rPr>
                <w:rFonts w:hint="eastAsia"/>
                <w:b/>
              </w:rPr>
              <w:t>南方富时亚太低碳精选ETF发起联接（QDII）A</w:t>
            </w:r>
          </w:p>
        </w:tc>
      </w:tr>
      <w:tr w14:paraId="6BF8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CA45747">
            <w:pPr>
              <w:jc w:val="center"/>
            </w:pPr>
            <w:r>
              <w:rPr>
                <w:rFonts w:hint="eastAsia"/>
                <w:b/>
              </w:rPr>
              <w:t>项目</w:t>
            </w:r>
          </w:p>
        </w:tc>
        <w:tc>
          <w:tcPr>
            <w:tcW w:w="2076" w:type="dxa"/>
            <w:shd w:val="clear" w:color="auto" w:fill="BFBFBF"/>
            <w:vAlign w:val="center"/>
          </w:tcPr>
          <w:p w14:paraId="55FC128C">
            <w:pPr>
              <w:jc w:val="center"/>
            </w:pPr>
            <w:r>
              <w:rPr>
                <w:rFonts w:hint="eastAsia"/>
                <w:b/>
              </w:rPr>
              <w:t>已实现部分</w:t>
            </w:r>
          </w:p>
        </w:tc>
        <w:tc>
          <w:tcPr>
            <w:tcW w:w="2076" w:type="dxa"/>
            <w:shd w:val="clear" w:color="auto" w:fill="BFBFBF"/>
            <w:vAlign w:val="center"/>
          </w:tcPr>
          <w:p w14:paraId="0633B8F9">
            <w:pPr>
              <w:jc w:val="center"/>
            </w:pPr>
            <w:r>
              <w:rPr>
                <w:rFonts w:hint="eastAsia"/>
                <w:b/>
              </w:rPr>
              <w:t>未实现部分</w:t>
            </w:r>
          </w:p>
        </w:tc>
        <w:tc>
          <w:tcPr>
            <w:tcW w:w="2076" w:type="dxa"/>
            <w:shd w:val="clear" w:color="auto" w:fill="BFBFBF"/>
            <w:vAlign w:val="center"/>
          </w:tcPr>
          <w:p w14:paraId="60FBB3D7">
            <w:pPr>
              <w:jc w:val="center"/>
            </w:pPr>
            <w:r>
              <w:rPr>
                <w:rFonts w:hint="eastAsia"/>
                <w:b/>
              </w:rPr>
              <w:t>未分配利润合计</w:t>
            </w:r>
          </w:p>
        </w:tc>
      </w:tr>
      <w:tr w14:paraId="5A882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DD8F37">
            <w:r>
              <w:rPr>
                <w:rFonts w:hint="eastAsia"/>
              </w:rPr>
              <w:t>上年度末</w:t>
            </w:r>
          </w:p>
        </w:tc>
        <w:tc>
          <w:tcPr>
            <w:tcW w:w="2076" w:type="dxa"/>
            <w:vAlign w:val="center"/>
          </w:tcPr>
          <w:p w14:paraId="550AC1D0">
            <w:pPr>
              <w:jc w:val="right"/>
            </w:pPr>
            <w:r>
              <w:rPr>
                <w:rFonts w:hint="eastAsia"/>
              </w:rPr>
              <w:t>144,852.75</w:t>
            </w:r>
          </w:p>
        </w:tc>
        <w:tc>
          <w:tcPr>
            <w:tcW w:w="2076" w:type="dxa"/>
            <w:vAlign w:val="center"/>
          </w:tcPr>
          <w:p w14:paraId="03A05AC9">
            <w:pPr>
              <w:jc w:val="right"/>
            </w:pPr>
            <w:r>
              <w:rPr>
                <w:rFonts w:hint="eastAsia"/>
              </w:rPr>
              <w:t>108,705.84</w:t>
            </w:r>
          </w:p>
        </w:tc>
        <w:tc>
          <w:tcPr>
            <w:tcW w:w="2076" w:type="dxa"/>
            <w:vAlign w:val="center"/>
          </w:tcPr>
          <w:p w14:paraId="4B9981FC">
            <w:pPr>
              <w:jc w:val="right"/>
            </w:pPr>
            <w:r>
              <w:rPr>
                <w:rFonts w:hint="eastAsia"/>
              </w:rPr>
              <w:t>253,558.59</w:t>
            </w:r>
          </w:p>
        </w:tc>
      </w:tr>
      <w:tr w14:paraId="78A5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D512BF">
            <w:r>
              <w:rPr>
                <w:rFonts w:hint="eastAsia"/>
              </w:rPr>
              <w:t>加：会计政策变更</w:t>
            </w:r>
          </w:p>
        </w:tc>
        <w:tc>
          <w:tcPr>
            <w:tcW w:w="2076" w:type="dxa"/>
            <w:vAlign w:val="center"/>
          </w:tcPr>
          <w:p w14:paraId="3F2C5A0B">
            <w:pPr>
              <w:jc w:val="right"/>
            </w:pPr>
            <w:r>
              <w:rPr>
                <w:rFonts w:hint="eastAsia"/>
              </w:rPr>
              <w:t>-</w:t>
            </w:r>
          </w:p>
        </w:tc>
        <w:tc>
          <w:tcPr>
            <w:tcW w:w="2076" w:type="dxa"/>
            <w:vAlign w:val="center"/>
          </w:tcPr>
          <w:p w14:paraId="6E201FED">
            <w:pPr>
              <w:jc w:val="right"/>
            </w:pPr>
            <w:r>
              <w:rPr>
                <w:rFonts w:hint="eastAsia"/>
              </w:rPr>
              <w:t>-</w:t>
            </w:r>
          </w:p>
        </w:tc>
        <w:tc>
          <w:tcPr>
            <w:tcW w:w="2076" w:type="dxa"/>
            <w:vAlign w:val="center"/>
          </w:tcPr>
          <w:p w14:paraId="09A92AAC">
            <w:pPr>
              <w:jc w:val="right"/>
            </w:pPr>
            <w:r>
              <w:rPr>
                <w:rFonts w:hint="eastAsia"/>
              </w:rPr>
              <w:t>-</w:t>
            </w:r>
          </w:p>
        </w:tc>
      </w:tr>
      <w:tr w14:paraId="3FD6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8F23A3">
            <w:r>
              <w:rPr>
                <w:rFonts w:hint="eastAsia"/>
              </w:rPr>
              <w:t xml:space="preserve">      前期差错更正</w:t>
            </w:r>
          </w:p>
        </w:tc>
        <w:tc>
          <w:tcPr>
            <w:tcW w:w="2076" w:type="dxa"/>
            <w:vAlign w:val="center"/>
          </w:tcPr>
          <w:p w14:paraId="0317704C">
            <w:pPr>
              <w:jc w:val="right"/>
            </w:pPr>
            <w:r>
              <w:rPr>
                <w:rFonts w:hint="eastAsia"/>
              </w:rPr>
              <w:t>-</w:t>
            </w:r>
          </w:p>
        </w:tc>
        <w:tc>
          <w:tcPr>
            <w:tcW w:w="2076" w:type="dxa"/>
            <w:vAlign w:val="center"/>
          </w:tcPr>
          <w:p w14:paraId="404A1584">
            <w:pPr>
              <w:jc w:val="right"/>
            </w:pPr>
            <w:r>
              <w:rPr>
                <w:rFonts w:hint="eastAsia"/>
              </w:rPr>
              <w:t>-</w:t>
            </w:r>
          </w:p>
        </w:tc>
        <w:tc>
          <w:tcPr>
            <w:tcW w:w="2076" w:type="dxa"/>
            <w:vAlign w:val="center"/>
          </w:tcPr>
          <w:p w14:paraId="7A0BDE1A">
            <w:pPr>
              <w:jc w:val="right"/>
            </w:pPr>
            <w:r>
              <w:rPr>
                <w:rFonts w:hint="eastAsia"/>
              </w:rPr>
              <w:t>-</w:t>
            </w:r>
          </w:p>
        </w:tc>
      </w:tr>
      <w:tr w14:paraId="493A7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8711FA">
            <w:r>
              <w:rPr>
                <w:rFonts w:hint="eastAsia"/>
              </w:rPr>
              <w:t xml:space="preserve">      其他</w:t>
            </w:r>
          </w:p>
        </w:tc>
        <w:tc>
          <w:tcPr>
            <w:tcW w:w="2076" w:type="dxa"/>
            <w:vAlign w:val="center"/>
          </w:tcPr>
          <w:p w14:paraId="37DC79FF">
            <w:pPr>
              <w:jc w:val="right"/>
            </w:pPr>
            <w:r>
              <w:rPr>
                <w:rFonts w:hint="eastAsia"/>
              </w:rPr>
              <w:t>-</w:t>
            </w:r>
          </w:p>
        </w:tc>
        <w:tc>
          <w:tcPr>
            <w:tcW w:w="2076" w:type="dxa"/>
            <w:vAlign w:val="center"/>
          </w:tcPr>
          <w:p w14:paraId="0D052270">
            <w:pPr>
              <w:jc w:val="right"/>
            </w:pPr>
            <w:r>
              <w:rPr>
                <w:rFonts w:hint="eastAsia"/>
              </w:rPr>
              <w:t>-</w:t>
            </w:r>
          </w:p>
        </w:tc>
        <w:tc>
          <w:tcPr>
            <w:tcW w:w="2076" w:type="dxa"/>
            <w:vAlign w:val="center"/>
          </w:tcPr>
          <w:p w14:paraId="48CF06F3">
            <w:pPr>
              <w:jc w:val="right"/>
            </w:pPr>
            <w:r>
              <w:rPr>
                <w:rFonts w:hint="eastAsia"/>
              </w:rPr>
              <w:t>-</w:t>
            </w:r>
          </w:p>
        </w:tc>
      </w:tr>
      <w:tr w14:paraId="0A4B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8F9541">
            <w:r>
              <w:rPr>
                <w:rFonts w:hint="eastAsia"/>
              </w:rPr>
              <w:t>本期期初</w:t>
            </w:r>
          </w:p>
        </w:tc>
        <w:tc>
          <w:tcPr>
            <w:tcW w:w="2076" w:type="dxa"/>
            <w:vAlign w:val="center"/>
          </w:tcPr>
          <w:p w14:paraId="1E60A175">
            <w:pPr>
              <w:jc w:val="right"/>
            </w:pPr>
            <w:r>
              <w:rPr>
                <w:rFonts w:hint="eastAsia"/>
              </w:rPr>
              <w:t>144,852.75</w:t>
            </w:r>
          </w:p>
        </w:tc>
        <w:tc>
          <w:tcPr>
            <w:tcW w:w="2076" w:type="dxa"/>
            <w:vAlign w:val="center"/>
          </w:tcPr>
          <w:p w14:paraId="21F6581F">
            <w:pPr>
              <w:jc w:val="right"/>
            </w:pPr>
            <w:r>
              <w:rPr>
                <w:rFonts w:hint="eastAsia"/>
              </w:rPr>
              <w:t>108,705.84</w:t>
            </w:r>
          </w:p>
        </w:tc>
        <w:tc>
          <w:tcPr>
            <w:tcW w:w="2076" w:type="dxa"/>
            <w:vAlign w:val="center"/>
          </w:tcPr>
          <w:p w14:paraId="77CBC857">
            <w:pPr>
              <w:jc w:val="right"/>
            </w:pPr>
            <w:r>
              <w:rPr>
                <w:rFonts w:hint="eastAsia"/>
              </w:rPr>
              <w:t>253,558.59</w:t>
            </w:r>
          </w:p>
        </w:tc>
      </w:tr>
      <w:tr w14:paraId="02AE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996A47">
            <w:r>
              <w:rPr>
                <w:rFonts w:hint="eastAsia"/>
              </w:rPr>
              <w:t>本期利润</w:t>
            </w:r>
          </w:p>
        </w:tc>
        <w:tc>
          <w:tcPr>
            <w:tcW w:w="2076" w:type="dxa"/>
            <w:vAlign w:val="center"/>
          </w:tcPr>
          <w:p w14:paraId="11E4EA05">
            <w:pPr>
              <w:jc w:val="right"/>
            </w:pPr>
            <w:r>
              <w:rPr>
                <w:rFonts w:hint="eastAsia"/>
              </w:rPr>
              <w:t>539,173.30</w:t>
            </w:r>
          </w:p>
        </w:tc>
        <w:tc>
          <w:tcPr>
            <w:tcW w:w="2076" w:type="dxa"/>
            <w:vAlign w:val="center"/>
          </w:tcPr>
          <w:p w14:paraId="5680755E">
            <w:pPr>
              <w:jc w:val="right"/>
            </w:pPr>
            <w:r>
              <w:rPr>
                <w:rFonts w:hint="eastAsia"/>
              </w:rPr>
              <w:t>5,212,113.89</w:t>
            </w:r>
          </w:p>
        </w:tc>
        <w:tc>
          <w:tcPr>
            <w:tcW w:w="2076" w:type="dxa"/>
            <w:vAlign w:val="center"/>
          </w:tcPr>
          <w:p w14:paraId="64ACB41F">
            <w:pPr>
              <w:jc w:val="right"/>
            </w:pPr>
            <w:r>
              <w:rPr>
                <w:rFonts w:hint="eastAsia"/>
              </w:rPr>
              <w:t>5,751,287.19</w:t>
            </w:r>
          </w:p>
        </w:tc>
      </w:tr>
      <w:tr w14:paraId="3AE4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48056A">
            <w:r>
              <w:rPr>
                <w:rFonts w:hint="eastAsia"/>
              </w:rPr>
              <w:t>本期基金份额交易产生的变动数</w:t>
            </w:r>
          </w:p>
        </w:tc>
        <w:tc>
          <w:tcPr>
            <w:tcW w:w="2076" w:type="dxa"/>
            <w:vAlign w:val="center"/>
          </w:tcPr>
          <w:p w14:paraId="6ADD45FD">
            <w:pPr>
              <w:jc w:val="right"/>
            </w:pPr>
            <w:r>
              <w:rPr>
                <w:rFonts w:hint="eastAsia"/>
              </w:rPr>
              <w:t>583,999.62</w:t>
            </w:r>
          </w:p>
        </w:tc>
        <w:tc>
          <w:tcPr>
            <w:tcW w:w="2076" w:type="dxa"/>
            <w:vAlign w:val="center"/>
          </w:tcPr>
          <w:p w14:paraId="2131EF81">
            <w:pPr>
              <w:jc w:val="right"/>
            </w:pPr>
            <w:r>
              <w:rPr>
                <w:rFonts w:hint="eastAsia"/>
              </w:rPr>
              <w:t>5,579,979.67</w:t>
            </w:r>
          </w:p>
        </w:tc>
        <w:tc>
          <w:tcPr>
            <w:tcW w:w="2076" w:type="dxa"/>
            <w:vAlign w:val="center"/>
          </w:tcPr>
          <w:p w14:paraId="4FC24C6D">
            <w:pPr>
              <w:jc w:val="right"/>
            </w:pPr>
            <w:r>
              <w:rPr>
                <w:rFonts w:hint="eastAsia"/>
              </w:rPr>
              <w:t>6,163,979.29</w:t>
            </w:r>
          </w:p>
        </w:tc>
      </w:tr>
      <w:tr w14:paraId="2D71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4BA1E0">
            <w:r>
              <w:rPr>
                <w:rFonts w:hint="eastAsia"/>
              </w:rPr>
              <w:t>其中：基金申购款</w:t>
            </w:r>
          </w:p>
        </w:tc>
        <w:tc>
          <w:tcPr>
            <w:tcW w:w="2076" w:type="dxa"/>
            <w:vAlign w:val="center"/>
          </w:tcPr>
          <w:p w14:paraId="72B3ABBC">
            <w:pPr>
              <w:jc w:val="right"/>
            </w:pPr>
            <w:r>
              <w:rPr>
                <w:rFonts w:hint="eastAsia"/>
              </w:rPr>
              <w:t>1,079,366.58</w:t>
            </w:r>
          </w:p>
        </w:tc>
        <w:tc>
          <w:tcPr>
            <w:tcW w:w="2076" w:type="dxa"/>
            <w:vAlign w:val="center"/>
          </w:tcPr>
          <w:p w14:paraId="17BA9FB1">
            <w:pPr>
              <w:jc w:val="right"/>
            </w:pPr>
            <w:r>
              <w:rPr>
                <w:rFonts w:hint="eastAsia"/>
              </w:rPr>
              <w:t>9,627,716.41</w:t>
            </w:r>
          </w:p>
        </w:tc>
        <w:tc>
          <w:tcPr>
            <w:tcW w:w="2076" w:type="dxa"/>
            <w:vAlign w:val="center"/>
          </w:tcPr>
          <w:p w14:paraId="60CACC2C">
            <w:pPr>
              <w:jc w:val="right"/>
            </w:pPr>
            <w:r>
              <w:rPr>
                <w:rFonts w:hint="eastAsia"/>
              </w:rPr>
              <w:t>10,707,082.99</w:t>
            </w:r>
          </w:p>
        </w:tc>
      </w:tr>
      <w:tr w14:paraId="62B3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259406">
            <w:r>
              <w:rPr>
                <w:rFonts w:hint="eastAsia"/>
              </w:rPr>
              <w:t xml:space="preserve">      基金赎回款</w:t>
            </w:r>
          </w:p>
        </w:tc>
        <w:tc>
          <w:tcPr>
            <w:tcW w:w="2076" w:type="dxa"/>
            <w:vAlign w:val="center"/>
          </w:tcPr>
          <w:p w14:paraId="04741970">
            <w:pPr>
              <w:jc w:val="right"/>
            </w:pPr>
            <w:r>
              <w:rPr>
                <w:rFonts w:hint="eastAsia"/>
              </w:rPr>
              <w:t>-495,366.96</w:t>
            </w:r>
          </w:p>
        </w:tc>
        <w:tc>
          <w:tcPr>
            <w:tcW w:w="2076" w:type="dxa"/>
            <w:vAlign w:val="center"/>
          </w:tcPr>
          <w:p w14:paraId="59AD6D10">
            <w:pPr>
              <w:jc w:val="right"/>
            </w:pPr>
            <w:r>
              <w:rPr>
                <w:rFonts w:hint="eastAsia"/>
              </w:rPr>
              <w:t>-4,047,736.74</w:t>
            </w:r>
          </w:p>
        </w:tc>
        <w:tc>
          <w:tcPr>
            <w:tcW w:w="2076" w:type="dxa"/>
            <w:vAlign w:val="center"/>
          </w:tcPr>
          <w:p w14:paraId="063DE295">
            <w:pPr>
              <w:jc w:val="right"/>
            </w:pPr>
            <w:r>
              <w:rPr>
                <w:rFonts w:hint="eastAsia"/>
              </w:rPr>
              <w:t>-4,543,103.70</w:t>
            </w:r>
          </w:p>
        </w:tc>
      </w:tr>
      <w:tr w14:paraId="0F9F2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29D453">
            <w:r>
              <w:rPr>
                <w:rFonts w:hint="eastAsia"/>
              </w:rPr>
              <w:t>本期已分配利润</w:t>
            </w:r>
          </w:p>
        </w:tc>
        <w:tc>
          <w:tcPr>
            <w:tcW w:w="2076" w:type="dxa"/>
            <w:vAlign w:val="center"/>
          </w:tcPr>
          <w:p w14:paraId="28D53D4A">
            <w:pPr>
              <w:jc w:val="right"/>
            </w:pPr>
            <w:r>
              <w:rPr>
                <w:rFonts w:hint="eastAsia"/>
              </w:rPr>
              <w:t>-</w:t>
            </w:r>
          </w:p>
        </w:tc>
        <w:tc>
          <w:tcPr>
            <w:tcW w:w="2076" w:type="dxa"/>
            <w:vAlign w:val="center"/>
          </w:tcPr>
          <w:p w14:paraId="1F90387B">
            <w:pPr>
              <w:jc w:val="right"/>
            </w:pPr>
            <w:r>
              <w:rPr>
                <w:rFonts w:hint="eastAsia"/>
              </w:rPr>
              <w:t>-</w:t>
            </w:r>
          </w:p>
        </w:tc>
        <w:tc>
          <w:tcPr>
            <w:tcW w:w="2076" w:type="dxa"/>
            <w:vAlign w:val="center"/>
          </w:tcPr>
          <w:p w14:paraId="2B109F7A">
            <w:pPr>
              <w:jc w:val="right"/>
            </w:pPr>
            <w:r>
              <w:rPr>
                <w:rFonts w:hint="eastAsia"/>
              </w:rPr>
              <w:t>-</w:t>
            </w:r>
          </w:p>
        </w:tc>
      </w:tr>
      <w:tr w14:paraId="53EAE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CA1236">
            <w:r>
              <w:rPr>
                <w:rFonts w:hint="eastAsia"/>
              </w:rPr>
              <w:t>本期末</w:t>
            </w:r>
          </w:p>
        </w:tc>
        <w:tc>
          <w:tcPr>
            <w:tcW w:w="2076" w:type="dxa"/>
            <w:vAlign w:val="center"/>
          </w:tcPr>
          <w:p w14:paraId="6A1D2ED9">
            <w:pPr>
              <w:jc w:val="right"/>
            </w:pPr>
            <w:r>
              <w:rPr>
                <w:rFonts w:hint="eastAsia"/>
              </w:rPr>
              <w:t>1,268,025.67</w:t>
            </w:r>
          </w:p>
        </w:tc>
        <w:tc>
          <w:tcPr>
            <w:tcW w:w="2076" w:type="dxa"/>
            <w:vAlign w:val="center"/>
          </w:tcPr>
          <w:p w14:paraId="22665F6F">
            <w:pPr>
              <w:jc w:val="right"/>
            </w:pPr>
            <w:r>
              <w:rPr>
                <w:rFonts w:hint="eastAsia"/>
              </w:rPr>
              <w:t>10,900,799.40</w:t>
            </w:r>
          </w:p>
        </w:tc>
        <w:tc>
          <w:tcPr>
            <w:tcW w:w="2076" w:type="dxa"/>
            <w:vAlign w:val="center"/>
          </w:tcPr>
          <w:p w14:paraId="423F4036">
            <w:pPr>
              <w:jc w:val="right"/>
            </w:pPr>
            <w:r>
              <w:rPr>
                <w:rFonts w:hint="eastAsia"/>
              </w:rPr>
              <w:t>12,168,825.07</w:t>
            </w:r>
          </w:p>
        </w:tc>
      </w:tr>
    </w:tbl>
    <w:p w14:paraId="1E1D2AE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F8A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E6388C2">
            <w:pPr>
              <w:jc w:val="center"/>
            </w:pPr>
            <w:r>
              <w:rPr>
                <w:rFonts w:hint="eastAsia"/>
                <w:b/>
              </w:rPr>
              <w:t>南方富时亚太低碳精选ETF发起联接（QDII）C</w:t>
            </w:r>
          </w:p>
        </w:tc>
      </w:tr>
      <w:tr w14:paraId="7C9FE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C0E5D3B">
            <w:pPr>
              <w:jc w:val="center"/>
            </w:pPr>
            <w:r>
              <w:rPr>
                <w:rFonts w:hint="eastAsia"/>
                <w:b/>
              </w:rPr>
              <w:t>项目</w:t>
            </w:r>
          </w:p>
        </w:tc>
        <w:tc>
          <w:tcPr>
            <w:tcW w:w="2076" w:type="dxa"/>
            <w:shd w:val="clear" w:color="auto" w:fill="BFBFBF"/>
            <w:vAlign w:val="center"/>
          </w:tcPr>
          <w:p w14:paraId="6434FFC5">
            <w:pPr>
              <w:jc w:val="center"/>
            </w:pPr>
            <w:r>
              <w:rPr>
                <w:rFonts w:hint="eastAsia"/>
                <w:b/>
              </w:rPr>
              <w:t>已实现部分</w:t>
            </w:r>
          </w:p>
        </w:tc>
        <w:tc>
          <w:tcPr>
            <w:tcW w:w="2076" w:type="dxa"/>
            <w:shd w:val="clear" w:color="auto" w:fill="BFBFBF"/>
            <w:vAlign w:val="center"/>
          </w:tcPr>
          <w:p w14:paraId="5666A47E">
            <w:pPr>
              <w:jc w:val="center"/>
            </w:pPr>
            <w:r>
              <w:rPr>
                <w:rFonts w:hint="eastAsia"/>
                <w:b/>
              </w:rPr>
              <w:t>未实现部分</w:t>
            </w:r>
          </w:p>
        </w:tc>
        <w:tc>
          <w:tcPr>
            <w:tcW w:w="2076" w:type="dxa"/>
            <w:shd w:val="clear" w:color="auto" w:fill="BFBFBF"/>
            <w:vAlign w:val="center"/>
          </w:tcPr>
          <w:p w14:paraId="62219C59">
            <w:pPr>
              <w:jc w:val="center"/>
            </w:pPr>
            <w:r>
              <w:rPr>
                <w:rFonts w:hint="eastAsia"/>
                <w:b/>
              </w:rPr>
              <w:t>未分配利润合计</w:t>
            </w:r>
          </w:p>
        </w:tc>
      </w:tr>
      <w:tr w14:paraId="3AE19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4F7979">
            <w:r>
              <w:rPr>
                <w:rFonts w:hint="eastAsia"/>
              </w:rPr>
              <w:t>上年度末</w:t>
            </w:r>
          </w:p>
        </w:tc>
        <w:tc>
          <w:tcPr>
            <w:tcW w:w="2076" w:type="dxa"/>
            <w:vAlign w:val="center"/>
          </w:tcPr>
          <w:p w14:paraId="0893CE4F">
            <w:pPr>
              <w:jc w:val="right"/>
            </w:pPr>
            <w:r>
              <w:rPr>
                <w:rFonts w:hint="eastAsia"/>
              </w:rPr>
              <w:t>90,744.36</w:t>
            </w:r>
          </w:p>
        </w:tc>
        <w:tc>
          <w:tcPr>
            <w:tcW w:w="2076" w:type="dxa"/>
            <w:vAlign w:val="center"/>
          </w:tcPr>
          <w:p w14:paraId="1F7198F6">
            <w:pPr>
              <w:jc w:val="right"/>
            </w:pPr>
            <w:r>
              <w:rPr>
                <w:rFonts w:hint="eastAsia"/>
              </w:rPr>
              <w:t>83,632.60</w:t>
            </w:r>
          </w:p>
        </w:tc>
        <w:tc>
          <w:tcPr>
            <w:tcW w:w="2076" w:type="dxa"/>
            <w:vAlign w:val="center"/>
          </w:tcPr>
          <w:p w14:paraId="42486D50">
            <w:pPr>
              <w:jc w:val="right"/>
            </w:pPr>
            <w:r>
              <w:rPr>
                <w:rFonts w:hint="eastAsia"/>
              </w:rPr>
              <w:t>174,376.96</w:t>
            </w:r>
          </w:p>
        </w:tc>
      </w:tr>
      <w:tr w14:paraId="74C5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3D49C1">
            <w:r>
              <w:rPr>
                <w:rFonts w:hint="eastAsia"/>
              </w:rPr>
              <w:t>加：会计政策变更</w:t>
            </w:r>
          </w:p>
        </w:tc>
        <w:tc>
          <w:tcPr>
            <w:tcW w:w="2076" w:type="dxa"/>
            <w:vAlign w:val="center"/>
          </w:tcPr>
          <w:p w14:paraId="3772CAA1">
            <w:pPr>
              <w:jc w:val="right"/>
            </w:pPr>
            <w:r>
              <w:rPr>
                <w:rFonts w:hint="eastAsia"/>
              </w:rPr>
              <w:t>-</w:t>
            </w:r>
          </w:p>
        </w:tc>
        <w:tc>
          <w:tcPr>
            <w:tcW w:w="2076" w:type="dxa"/>
            <w:vAlign w:val="center"/>
          </w:tcPr>
          <w:p w14:paraId="7A0DA77E">
            <w:pPr>
              <w:jc w:val="right"/>
            </w:pPr>
            <w:r>
              <w:rPr>
                <w:rFonts w:hint="eastAsia"/>
              </w:rPr>
              <w:t>-</w:t>
            </w:r>
          </w:p>
        </w:tc>
        <w:tc>
          <w:tcPr>
            <w:tcW w:w="2076" w:type="dxa"/>
            <w:vAlign w:val="center"/>
          </w:tcPr>
          <w:p w14:paraId="298C7A99">
            <w:pPr>
              <w:jc w:val="right"/>
            </w:pPr>
            <w:r>
              <w:rPr>
                <w:rFonts w:hint="eastAsia"/>
              </w:rPr>
              <w:t>-</w:t>
            </w:r>
          </w:p>
        </w:tc>
      </w:tr>
      <w:tr w14:paraId="590F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83AB84">
            <w:r>
              <w:rPr>
                <w:rFonts w:hint="eastAsia"/>
              </w:rPr>
              <w:t xml:space="preserve">      前期差错更正</w:t>
            </w:r>
          </w:p>
        </w:tc>
        <w:tc>
          <w:tcPr>
            <w:tcW w:w="2076" w:type="dxa"/>
            <w:vAlign w:val="center"/>
          </w:tcPr>
          <w:p w14:paraId="2B491013">
            <w:pPr>
              <w:jc w:val="right"/>
            </w:pPr>
            <w:r>
              <w:rPr>
                <w:rFonts w:hint="eastAsia"/>
              </w:rPr>
              <w:t>-</w:t>
            </w:r>
          </w:p>
        </w:tc>
        <w:tc>
          <w:tcPr>
            <w:tcW w:w="2076" w:type="dxa"/>
            <w:vAlign w:val="center"/>
          </w:tcPr>
          <w:p w14:paraId="7B1B556A">
            <w:pPr>
              <w:jc w:val="right"/>
            </w:pPr>
            <w:r>
              <w:rPr>
                <w:rFonts w:hint="eastAsia"/>
              </w:rPr>
              <w:t>-</w:t>
            </w:r>
          </w:p>
        </w:tc>
        <w:tc>
          <w:tcPr>
            <w:tcW w:w="2076" w:type="dxa"/>
            <w:vAlign w:val="center"/>
          </w:tcPr>
          <w:p w14:paraId="5852834C">
            <w:pPr>
              <w:jc w:val="right"/>
            </w:pPr>
            <w:r>
              <w:rPr>
                <w:rFonts w:hint="eastAsia"/>
              </w:rPr>
              <w:t>-</w:t>
            </w:r>
          </w:p>
        </w:tc>
      </w:tr>
      <w:tr w14:paraId="56B2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3B3E1F">
            <w:r>
              <w:rPr>
                <w:rFonts w:hint="eastAsia"/>
              </w:rPr>
              <w:t xml:space="preserve">      其他</w:t>
            </w:r>
          </w:p>
        </w:tc>
        <w:tc>
          <w:tcPr>
            <w:tcW w:w="2076" w:type="dxa"/>
            <w:vAlign w:val="center"/>
          </w:tcPr>
          <w:p w14:paraId="3BE1C550">
            <w:pPr>
              <w:jc w:val="right"/>
            </w:pPr>
            <w:r>
              <w:rPr>
                <w:rFonts w:hint="eastAsia"/>
              </w:rPr>
              <w:t>-</w:t>
            </w:r>
          </w:p>
        </w:tc>
        <w:tc>
          <w:tcPr>
            <w:tcW w:w="2076" w:type="dxa"/>
            <w:vAlign w:val="center"/>
          </w:tcPr>
          <w:p w14:paraId="0968167F">
            <w:pPr>
              <w:jc w:val="right"/>
            </w:pPr>
            <w:r>
              <w:rPr>
                <w:rFonts w:hint="eastAsia"/>
              </w:rPr>
              <w:t>-</w:t>
            </w:r>
          </w:p>
        </w:tc>
        <w:tc>
          <w:tcPr>
            <w:tcW w:w="2076" w:type="dxa"/>
            <w:vAlign w:val="center"/>
          </w:tcPr>
          <w:p w14:paraId="75EBDDEC">
            <w:pPr>
              <w:jc w:val="right"/>
            </w:pPr>
            <w:r>
              <w:rPr>
                <w:rFonts w:hint="eastAsia"/>
              </w:rPr>
              <w:t>-</w:t>
            </w:r>
          </w:p>
        </w:tc>
      </w:tr>
      <w:tr w14:paraId="42A98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109453">
            <w:r>
              <w:rPr>
                <w:rFonts w:hint="eastAsia"/>
              </w:rPr>
              <w:t>本期期初</w:t>
            </w:r>
          </w:p>
        </w:tc>
        <w:tc>
          <w:tcPr>
            <w:tcW w:w="2076" w:type="dxa"/>
            <w:vAlign w:val="center"/>
          </w:tcPr>
          <w:p w14:paraId="67CE1246">
            <w:pPr>
              <w:jc w:val="right"/>
            </w:pPr>
            <w:r>
              <w:rPr>
                <w:rFonts w:hint="eastAsia"/>
              </w:rPr>
              <w:t>90,744.36</w:t>
            </w:r>
          </w:p>
        </w:tc>
        <w:tc>
          <w:tcPr>
            <w:tcW w:w="2076" w:type="dxa"/>
            <w:vAlign w:val="center"/>
          </w:tcPr>
          <w:p w14:paraId="7FF2949B">
            <w:pPr>
              <w:jc w:val="right"/>
            </w:pPr>
            <w:r>
              <w:rPr>
                <w:rFonts w:hint="eastAsia"/>
              </w:rPr>
              <w:t>83,632.60</w:t>
            </w:r>
          </w:p>
        </w:tc>
        <w:tc>
          <w:tcPr>
            <w:tcW w:w="2076" w:type="dxa"/>
            <w:vAlign w:val="center"/>
          </w:tcPr>
          <w:p w14:paraId="11081554">
            <w:pPr>
              <w:jc w:val="right"/>
            </w:pPr>
            <w:r>
              <w:rPr>
                <w:rFonts w:hint="eastAsia"/>
              </w:rPr>
              <w:t>174,376.96</w:t>
            </w:r>
          </w:p>
        </w:tc>
      </w:tr>
      <w:tr w14:paraId="3CC0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903D26">
            <w:r>
              <w:rPr>
                <w:rFonts w:hint="eastAsia"/>
              </w:rPr>
              <w:t>本期利润</w:t>
            </w:r>
          </w:p>
        </w:tc>
        <w:tc>
          <w:tcPr>
            <w:tcW w:w="2076" w:type="dxa"/>
            <w:vAlign w:val="center"/>
          </w:tcPr>
          <w:p w14:paraId="74971888">
            <w:pPr>
              <w:jc w:val="right"/>
            </w:pPr>
            <w:r>
              <w:rPr>
                <w:rFonts w:hint="eastAsia"/>
              </w:rPr>
              <w:t>934,198.81</w:t>
            </w:r>
          </w:p>
        </w:tc>
        <w:tc>
          <w:tcPr>
            <w:tcW w:w="2076" w:type="dxa"/>
            <w:vAlign w:val="center"/>
          </w:tcPr>
          <w:p w14:paraId="37C8904B">
            <w:pPr>
              <w:jc w:val="right"/>
            </w:pPr>
            <w:r>
              <w:rPr>
                <w:rFonts w:hint="eastAsia"/>
              </w:rPr>
              <w:t>7,733,747.17</w:t>
            </w:r>
          </w:p>
        </w:tc>
        <w:tc>
          <w:tcPr>
            <w:tcW w:w="2076" w:type="dxa"/>
            <w:vAlign w:val="center"/>
          </w:tcPr>
          <w:p w14:paraId="7463142B">
            <w:pPr>
              <w:jc w:val="right"/>
            </w:pPr>
            <w:r>
              <w:rPr>
                <w:rFonts w:hint="eastAsia"/>
              </w:rPr>
              <w:t>8,667,945.98</w:t>
            </w:r>
          </w:p>
        </w:tc>
      </w:tr>
      <w:tr w14:paraId="785F2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5B79F1">
            <w:r>
              <w:rPr>
                <w:rFonts w:hint="eastAsia"/>
              </w:rPr>
              <w:t>本期基金份额交易产生的变动数</w:t>
            </w:r>
          </w:p>
        </w:tc>
        <w:tc>
          <w:tcPr>
            <w:tcW w:w="2076" w:type="dxa"/>
            <w:vAlign w:val="center"/>
          </w:tcPr>
          <w:p w14:paraId="26657807">
            <w:pPr>
              <w:jc w:val="right"/>
            </w:pPr>
            <w:r>
              <w:rPr>
                <w:rFonts w:hint="eastAsia"/>
              </w:rPr>
              <w:t>2,545,612.81</w:t>
            </w:r>
          </w:p>
        </w:tc>
        <w:tc>
          <w:tcPr>
            <w:tcW w:w="2076" w:type="dxa"/>
            <w:vAlign w:val="center"/>
          </w:tcPr>
          <w:p w14:paraId="2E91463D">
            <w:pPr>
              <w:jc w:val="right"/>
            </w:pPr>
            <w:r>
              <w:rPr>
                <w:rFonts w:hint="eastAsia"/>
              </w:rPr>
              <w:t>27,803,112.93</w:t>
            </w:r>
          </w:p>
        </w:tc>
        <w:tc>
          <w:tcPr>
            <w:tcW w:w="2076" w:type="dxa"/>
            <w:vAlign w:val="center"/>
          </w:tcPr>
          <w:p w14:paraId="47D02C3B">
            <w:pPr>
              <w:jc w:val="right"/>
            </w:pPr>
            <w:r>
              <w:rPr>
                <w:rFonts w:hint="eastAsia"/>
              </w:rPr>
              <w:t>30,348,725.74</w:t>
            </w:r>
          </w:p>
        </w:tc>
      </w:tr>
      <w:tr w14:paraId="6F5E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131A19">
            <w:r>
              <w:rPr>
                <w:rFonts w:hint="eastAsia"/>
              </w:rPr>
              <w:t>其中：基金申购款</w:t>
            </w:r>
          </w:p>
        </w:tc>
        <w:tc>
          <w:tcPr>
            <w:tcW w:w="2076" w:type="dxa"/>
            <w:vAlign w:val="center"/>
          </w:tcPr>
          <w:p w14:paraId="5AD8E6A0">
            <w:pPr>
              <w:jc w:val="right"/>
            </w:pPr>
            <w:r>
              <w:rPr>
                <w:rFonts w:hint="eastAsia"/>
              </w:rPr>
              <w:t>5,541,803.10</w:t>
            </w:r>
          </w:p>
        </w:tc>
        <w:tc>
          <w:tcPr>
            <w:tcW w:w="2076" w:type="dxa"/>
            <w:vAlign w:val="center"/>
          </w:tcPr>
          <w:p w14:paraId="14EDA683">
            <w:pPr>
              <w:jc w:val="right"/>
            </w:pPr>
            <w:r>
              <w:rPr>
                <w:rFonts w:hint="eastAsia"/>
              </w:rPr>
              <w:t>57,933,698.24</w:t>
            </w:r>
          </w:p>
        </w:tc>
        <w:tc>
          <w:tcPr>
            <w:tcW w:w="2076" w:type="dxa"/>
            <w:vAlign w:val="center"/>
          </w:tcPr>
          <w:p w14:paraId="49C7329B">
            <w:pPr>
              <w:jc w:val="right"/>
            </w:pPr>
            <w:r>
              <w:rPr>
                <w:rFonts w:hint="eastAsia"/>
              </w:rPr>
              <w:t>63,475,501.34</w:t>
            </w:r>
          </w:p>
        </w:tc>
      </w:tr>
      <w:tr w14:paraId="2406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90E2E5">
            <w:r>
              <w:rPr>
                <w:rFonts w:hint="eastAsia"/>
              </w:rPr>
              <w:t xml:space="preserve">      基金赎回款</w:t>
            </w:r>
          </w:p>
        </w:tc>
        <w:tc>
          <w:tcPr>
            <w:tcW w:w="2076" w:type="dxa"/>
            <w:vAlign w:val="center"/>
          </w:tcPr>
          <w:p w14:paraId="447C617C">
            <w:pPr>
              <w:jc w:val="right"/>
            </w:pPr>
            <w:r>
              <w:rPr>
                <w:rFonts w:hint="eastAsia"/>
              </w:rPr>
              <w:t>-2,996,190.29</w:t>
            </w:r>
          </w:p>
        </w:tc>
        <w:tc>
          <w:tcPr>
            <w:tcW w:w="2076" w:type="dxa"/>
            <w:vAlign w:val="center"/>
          </w:tcPr>
          <w:p w14:paraId="6A2734CC">
            <w:pPr>
              <w:jc w:val="right"/>
            </w:pPr>
            <w:r>
              <w:rPr>
                <w:rFonts w:hint="eastAsia"/>
              </w:rPr>
              <w:t>-30,130,585.31</w:t>
            </w:r>
          </w:p>
        </w:tc>
        <w:tc>
          <w:tcPr>
            <w:tcW w:w="2076" w:type="dxa"/>
            <w:vAlign w:val="center"/>
          </w:tcPr>
          <w:p w14:paraId="5EBCFF25">
            <w:pPr>
              <w:jc w:val="right"/>
            </w:pPr>
            <w:r>
              <w:rPr>
                <w:rFonts w:hint="eastAsia"/>
              </w:rPr>
              <w:t>-33,126,775.60</w:t>
            </w:r>
          </w:p>
        </w:tc>
      </w:tr>
      <w:tr w14:paraId="45914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C637E2">
            <w:r>
              <w:rPr>
                <w:rFonts w:hint="eastAsia"/>
              </w:rPr>
              <w:t>本期已分配利润</w:t>
            </w:r>
          </w:p>
        </w:tc>
        <w:tc>
          <w:tcPr>
            <w:tcW w:w="2076" w:type="dxa"/>
            <w:vAlign w:val="center"/>
          </w:tcPr>
          <w:p w14:paraId="1C59A9EB">
            <w:pPr>
              <w:jc w:val="right"/>
            </w:pPr>
            <w:r>
              <w:rPr>
                <w:rFonts w:hint="eastAsia"/>
              </w:rPr>
              <w:t>-</w:t>
            </w:r>
          </w:p>
        </w:tc>
        <w:tc>
          <w:tcPr>
            <w:tcW w:w="2076" w:type="dxa"/>
            <w:vAlign w:val="center"/>
          </w:tcPr>
          <w:p w14:paraId="3332568C">
            <w:pPr>
              <w:jc w:val="right"/>
            </w:pPr>
            <w:r>
              <w:rPr>
                <w:rFonts w:hint="eastAsia"/>
              </w:rPr>
              <w:t>-</w:t>
            </w:r>
          </w:p>
        </w:tc>
        <w:tc>
          <w:tcPr>
            <w:tcW w:w="2076" w:type="dxa"/>
            <w:vAlign w:val="center"/>
          </w:tcPr>
          <w:p w14:paraId="0563C368">
            <w:pPr>
              <w:jc w:val="right"/>
            </w:pPr>
            <w:r>
              <w:rPr>
                <w:rFonts w:hint="eastAsia"/>
              </w:rPr>
              <w:t>-</w:t>
            </w:r>
          </w:p>
        </w:tc>
      </w:tr>
      <w:tr w14:paraId="46B0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460B42">
            <w:r>
              <w:rPr>
                <w:rFonts w:hint="eastAsia"/>
              </w:rPr>
              <w:t>本期末</w:t>
            </w:r>
          </w:p>
        </w:tc>
        <w:tc>
          <w:tcPr>
            <w:tcW w:w="2076" w:type="dxa"/>
            <w:vAlign w:val="center"/>
          </w:tcPr>
          <w:p w14:paraId="69BC6902">
            <w:pPr>
              <w:jc w:val="right"/>
            </w:pPr>
            <w:r>
              <w:rPr>
                <w:rFonts w:hint="eastAsia"/>
              </w:rPr>
              <w:t>3,570,555.98</w:t>
            </w:r>
          </w:p>
        </w:tc>
        <w:tc>
          <w:tcPr>
            <w:tcW w:w="2076" w:type="dxa"/>
            <w:vAlign w:val="center"/>
          </w:tcPr>
          <w:p w14:paraId="67AF3F2D">
            <w:pPr>
              <w:jc w:val="right"/>
            </w:pPr>
            <w:r>
              <w:rPr>
                <w:rFonts w:hint="eastAsia"/>
              </w:rPr>
              <w:t>35,620,492.70</w:t>
            </w:r>
          </w:p>
        </w:tc>
        <w:tc>
          <w:tcPr>
            <w:tcW w:w="2076" w:type="dxa"/>
            <w:vAlign w:val="center"/>
          </w:tcPr>
          <w:p w14:paraId="775DAD72">
            <w:pPr>
              <w:jc w:val="right"/>
            </w:pPr>
            <w:r>
              <w:rPr>
                <w:rFonts w:hint="eastAsia"/>
              </w:rPr>
              <w:t>39,191,048.68</w:t>
            </w:r>
          </w:p>
        </w:tc>
      </w:tr>
    </w:tbl>
    <w:p w14:paraId="30343126">
      <w:pPr>
        <w:pStyle w:val="35"/>
      </w:pPr>
      <w:bookmarkStart w:id="88" w:name="_Toc88"/>
      <w:r>
        <w:t>存款利息收入</w:t>
      </w:r>
      <w:bookmarkEnd w:id="88"/>
    </w:p>
    <w:p w14:paraId="73F547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D4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CBB102">
            <w:pPr>
              <w:jc w:val="center"/>
            </w:pPr>
            <w:r>
              <w:rPr>
                <w:rFonts w:hint="eastAsia"/>
                <w:b/>
              </w:rPr>
              <w:t>项目</w:t>
            </w:r>
          </w:p>
        </w:tc>
        <w:tc>
          <w:tcPr>
            <w:tcW w:w="2768" w:type="dxa"/>
            <w:shd w:val="clear" w:color="auto" w:fill="BFBFBF"/>
            <w:vAlign w:val="center"/>
          </w:tcPr>
          <w:p w14:paraId="6EDBF490">
            <w:pPr>
              <w:jc w:val="center"/>
            </w:pPr>
            <w:r>
              <w:rPr>
                <w:rFonts w:hint="eastAsia"/>
                <w:b/>
              </w:rPr>
              <w:t>本期2025年1月1日至2025年12月31日</w:t>
            </w:r>
          </w:p>
        </w:tc>
        <w:tc>
          <w:tcPr>
            <w:tcW w:w="2768" w:type="dxa"/>
            <w:shd w:val="clear" w:color="auto" w:fill="BFBFBF"/>
            <w:vAlign w:val="center"/>
          </w:tcPr>
          <w:p w14:paraId="58468241">
            <w:pPr>
              <w:jc w:val="center"/>
            </w:pPr>
            <w:r>
              <w:rPr>
                <w:rFonts w:hint="eastAsia"/>
                <w:b/>
              </w:rPr>
              <w:t>上年度可比期间2024年5月21日（基金合同生效日）至2024年12月31日</w:t>
            </w:r>
          </w:p>
        </w:tc>
      </w:tr>
      <w:tr w14:paraId="71BDD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AF4B12">
            <w:r>
              <w:rPr>
                <w:rFonts w:hint="eastAsia"/>
              </w:rPr>
              <w:t>活期存款利息收入</w:t>
            </w:r>
          </w:p>
        </w:tc>
        <w:tc>
          <w:tcPr>
            <w:tcW w:w="2768" w:type="dxa"/>
            <w:vAlign w:val="center"/>
          </w:tcPr>
          <w:p w14:paraId="212B1D3F">
            <w:pPr>
              <w:jc w:val="right"/>
            </w:pPr>
            <w:r>
              <w:rPr>
                <w:rFonts w:hint="eastAsia"/>
              </w:rPr>
              <w:t>25,670.72</w:t>
            </w:r>
          </w:p>
        </w:tc>
        <w:tc>
          <w:tcPr>
            <w:tcW w:w="2768" w:type="dxa"/>
            <w:vAlign w:val="center"/>
          </w:tcPr>
          <w:p w14:paraId="29C0FCB4">
            <w:pPr>
              <w:jc w:val="right"/>
            </w:pPr>
            <w:r>
              <w:rPr>
                <w:rFonts w:hint="eastAsia"/>
              </w:rPr>
              <w:t>20,319.19</w:t>
            </w:r>
          </w:p>
        </w:tc>
      </w:tr>
      <w:tr w14:paraId="44A9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065452">
            <w:r>
              <w:rPr>
                <w:rFonts w:hint="eastAsia"/>
              </w:rPr>
              <w:t>定期存款利息收入</w:t>
            </w:r>
          </w:p>
        </w:tc>
        <w:tc>
          <w:tcPr>
            <w:tcW w:w="2768" w:type="dxa"/>
            <w:vAlign w:val="center"/>
          </w:tcPr>
          <w:p w14:paraId="3118BE4A">
            <w:pPr>
              <w:jc w:val="right"/>
            </w:pPr>
            <w:r>
              <w:rPr>
                <w:rFonts w:hint="eastAsia"/>
              </w:rPr>
              <w:t>-</w:t>
            </w:r>
          </w:p>
        </w:tc>
        <w:tc>
          <w:tcPr>
            <w:tcW w:w="2768" w:type="dxa"/>
            <w:vAlign w:val="center"/>
          </w:tcPr>
          <w:p w14:paraId="45663678">
            <w:pPr>
              <w:jc w:val="right"/>
            </w:pPr>
            <w:r>
              <w:rPr>
                <w:rFonts w:hint="eastAsia"/>
              </w:rPr>
              <w:t>-</w:t>
            </w:r>
          </w:p>
        </w:tc>
      </w:tr>
      <w:tr w14:paraId="48B7D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F0A568">
            <w:r>
              <w:rPr>
                <w:rFonts w:hint="eastAsia"/>
              </w:rPr>
              <w:t>其他存款利息收入</w:t>
            </w:r>
          </w:p>
        </w:tc>
        <w:tc>
          <w:tcPr>
            <w:tcW w:w="2768" w:type="dxa"/>
            <w:vAlign w:val="center"/>
          </w:tcPr>
          <w:p w14:paraId="3FDC573C">
            <w:pPr>
              <w:jc w:val="right"/>
            </w:pPr>
            <w:r>
              <w:rPr>
                <w:rFonts w:hint="eastAsia"/>
              </w:rPr>
              <w:t>-</w:t>
            </w:r>
          </w:p>
        </w:tc>
        <w:tc>
          <w:tcPr>
            <w:tcW w:w="2768" w:type="dxa"/>
            <w:vAlign w:val="center"/>
          </w:tcPr>
          <w:p w14:paraId="36A54624">
            <w:pPr>
              <w:jc w:val="right"/>
            </w:pPr>
            <w:r>
              <w:rPr>
                <w:rFonts w:hint="eastAsia"/>
              </w:rPr>
              <w:t>-</w:t>
            </w:r>
          </w:p>
        </w:tc>
      </w:tr>
      <w:tr w14:paraId="180A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B6BF7E">
            <w:r>
              <w:rPr>
                <w:rFonts w:hint="eastAsia"/>
              </w:rPr>
              <w:t>结算备付金利息收入</w:t>
            </w:r>
          </w:p>
        </w:tc>
        <w:tc>
          <w:tcPr>
            <w:tcW w:w="2768" w:type="dxa"/>
            <w:vAlign w:val="center"/>
          </w:tcPr>
          <w:p w14:paraId="303C0ACE">
            <w:pPr>
              <w:jc w:val="right"/>
            </w:pPr>
            <w:r>
              <w:rPr>
                <w:rFonts w:hint="eastAsia"/>
              </w:rPr>
              <w:t>625.82</w:t>
            </w:r>
          </w:p>
        </w:tc>
        <w:tc>
          <w:tcPr>
            <w:tcW w:w="2768" w:type="dxa"/>
            <w:vAlign w:val="center"/>
          </w:tcPr>
          <w:p w14:paraId="22226285">
            <w:pPr>
              <w:jc w:val="right"/>
            </w:pPr>
            <w:r>
              <w:rPr>
                <w:rFonts w:hint="eastAsia"/>
              </w:rPr>
              <w:t>16,697.68</w:t>
            </w:r>
          </w:p>
        </w:tc>
      </w:tr>
      <w:tr w14:paraId="1836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43897F">
            <w:r>
              <w:rPr>
                <w:rFonts w:hint="eastAsia"/>
              </w:rPr>
              <w:t>其他</w:t>
            </w:r>
          </w:p>
        </w:tc>
        <w:tc>
          <w:tcPr>
            <w:tcW w:w="2768" w:type="dxa"/>
            <w:vAlign w:val="center"/>
          </w:tcPr>
          <w:p w14:paraId="303DCDE5">
            <w:pPr>
              <w:jc w:val="right"/>
            </w:pPr>
            <w:r>
              <w:rPr>
                <w:rFonts w:hint="eastAsia"/>
              </w:rPr>
              <w:t>590.22</w:t>
            </w:r>
          </w:p>
        </w:tc>
        <w:tc>
          <w:tcPr>
            <w:tcW w:w="2768" w:type="dxa"/>
            <w:vAlign w:val="center"/>
          </w:tcPr>
          <w:p w14:paraId="740EABD9">
            <w:pPr>
              <w:jc w:val="right"/>
            </w:pPr>
            <w:r>
              <w:rPr>
                <w:rFonts w:hint="eastAsia"/>
              </w:rPr>
              <w:t>137.34</w:t>
            </w:r>
          </w:p>
        </w:tc>
      </w:tr>
      <w:tr w14:paraId="69736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008117">
            <w:r>
              <w:rPr>
                <w:rFonts w:hint="eastAsia"/>
              </w:rPr>
              <w:t>合计</w:t>
            </w:r>
          </w:p>
        </w:tc>
        <w:tc>
          <w:tcPr>
            <w:tcW w:w="2768" w:type="dxa"/>
            <w:vAlign w:val="center"/>
          </w:tcPr>
          <w:p w14:paraId="2C9B39B0">
            <w:pPr>
              <w:jc w:val="right"/>
            </w:pPr>
            <w:r>
              <w:rPr>
                <w:rFonts w:hint="eastAsia"/>
              </w:rPr>
              <w:t>26,886.76</w:t>
            </w:r>
          </w:p>
        </w:tc>
        <w:tc>
          <w:tcPr>
            <w:tcW w:w="2768" w:type="dxa"/>
            <w:vAlign w:val="center"/>
          </w:tcPr>
          <w:p w14:paraId="0FB4EE27">
            <w:pPr>
              <w:jc w:val="right"/>
            </w:pPr>
            <w:r>
              <w:rPr>
                <w:rFonts w:hint="eastAsia"/>
              </w:rPr>
              <w:t>37,154.21</w:t>
            </w:r>
          </w:p>
        </w:tc>
      </w:tr>
    </w:tbl>
    <w:p w14:paraId="61F72E43">
      <w:pPr>
        <w:pStyle w:val="35"/>
      </w:pPr>
      <w:bookmarkStart w:id="89" w:name="_Toc89"/>
      <w:r>
        <w:t>股票投资收益</w:t>
      </w:r>
      <w:bookmarkEnd w:id="89"/>
    </w:p>
    <w:p w14:paraId="21B23932">
      <w:pPr>
        <w:pStyle w:val="36"/>
      </w:pPr>
      <w:bookmarkStart w:id="90" w:name="_Toc90"/>
      <w:r>
        <w:t>股票投资收益——买卖股票差价收入</w:t>
      </w:r>
      <w:bookmarkEnd w:id="90"/>
    </w:p>
    <w:p w14:paraId="74A21C79">
      <w:pPr>
        <w:pStyle w:val="18"/>
        <w:rPr>
          <w:rFonts w:hint="eastAsia"/>
        </w:rPr>
      </w:pPr>
      <w:r>
        <w:rPr>
          <w:rFonts w:hint="eastAsia"/>
        </w:rPr>
        <w:t>无。</w:t>
      </w:r>
    </w:p>
    <w:p w14:paraId="12AB6569">
      <w:pPr>
        <w:pStyle w:val="35"/>
      </w:pPr>
      <w:bookmarkStart w:id="91" w:name="_Toc91"/>
      <w:r>
        <w:t>基金投资收益</w:t>
      </w:r>
      <w:bookmarkEnd w:id="91"/>
    </w:p>
    <w:p w14:paraId="6505F1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9C6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C0E0DCD">
            <w:pPr>
              <w:jc w:val="center"/>
            </w:pPr>
            <w:r>
              <w:rPr>
                <w:rFonts w:hint="eastAsia"/>
                <w:b/>
              </w:rPr>
              <w:t>项目</w:t>
            </w:r>
          </w:p>
        </w:tc>
        <w:tc>
          <w:tcPr>
            <w:tcW w:w="2768" w:type="dxa"/>
            <w:shd w:val="clear" w:color="auto" w:fill="BFBFBF"/>
            <w:vAlign w:val="center"/>
          </w:tcPr>
          <w:p w14:paraId="3DDDD9AA">
            <w:pPr>
              <w:jc w:val="center"/>
            </w:pPr>
            <w:r>
              <w:rPr>
                <w:rFonts w:hint="eastAsia"/>
                <w:b/>
              </w:rPr>
              <w:t>本期2025年1月1日至2025年12月31日</w:t>
            </w:r>
          </w:p>
        </w:tc>
        <w:tc>
          <w:tcPr>
            <w:tcW w:w="2768" w:type="dxa"/>
            <w:shd w:val="clear" w:color="auto" w:fill="BFBFBF"/>
            <w:vAlign w:val="center"/>
          </w:tcPr>
          <w:p w14:paraId="01919864">
            <w:pPr>
              <w:jc w:val="center"/>
            </w:pPr>
            <w:r>
              <w:rPr>
                <w:rFonts w:hint="eastAsia"/>
                <w:b/>
              </w:rPr>
              <w:t>上年度可比期间2024年5月21日（基金合同生效日）至2024年12月31日</w:t>
            </w:r>
          </w:p>
        </w:tc>
      </w:tr>
      <w:tr w14:paraId="1E6A1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55D32C">
            <w:r>
              <w:rPr>
                <w:rFonts w:hint="eastAsia"/>
              </w:rPr>
              <w:t>卖出/赎回基金成交总额</w:t>
            </w:r>
          </w:p>
        </w:tc>
        <w:tc>
          <w:tcPr>
            <w:tcW w:w="2768" w:type="dxa"/>
            <w:vAlign w:val="center"/>
          </w:tcPr>
          <w:p w14:paraId="58B41EC8">
            <w:pPr>
              <w:jc w:val="right"/>
            </w:pPr>
            <w:r>
              <w:rPr>
                <w:rFonts w:hint="eastAsia"/>
              </w:rPr>
              <w:t>33,540,642.40</w:t>
            </w:r>
          </w:p>
        </w:tc>
        <w:tc>
          <w:tcPr>
            <w:tcW w:w="2768" w:type="dxa"/>
            <w:vAlign w:val="center"/>
          </w:tcPr>
          <w:p w14:paraId="66E3D228">
            <w:pPr>
              <w:jc w:val="right"/>
            </w:pPr>
            <w:r>
              <w:rPr>
                <w:rFonts w:hint="eastAsia"/>
              </w:rPr>
              <w:t>55,397,901.60</w:t>
            </w:r>
          </w:p>
        </w:tc>
      </w:tr>
      <w:tr w14:paraId="3BDB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E42FCF">
            <w:r>
              <w:rPr>
                <w:rFonts w:hint="eastAsia"/>
              </w:rPr>
              <w:t>减：卖出/赎回基金成本总额</w:t>
            </w:r>
          </w:p>
        </w:tc>
        <w:tc>
          <w:tcPr>
            <w:tcW w:w="2768" w:type="dxa"/>
            <w:vAlign w:val="center"/>
          </w:tcPr>
          <w:p w14:paraId="32F3CB36">
            <w:pPr>
              <w:jc w:val="right"/>
            </w:pPr>
            <w:r>
              <w:rPr>
                <w:rFonts w:hint="eastAsia"/>
              </w:rPr>
              <w:t>31,768,467.81</w:t>
            </w:r>
          </w:p>
        </w:tc>
        <w:tc>
          <w:tcPr>
            <w:tcW w:w="2768" w:type="dxa"/>
            <w:vAlign w:val="center"/>
          </w:tcPr>
          <w:p w14:paraId="0E770AD0">
            <w:pPr>
              <w:jc w:val="right"/>
            </w:pPr>
            <w:r>
              <w:rPr>
                <w:rFonts w:hint="eastAsia"/>
              </w:rPr>
              <w:t>55,120,818.52</w:t>
            </w:r>
          </w:p>
        </w:tc>
      </w:tr>
      <w:tr w14:paraId="5FA58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18C5F8">
            <w:r>
              <w:rPr>
                <w:rFonts w:hint="eastAsia"/>
              </w:rPr>
              <w:t>减：买卖基金差价收入应缴纳增值税额</w:t>
            </w:r>
          </w:p>
        </w:tc>
        <w:tc>
          <w:tcPr>
            <w:tcW w:w="2768" w:type="dxa"/>
            <w:vAlign w:val="center"/>
          </w:tcPr>
          <w:p w14:paraId="29B30B86">
            <w:pPr>
              <w:jc w:val="right"/>
            </w:pPr>
            <w:r>
              <w:rPr>
                <w:rFonts w:hint="eastAsia"/>
              </w:rPr>
              <w:t>51,616.75</w:t>
            </w:r>
          </w:p>
        </w:tc>
        <w:tc>
          <w:tcPr>
            <w:tcW w:w="2768" w:type="dxa"/>
            <w:vAlign w:val="center"/>
          </w:tcPr>
          <w:p w14:paraId="1B1B3ADF">
            <w:pPr>
              <w:jc w:val="right"/>
            </w:pPr>
            <w:r>
              <w:rPr>
                <w:rFonts w:hint="eastAsia"/>
              </w:rPr>
              <w:t>8,068.65</w:t>
            </w:r>
          </w:p>
        </w:tc>
      </w:tr>
      <w:tr w14:paraId="1893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B9B3A">
            <w:r>
              <w:rPr>
                <w:rFonts w:hint="eastAsia"/>
              </w:rPr>
              <w:t>减：交易费用</w:t>
            </w:r>
          </w:p>
        </w:tc>
        <w:tc>
          <w:tcPr>
            <w:tcW w:w="2768" w:type="dxa"/>
            <w:vAlign w:val="center"/>
          </w:tcPr>
          <w:p w14:paraId="4CE799CF">
            <w:pPr>
              <w:jc w:val="right"/>
            </w:pPr>
            <w:r>
              <w:rPr>
                <w:rFonts w:hint="eastAsia"/>
              </w:rPr>
              <w:t>10,762.03</w:t>
            </w:r>
          </w:p>
        </w:tc>
        <w:tc>
          <w:tcPr>
            <w:tcW w:w="2768" w:type="dxa"/>
            <w:vAlign w:val="center"/>
          </w:tcPr>
          <w:p w14:paraId="47E356C8">
            <w:pPr>
              <w:jc w:val="right"/>
            </w:pPr>
            <w:r>
              <w:rPr>
                <w:rFonts w:hint="eastAsia"/>
              </w:rPr>
              <w:t>2,140.83</w:t>
            </w:r>
          </w:p>
        </w:tc>
      </w:tr>
      <w:tr w14:paraId="4A7D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12B68C">
            <w:r>
              <w:rPr>
                <w:rFonts w:hint="eastAsia"/>
              </w:rPr>
              <w:t>基金投资收益</w:t>
            </w:r>
          </w:p>
        </w:tc>
        <w:tc>
          <w:tcPr>
            <w:tcW w:w="2768" w:type="dxa"/>
            <w:vAlign w:val="center"/>
          </w:tcPr>
          <w:p w14:paraId="52B7B6BB">
            <w:pPr>
              <w:jc w:val="right"/>
            </w:pPr>
            <w:r>
              <w:rPr>
                <w:rFonts w:hint="eastAsia"/>
              </w:rPr>
              <w:t>1,709,795.81</w:t>
            </w:r>
          </w:p>
        </w:tc>
        <w:tc>
          <w:tcPr>
            <w:tcW w:w="2768" w:type="dxa"/>
            <w:vAlign w:val="center"/>
          </w:tcPr>
          <w:p w14:paraId="708B92BD">
            <w:pPr>
              <w:jc w:val="right"/>
            </w:pPr>
            <w:r>
              <w:rPr>
                <w:rFonts w:hint="eastAsia"/>
              </w:rPr>
              <w:t>266,873.60</w:t>
            </w:r>
          </w:p>
        </w:tc>
      </w:tr>
    </w:tbl>
    <w:p w14:paraId="5BA332C0">
      <w:pPr>
        <w:pStyle w:val="47"/>
        <w:rPr>
          <w:rFonts w:hint="eastAsia"/>
        </w:rPr>
      </w:pPr>
      <w:r>
        <w:rPr>
          <w:rFonts w:hint="eastAsia"/>
        </w:rPr>
        <w:t>注：上述交易费用（如有）包含基金买卖或申赎产生的交易费用。</w:t>
      </w:r>
    </w:p>
    <w:p w14:paraId="433E1D1A">
      <w:pPr>
        <w:pStyle w:val="35"/>
      </w:pPr>
      <w:bookmarkStart w:id="92" w:name="_Toc92"/>
      <w:r>
        <w:t>债券投资收益</w:t>
      </w:r>
      <w:bookmarkEnd w:id="92"/>
    </w:p>
    <w:p w14:paraId="2FFA4A39">
      <w:pPr>
        <w:pStyle w:val="36"/>
      </w:pPr>
      <w:bookmarkStart w:id="93" w:name="_Toc93"/>
      <w:r>
        <w:t>债券投资收益项目构成</w:t>
      </w:r>
      <w:bookmarkEnd w:id="93"/>
    </w:p>
    <w:p w14:paraId="5D0ED5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0D3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122DFED">
            <w:pPr>
              <w:jc w:val="center"/>
            </w:pPr>
            <w:r>
              <w:rPr>
                <w:rFonts w:hint="eastAsia"/>
                <w:b/>
              </w:rPr>
              <w:t>项目</w:t>
            </w:r>
          </w:p>
        </w:tc>
        <w:tc>
          <w:tcPr>
            <w:tcW w:w="2469" w:type="dxa"/>
            <w:shd w:val="clear" w:color="auto" w:fill="BFBFBF"/>
            <w:vAlign w:val="center"/>
          </w:tcPr>
          <w:p w14:paraId="15C022A9">
            <w:pPr>
              <w:jc w:val="center"/>
            </w:pPr>
            <w:r>
              <w:rPr>
                <w:rFonts w:hint="eastAsia"/>
                <w:b/>
              </w:rPr>
              <w:t>本期2025年1月1日至2025年12月31日</w:t>
            </w:r>
          </w:p>
        </w:tc>
        <w:tc>
          <w:tcPr>
            <w:tcW w:w="2801" w:type="dxa"/>
            <w:shd w:val="clear" w:color="auto" w:fill="BFBFBF"/>
            <w:vAlign w:val="center"/>
          </w:tcPr>
          <w:p w14:paraId="544D0245">
            <w:pPr>
              <w:jc w:val="center"/>
            </w:pPr>
            <w:r>
              <w:rPr>
                <w:rFonts w:hint="eastAsia"/>
                <w:b/>
              </w:rPr>
              <w:t>上年度可比期间2024年5月21日（基金合同生效日）至2024年12月31日</w:t>
            </w:r>
          </w:p>
        </w:tc>
      </w:tr>
      <w:tr w14:paraId="0631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B00E0F">
            <w:r>
              <w:rPr>
                <w:rFonts w:hint="eastAsia"/>
              </w:rPr>
              <w:t>债券投资收益——利息收入</w:t>
            </w:r>
          </w:p>
        </w:tc>
        <w:tc>
          <w:tcPr>
            <w:tcW w:w="2469" w:type="dxa"/>
            <w:vAlign w:val="center"/>
          </w:tcPr>
          <w:p w14:paraId="70CECF22">
            <w:pPr>
              <w:jc w:val="right"/>
            </w:pPr>
            <w:r>
              <w:rPr>
                <w:rFonts w:hint="eastAsia"/>
              </w:rPr>
              <w:t>16,961.10</w:t>
            </w:r>
          </w:p>
        </w:tc>
        <w:tc>
          <w:tcPr>
            <w:tcW w:w="2801" w:type="dxa"/>
            <w:vAlign w:val="center"/>
          </w:tcPr>
          <w:p w14:paraId="1E1C6206">
            <w:pPr>
              <w:jc w:val="right"/>
            </w:pPr>
            <w:r>
              <w:rPr>
                <w:rFonts w:hint="eastAsia"/>
              </w:rPr>
              <w:t>16,358.14</w:t>
            </w:r>
          </w:p>
        </w:tc>
      </w:tr>
      <w:tr w14:paraId="7166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63668B">
            <w:r>
              <w:rPr>
                <w:rFonts w:hint="eastAsia"/>
              </w:rPr>
              <w:t>债券投资收益——买卖债券（债转股及债券到期兑付）差价收入</w:t>
            </w:r>
          </w:p>
        </w:tc>
        <w:tc>
          <w:tcPr>
            <w:tcW w:w="2469" w:type="dxa"/>
            <w:vAlign w:val="center"/>
          </w:tcPr>
          <w:p w14:paraId="500A2706">
            <w:pPr>
              <w:jc w:val="right"/>
            </w:pPr>
            <w:r>
              <w:rPr>
                <w:rFonts w:hint="eastAsia"/>
              </w:rPr>
              <w:t>-10,426.56</w:t>
            </w:r>
          </w:p>
        </w:tc>
        <w:tc>
          <w:tcPr>
            <w:tcW w:w="2801" w:type="dxa"/>
            <w:vAlign w:val="center"/>
          </w:tcPr>
          <w:p w14:paraId="07257991">
            <w:pPr>
              <w:jc w:val="right"/>
            </w:pPr>
            <w:r>
              <w:rPr>
                <w:rFonts w:hint="eastAsia"/>
              </w:rPr>
              <w:t>-</w:t>
            </w:r>
          </w:p>
        </w:tc>
      </w:tr>
      <w:tr w14:paraId="1AA7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A10D7B">
            <w:r>
              <w:rPr>
                <w:rFonts w:hint="eastAsia"/>
              </w:rPr>
              <w:t>债券投资收益——赎回差价收入</w:t>
            </w:r>
          </w:p>
        </w:tc>
        <w:tc>
          <w:tcPr>
            <w:tcW w:w="2469" w:type="dxa"/>
            <w:vAlign w:val="center"/>
          </w:tcPr>
          <w:p w14:paraId="4CCB3EA5">
            <w:pPr>
              <w:jc w:val="right"/>
            </w:pPr>
            <w:r>
              <w:rPr>
                <w:rFonts w:hint="eastAsia"/>
              </w:rPr>
              <w:t>-</w:t>
            </w:r>
          </w:p>
        </w:tc>
        <w:tc>
          <w:tcPr>
            <w:tcW w:w="2801" w:type="dxa"/>
            <w:vAlign w:val="center"/>
          </w:tcPr>
          <w:p w14:paraId="38C4BA91">
            <w:pPr>
              <w:jc w:val="right"/>
            </w:pPr>
            <w:r>
              <w:rPr>
                <w:rFonts w:hint="eastAsia"/>
              </w:rPr>
              <w:t>-</w:t>
            </w:r>
          </w:p>
        </w:tc>
      </w:tr>
      <w:tr w14:paraId="423A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78314A">
            <w:r>
              <w:rPr>
                <w:rFonts w:hint="eastAsia"/>
              </w:rPr>
              <w:t>债券投资收益——申购差价收入</w:t>
            </w:r>
          </w:p>
        </w:tc>
        <w:tc>
          <w:tcPr>
            <w:tcW w:w="2469" w:type="dxa"/>
            <w:vAlign w:val="center"/>
          </w:tcPr>
          <w:p w14:paraId="69758419">
            <w:pPr>
              <w:jc w:val="right"/>
            </w:pPr>
            <w:r>
              <w:rPr>
                <w:rFonts w:hint="eastAsia"/>
              </w:rPr>
              <w:t>-</w:t>
            </w:r>
          </w:p>
        </w:tc>
        <w:tc>
          <w:tcPr>
            <w:tcW w:w="2801" w:type="dxa"/>
            <w:vAlign w:val="center"/>
          </w:tcPr>
          <w:p w14:paraId="3517FD59">
            <w:pPr>
              <w:jc w:val="right"/>
            </w:pPr>
            <w:r>
              <w:rPr>
                <w:rFonts w:hint="eastAsia"/>
              </w:rPr>
              <w:t>-</w:t>
            </w:r>
          </w:p>
        </w:tc>
      </w:tr>
      <w:tr w14:paraId="3D791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61C02E">
            <w:r>
              <w:rPr>
                <w:rFonts w:hint="eastAsia"/>
              </w:rPr>
              <w:t>合计</w:t>
            </w:r>
          </w:p>
        </w:tc>
        <w:tc>
          <w:tcPr>
            <w:tcW w:w="2469" w:type="dxa"/>
            <w:vAlign w:val="center"/>
          </w:tcPr>
          <w:p w14:paraId="4C66AC8A">
            <w:pPr>
              <w:jc w:val="right"/>
            </w:pPr>
            <w:r>
              <w:rPr>
                <w:rFonts w:hint="eastAsia"/>
              </w:rPr>
              <w:t>6,534.54</w:t>
            </w:r>
          </w:p>
        </w:tc>
        <w:tc>
          <w:tcPr>
            <w:tcW w:w="2801" w:type="dxa"/>
            <w:vAlign w:val="center"/>
          </w:tcPr>
          <w:p w14:paraId="2D51214E">
            <w:pPr>
              <w:jc w:val="right"/>
            </w:pPr>
            <w:r>
              <w:rPr>
                <w:rFonts w:hint="eastAsia"/>
              </w:rPr>
              <w:t>16,358.14</w:t>
            </w:r>
          </w:p>
        </w:tc>
      </w:tr>
    </w:tbl>
    <w:p w14:paraId="195FFD8E">
      <w:pPr>
        <w:pStyle w:val="36"/>
      </w:pPr>
      <w:bookmarkStart w:id="94" w:name="_Toc94"/>
      <w:r>
        <w:t>债券投资收益——买卖债券差价收入</w:t>
      </w:r>
      <w:bookmarkEnd w:id="94"/>
    </w:p>
    <w:p w14:paraId="55E9CB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09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7CCB94E1">
            <w:pPr>
              <w:jc w:val="center"/>
            </w:pPr>
            <w:r>
              <w:rPr>
                <w:rFonts w:hint="eastAsia"/>
                <w:b/>
              </w:rPr>
              <w:t>项目</w:t>
            </w:r>
          </w:p>
        </w:tc>
        <w:tc>
          <w:tcPr>
            <w:tcW w:w="2768" w:type="dxa"/>
            <w:shd w:val="clear" w:color="auto" w:fill="BFBFBF"/>
            <w:vAlign w:val="center"/>
          </w:tcPr>
          <w:p w14:paraId="20BA7B32">
            <w:pPr>
              <w:jc w:val="center"/>
            </w:pPr>
            <w:r>
              <w:rPr>
                <w:rFonts w:hint="eastAsia"/>
                <w:b/>
              </w:rPr>
              <w:t>本期2025年1月1日至2025年12月31日</w:t>
            </w:r>
          </w:p>
        </w:tc>
        <w:tc>
          <w:tcPr>
            <w:tcW w:w="2768" w:type="dxa"/>
            <w:shd w:val="clear" w:color="auto" w:fill="BFBFBF"/>
            <w:vAlign w:val="center"/>
          </w:tcPr>
          <w:p w14:paraId="2AEA681B">
            <w:pPr>
              <w:jc w:val="center"/>
            </w:pPr>
            <w:r>
              <w:rPr>
                <w:rFonts w:hint="eastAsia"/>
                <w:b/>
              </w:rPr>
              <w:t>上年度可比期间2024年5月21日（基金合同生效日）至2024年12月31日</w:t>
            </w:r>
          </w:p>
        </w:tc>
      </w:tr>
      <w:tr w14:paraId="1D81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8FD225">
            <w:r>
              <w:rPr>
                <w:rFonts w:hint="eastAsia"/>
              </w:rPr>
              <w:t>卖出债券（债转股及债券到期兑付）成交总额</w:t>
            </w:r>
          </w:p>
        </w:tc>
        <w:tc>
          <w:tcPr>
            <w:tcW w:w="2768" w:type="dxa"/>
            <w:vAlign w:val="center"/>
          </w:tcPr>
          <w:p w14:paraId="2CD75054">
            <w:pPr>
              <w:jc w:val="right"/>
            </w:pPr>
            <w:r>
              <w:rPr>
                <w:rFonts w:hint="eastAsia"/>
              </w:rPr>
              <w:t>1,913,520.00</w:t>
            </w:r>
          </w:p>
        </w:tc>
        <w:tc>
          <w:tcPr>
            <w:tcW w:w="2768" w:type="dxa"/>
            <w:vAlign w:val="center"/>
          </w:tcPr>
          <w:p w14:paraId="33297DBE">
            <w:pPr>
              <w:jc w:val="right"/>
            </w:pPr>
            <w:r>
              <w:rPr>
                <w:rFonts w:hint="eastAsia"/>
              </w:rPr>
              <w:t>-</w:t>
            </w:r>
          </w:p>
        </w:tc>
      </w:tr>
      <w:tr w14:paraId="0BD4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6C1AED">
            <w:r>
              <w:rPr>
                <w:rFonts w:hint="eastAsia"/>
              </w:rPr>
              <w:t>减：卖出债券（债转股及债券到期兑付）成本总额</w:t>
            </w:r>
          </w:p>
        </w:tc>
        <w:tc>
          <w:tcPr>
            <w:tcW w:w="2768" w:type="dxa"/>
            <w:vAlign w:val="center"/>
          </w:tcPr>
          <w:p w14:paraId="3E7B45B6">
            <w:pPr>
              <w:jc w:val="right"/>
            </w:pPr>
            <w:r>
              <w:rPr>
                <w:rFonts w:hint="eastAsia"/>
              </w:rPr>
              <w:t>1,886,426.56</w:t>
            </w:r>
          </w:p>
        </w:tc>
        <w:tc>
          <w:tcPr>
            <w:tcW w:w="2768" w:type="dxa"/>
            <w:vAlign w:val="center"/>
          </w:tcPr>
          <w:p w14:paraId="584E9D2C">
            <w:pPr>
              <w:jc w:val="right"/>
            </w:pPr>
            <w:r>
              <w:rPr>
                <w:rFonts w:hint="eastAsia"/>
              </w:rPr>
              <w:t>-</w:t>
            </w:r>
          </w:p>
        </w:tc>
      </w:tr>
      <w:tr w14:paraId="029A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BF6572">
            <w:r>
              <w:rPr>
                <w:rFonts w:hint="eastAsia"/>
              </w:rPr>
              <w:t>减：应计利息总额</w:t>
            </w:r>
          </w:p>
        </w:tc>
        <w:tc>
          <w:tcPr>
            <w:tcW w:w="2768" w:type="dxa"/>
            <w:vAlign w:val="center"/>
          </w:tcPr>
          <w:p w14:paraId="0274FDA9">
            <w:pPr>
              <w:jc w:val="right"/>
            </w:pPr>
            <w:r>
              <w:rPr>
                <w:rFonts w:hint="eastAsia"/>
              </w:rPr>
              <w:t>37,520.00</w:t>
            </w:r>
          </w:p>
        </w:tc>
        <w:tc>
          <w:tcPr>
            <w:tcW w:w="2768" w:type="dxa"/>
            <w:vAlign w:val="center"/>
          </w:tcPr>
          <w:p w14:paraId="4E0EF6BD">
            <w:pPr>
              <w:jc w:val="right"/>
            </w:pPr>
            <w:r>
              <w:rPr>
                <w:rFonts w:hint="eastAsia"/>
              </w:rPr>
              <w:t>-</w:t>
            </w:r>
          </w:p>
        </w:tc>
      </w:tr>
      <w:tr w14:paraId="7D35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543EAE">
            <w:r>
              <w:rPr>
                <w:rFonts w:hint="eastAsia"/>
              </w:rPr>
              <w:t>减：交易费用</w:t>
            </w:r>
          </w:p>
        </w:tc>
        <w:tc>
          <w:tcPr>
            <w:tcW w:w="2768" w:type="dxa"/>
            <w:vAlign w:val="center"/>
          </w:tcPr>
          <w:p w14:paraId="1447C0B7">
            <w:pPr>
              <w:jc w:val="right"/>
            </w:pPr>
            <w:r>
              <w:rPr>
                <w:rFonts w:hint="eastAsia"/>
              </w:rPr>
              <w:t>-</w:t>
            </w:r>
          </w:p>
        </w:tc>
        <w:tc>
          <w:tcPr>
            <w:tcW w:w="2768" w:type="dxa"/>
            <w:vAlign w:val="center"/>
          </w:tcPr>
          <w:p w14:paraId="3D0A184B">
            <w:pPr>
              <w:jc w:val="right"/>
            </w:pPr>
            <w:r>
              <w:rPr>
                <w:rFonts w:hint="eastAsia"/>
              </w:rPr>
              <w:t>-</w:t>
            </w:r>
          </w:p>
        </w:tc>
      </w:tr>
      <w:tr w14:paraId="6D69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DB664E">
            <w:r>
              <w:rPr>
                <w:rFonts w:hint="eastAsia"/>
              </w:rPr>
              <w:t>买卖债券差价收入</w:t>
            </w:r>
          </w:p>
        </w:tc>
        <w:tc>
          <w:tcPr>
            <w:tcW w:w="2768" w:type="dxa"/>
            <w:vAlign w:val="center"/>
          </w:tcPr>
          <w:p w14:paraId="0F01888E">
            <w:pPr>
              <w:jc w:val="right"/>
            </w:pPr>
            <w:r>
              <w:rPr>
                <w:rFonts w:hint="eastAsia"/>
              </w:rPr>
              <w:t>-10,426.56</w:t>
            </w:r>
          </w:p>
        </w:tc>
        <w:tc>
          <w:tcPr>
            <w:tcW w:w="2768" w:type="dxa"/>
            <w:vAlign w:val="center"/>
          </w:tcPr>
          <w:p w14:paraId="6FF1AAA6">
            <w:pPr>
              <w:jc w:val="right"/>
            </w:pPr>
            <w:r>
              <w:rPr>
                <w:rFonts w:hint="eastAsia"/>
              </w:rPr>
              <w:t>-</w:t>
            </w:r>
          </w:p>
        </w:tc>
      </w:tr>
    </w:tbl>
    <w:p w14:paraId="7D24103B">
      <w:pPr>
        <w:pStyle w:val="47"/>
        <w:rPr>
          <w:rFonts w:hint="eastAsia"/>
        </w:rPr>
      </w:pPr>
      <w:r>
        <w:rPr>
          <w:rFonts w:hint="eastAsia"/>
        </w:rPr>
        <w:t>注：上述交易费用（如有）包含债券买卖产生的交易费用。</w:t>
      </w:r>
    </w:p>
    <w:p w14:paraId="6020BC5E">
      <w:pPr>
        <w:pStyle w:val="35"/>
      </w:pPr>
      <w:bookmarkStart w:id="95" w:name="_Toc95"/>
      <w:r>
        <w:t>资产支持证券投资收益</w:t>
      </w:r>
      <w:bookmarkEnd w:id="95"/>
    </w:p>
    <w:p w14:paraId="4FAF7002">
      <w:pPr>
        <w:pStyle w:val="36"/>
      </w:pPr>
      <w:bookmarkStart w:id="96" w:name="_Toc96"/>
      <w:r>
        <w:t>资产支持证券投资收益——买卖资产支持证券差价收入</w:t>
      </w:r>
      <w:bookmarkEnd w:id="96"/>
    </w:p>
    <w:p w14:paraId="6BF58242">
      <w:pPr>
        <w:pStyle w:val="18"/>
        <w:rPr>
          <w:rFonts w:hint="eastAsia"/>
        </w:rPr>
      </w:pPr>
      <w:r>
        <w:rPr>
          <w:rFonts w:hint="eastAsia"/>
        </w:rPr>
        <w:t>无。</w:t>
      </w:r>
    </w:p>
    <w:p w14:paraId="73A415E7">
      <w:pPr>
        <w:pStyle w:val="35"/>
      </w:pPr>
      <w:bookmarkStart w:id="97" w:name="_Toc97"/>
      <w:r>
        <w:t>衍生工具收益</w:t>
      </w:r>
      <w:bookmarkEnd w:id="97"/>
    </w:p>
    <w:p w14:paraId="7D7F6572">
      <w:pPr>
        <w:pStyle w:val="36"/>
      </w:pPr>
      <w:bookmarkStart w:id="98" w:name="_Toc98"/>
      <w:r>
        <w:t>衍生工具收益——买卖权证差价收入</w:t>
      </w:r>
      <w:bookmarkEnd w:id="98"/>
    </w:p>
    <w:p w14:paraId="53CFE062">
      <w:pPr>
        <w:pStyle w:val="18"/>
        <w:rPr>
          <w:rFonts w:hint="eastAsia"/>
        </w:rPr>
      </w:pPr>
      <w:r>
        <w:rPr>
          <w:rFonts w:hint="eastAsia"/>
        </w:rPr>
        <w:t>无。</w:t>
      </w:r>
    </w:p>
    <w:p w14:paraId="6DC58850">
      <w:pPr>
        <w:pStyle w:val="36"/>
      </w:pPr>
      <w:bookmarkStart w:id="99" w:name="_Toc99"/>
      <w:r>
        <w:t>衍生工具收益——其他投资收益</w:t>
      </w:r>
      <w:bookmarkEnd w:id="99"/>
    </w:p>
    <w:p w14:paraId="04A4A521">
      <w:pPr>
        <w:pStyle w:val="18"/>
        <w:rPr>
          <w:rFonts w:hint="eastAsia"/>
        </w:rPr>
      </w:pPr>
      <w:r>
        <w:rPr>
          <w:rFonts w:hint="eastAsia"/>
        </w:rPr>
        <w:t>无。</w:t>
      </w:r>
    </w:p>
    <w:p w14:paraId="36E7E14C">
      <w:pPr>
        <w:pStyle w:val="35"/>
      </w:pPr>
      <w:bookmarkStart w:id="100" w:name="_Toc100"/>
      <w:r>
        <w:t>股利收益</w:t>
      </w:r>
      <w:bookmarkEnd w:id="100"/>
    </w:p>
    <w:p w14:paraId="403AEF1E">
      <w:pPr>
        <w:pStyle w:val="18"/>
        <w:rPr>
          <w:rFonts w:hint="eastAsia"/>
        </w:rPr>
      </w:pPr>
      <w:r>
        <w:rPr>
          <w:rFonts w:hint="eastAsia"/>
        </w:rPr>
        <w:t>无。</w:t>
      </w:r>
    </w:p>
    <w:p w14:paraId="385DB0FB">
      <w:pPr>
        <w:pStyle w:val="35"/>
      </w:pPr>
      <w:bookmarkStart w:id="101" w:name="_Toc101"/>
      <w:r>
        <w:t>公允价值变动收益</w:t>
      </w:r>
      <w:bookmarkEnd w:id="101"/>
    </w:p>
    <w:p w14:paraId="6737FAA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6A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AF5A10">
            <w:pPr>
              <w:jc w:val="center"/>
            </w:pPr>
            <w:r>
              <w:rPr>
                <w:rFonts w:hint="eastAsia"/>
                <w:b/>
              </w:rPr>
              <w:t>项目名称</w:t>
            </w:r>
          </w:p>
        </w:tc>
        <w:tc>
          <w:tcPr>
            <w:tcW w:w="2768" w:type="dxa"/>
            <w:shd w:val="clear" w:color="auto" w:fill="BFBFBF"/>
            <w:vAlign w:val="center"/>
          </w:tcPr>
          <w:p w14:paraId="31684A9B">
            <w:pPr>
              <w:jc w:val="center"/>
            </w:pPr>
            <w:r>
              <w:rPr>
                <w:rFonts w:hint="eastAsia"/>
                <w:b/>
              </w:rPr>
              <w:t>本期2025年1月1日至2025年12月31日</w:t>
            </w:r>
          </w:p>
        </w:tc>
        <w:tc>
          <w:tcPr>
            <w:tcW w:w="2768" w:type="dxa"/>
            <w:shd w:val="clear" w:color="auto" w:fill="BFBFBF"/>
            <w:vAlign w:val="center"/>
          </w:tcPr>
          <w:p w14:paraId="4B958D71">
            <w:pPr>
              <w:jc w:val="center"/>
            </w:pPr>
            <w:r>
              <w:rPr>
                <w:rFonts w:hint="eastAsia"/>
                <w:b/>
              </w:rPr>
              <w:t>上年度可比期间2024年5月21日（基金合同生效日）至2024年12月31日</w:t>
            </w:r>
          </w:p>
        </w:tc>
      </w:tr>
      <w:tr w14:paraId="2978C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7336FF">
            <w:r>
              <w:rPr>
                <w:rFonts w:hint="eastAsia"/>
              </w:rPr>
              <w:t>1.交易性金融资产</w:t>
            </w:r>
          </w:p>
        </w:tc>
        <w:tc>
          <w:tcPr>
            <w:tcW w:w="2768" w:type="dxa"/>
            <w:vAlign w:val="center"/>
          </w:tcPr>
          <w:p w14:paraId="29F42BC2">
            <w:pPr>
              <w:jc w:val="right"/>
            </w:pPr>
            <w:r>
              <w:rPr>
                <w:rFonts w:hint="eastAsia"/>
              </w:rPr>
              <w:t>12,945,861.06</w:t>
            </w:r>
          </w:p>
        </w:tc>
        <w:tc>
          <w:tcPr>
            <w:tcW w:w="2768" w:type="dxa"/>
            <w:vAlign w:val="center"/>
          </w:tcPr>
          <w:p w14:paraId="0C67241E">
            <w:pPr>
              <w:jc w:val="right"/>
            </w:pPr>
            <w:r>
              <w:rPr>
                <w:rFonts w:hint="eastAsia"/>
              </w:rPr>
              <w:t>123,583.11</w:t>
            </w:r>
          </w:p>
        </w:tc>
      </w:tr>
      <w:tr w14:paraId="1258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36AE29">
            <w:r>
              <w:rPr>
                <w:rFonts w:hint="eastAsia"/>
              </w:rPr>
              <w:t>——股票投资</w:t>
            </w:r>
          </w:p>
        </w:tc>
        <w:tc>
          <w:tcPr>
            <w:tcW w:w="2768" w:type="dxa"/>
            <w:vAlign w:val="center"/>
          </w:tcPr>
          <w:p w14:paraId="4E5A0A1D">
            <w:pPr>
              <w:jc w:val="right"/>
            </w:pPr>
            <w:r>
              <w:rPr>
                <w:rFonts w:hint="eastAsia"/>
              </w:rPr>
              <w:t>-</w:t>
            </w:r>
          </w:p>
        </w:tc>
        <w:tc>
          <w:tcPr>
            <w:tcW w:w="2768" w:type="dxa"/>
            <w:vAlign w:val="center"/>
          </w:tcPr>
          <w:p w14:paraId="083A4D95">
            <w:pPr>
              <w:jc w:val="right"/>
            </w:pPr>
            <w:r>
              <w:rPr>
                <w:rFonts w:hint="eastAsia"/>
              </w:rPr>
              <w:t>-</w:t>
            </w:r>
          </w:p>
        </w:tc>
      </w:tr>
      <w:tr w14:paraId="0A46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313EEE">
            <w:r>
              <w:rPr>
                <w:rFonts w:hint="eastAsia"/>
              </w:rPr>
              <w:t>——债券投资</w:t>
            </w:r>
          </w:p>
        </w:tc>
        <w:tc>
          <w:tcPr>
            <w:tcW w:w="2768" w:type="dxa"/>
            <w:vAlign w:val="center"/>
          </w:tcPr>
          <w:p w14:paraId="3F69A034">
            <w:pPr>
              <w:jc w:val="right"/>
            </w:pPr>
            <w:r>
              <w:rPr>
                <w:rFonts w:hint="eastAsia"/>
              </w:rPr>
              <w:t>1,609.36</w:t>
            </w:r>
          </w:p>
        </w:tc>
        <w:tc>
          <w:tcPr>
            <w:tcW w:w="2768" w:type="dxa"/>
            <w:vAlign w:val="center"/>
          </w:tcPr>
          <w:p w14:paraId="13016536">
            <w:pPr>
              <w:jc w:val="right"/>
            </w:pPr>
            <w:r>
              <w:rPr>
                <w:rFonts w:hint="eastAsia"/>
              </w:rPr>
              <w:t>-1,609.36</w:t>
            </w:r>
          </w:p>
        </w:tc>
      </w:tr>
      <w:tr w14:paraId="32E3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2543D5">
            <w:r>
              <w:rPr>
                <w:rFonts w:hint="eastAsia"/>
              </w:rPr>
              <w:t>——资产支持证券投资</w:t>
            </w:r>
          </w:p>
        </w:tc>
        <w:tc>
          <w:tcPr>
            <w:tcW w:w="2768" w:type="dxa"/>
            <w:vAlign w:val="center"/>
          </w:tcPr>
          <w:p w14:paraId="6FACE291">
            <w:pPr>
              <w:jc w:val="right"/>
            </w:pPr>
            <w:r>
              <w:rPr>
                <w:rFonts w:hint="eastAsia"/>
              </w:rPr>
              <w:t>-</w:t>
            </w:r>
          </w:p>
        </w:tc>
        <w:tc>
          <w:tcPr>
            <w:tcW w:w="2768" w:type="dxa"/>
            <w:vAlign w:val="center"/>
          </w:tcPr>
          <w:p w14:paraId="09BC852A">
            <w:pPr>
              <w:jc w:val="right"/>
            </w:pPr>
            <w:r>
              <w:rPr>
                <w:rFonts w:hint="eastAsia"/>
              </w:rPr>
              <w:t>-</w:t>
            </w:r>
          </w:p>
        </w:tc>
      </w:tr>
      <w:tr w14:paraId="799E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FF74A6">
            <w:r>
              <w:rPr>
                <w:rFonts w:hint="eastAsia"/>
              </w:rPr>
              <w:t>——基金投资</w:t>
            </w:r>
          </w:p>
        </w:tc>
        <w:tc>
          <w:tcPr>
            <w:tcW w:w="2768" w:type="dxa"/>
            <w:vAlign w:val="center"/>
          </w:tcPr>
          <w:p w14:paraId="04EC7977">
            <w:pPr>
              <w:jc w:val="right"/>
            </w:pPr>
            <w:r>
              <w:rPr>
                <w:rFonts w:hint="eastAsia"/>
              </w:rPr>
              <w:t>12,944,251.70</w:t>
            </w:r>
          </w:p>
        </w:tc>
        <w:tc>
          <w:tcPr>
            <w:tcW w:w="2768" w:type="dxa"/>
            <w:vAlign w:val="center"/>
          </w:tcPr>
          <w:p w14:paraId="748FAA81">
            <w:pPr>
              <w:jc w:val="right"/>
            </w:pPr>
            <w:r>
              <w:rPr>
                <w:rFonts w:hint="eastAsia"/>
              </w:rPr>
              <w:t>125,192.47</w:t>
            </w:r>
          </w:p>
        </w:tc>
      </w:tr>
      <w:tr w14:paraId="300B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633682">
            <w:r>
              <w:rPr>
                <w:rFonts w:hint="eastAsia"/>
              </w:rPr>
              <w:t>——贵金属投资</w:t>
            </w:r>
          </w:p>
        </w:tc>
        <w:tc>
          <w:tcPr>
            <w:tcW w:w="2768" w:type="dxa"/>
            <w:vAlign w:val="center"/>
          </w:tcPr>
          <w:p w14:paraId="282B87D7">
            <w:pPr>
              <w:jc w:val="right"/>
            </w:pPr>
            <w:r>
              <w:rPr>
                <w:rFonts w:hint="eastAsia"/>
              </w:rPr>
              <w:t>-</w:t>
            </w:r>
          </w:p>
        </w:tc>
        <w:tc>
          <w:tcPr>
            <w:tcW w:w="2768" w:type="dxa"/>
            <w:vAlign w:val="center"/>
          </w:tcPr>
          <w:p w14:paraId="42EDC7DA">
            <w:pPr>
              <w:jc w:val="right"/>
            </w:pPr>
            <w:r>
              <w:rPr>
                <w:rFonts w:hint="eastAsia"/>
              </w:rPr>
              <w:t>-</w:t>
            </w:r>
          </w:p>
        </w:tc>
      </w:tr>
      <w:tr w14:paraId="75E3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9AADF0">
            <w:r>
              <w:rPr>
                <w:rFonts w:hint="eastAsia"/>
              </w:rPr>
              <w:t>——其他</w:t>
            </w:r>
          </w:p>
        </w:tc>
        <w:tc>
          <w:tcPr>
            <w:tcW w:w="2768" w:type="dxa"/>
            <w:vAlign w:val="center"/>
          </w:tcPr>
          <w:p w14:paraId="5951F3D8">
            <w:pPr>
              <w:jc w:val="right"/>
            </w:pPr>
            <w:r>
              <w:rPr>
                <w:rFonts w:hint="eastAsia"/>
              </w:rPr>
              <w:t>-</w:t>
            </w:r>
          </w:p>
        </w:tc>
        <w:tc>
          <w:tcPr>
            <w:tcW w:w="2768" w:type="dxa"/>
            <w:vAlign w:val="center"/>
          </w:tcPr>
          <w:p w14:paraId="14A86988">
            <w:pPr>
              <w:jc w:val="right"/>
            </w:pPr>
            <w:r>
              <w:rPr>
                <w:rFonts w:hint="eastAsia"/>
              </w:rPr>
              <w:t>-</w:t>
            </w:r>
          </w:p>
        </w:tc>
      </w:tr>
      <w:tr w14:paraId="3951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9BF631">
            <w:r>
              <w:rPr>
                <w:rFonts w:hint="eastAsia"/>
              </w:rPr>
              <w:t>2.衍生工具</w:t>
            </w:r>
          </w:p>
        </w:tc>
        <w:tc>
          <w:tcPr>
            <w:tcW w:w="2768" w:type="dxa"/>
            <w:vAlign w:val="center"/>
          </w:tcPr>
          <w:p w14:paraId="4622710D">
            <w:pPr>
              <w:jc w:val="right"/>
            </w:pPr>
            <w:r>
              <w:rPr>
                <w:rFonts w:hint="eastAsia"/>
              </w:rPr>
              <w:t>-</w:t>
            </w:r>
          </w:p>
        </w:tc>
        <w:tc>
          <w:tcPr>
            <w:tcW w:w="2768" w:type="dxa"/>
            <w:vAlign w:val="center"/>
          </w:tcPr>
          <w:p w14:paraId="7E13DD1B">
            <w:pPr>
              <w:jc w:val="right"/>
            </w:pPr>
            <w:r>
              <w:rPr>
                <w:rFonts w:hint="eastAsia"/>
              </w:rPr>
              <w:t>-</w:t>
            </w:r>
          </w:p>
        </w:tc>
      </w:tr>
      <w:tr w14:paraId="0E355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18E810">
            <w:r>
              <w:rPr>
                <w:rFonts w:hint="eastAsia"/>
              </w:rPr>
              <w:t>——权证投资</w:t>
            </w:r>
          </w:p>
        </w:tc>
        <w:tc>
          <w:tcPr>
            <w:tcW w:w="2768" w:type="dxa"/>
            <w:vAlign w:val="center"/>
          </w:tcPr>
          <w:p w14:paraId="3A380675">
            <w:pPr>
              <w:jc w:val="right"/>
            </w:pPr>
            <w:r>
              <w:rPr>
                <w:rFonts w:hint="eastAsia"/>
              </w:rPr>
              <w:t>-</w:t>
            </w:r>
          </w:p>
        </w:tc>
        <w:tc>
          <w:tcPr>
            <w:tcW w:w="2768" w:type="dxa"/>
            <w:vAlign w:val="center"/>
          </w:tcPr>
          <w:p w14:paraId="186D8926">
            <w:pPr>
              <w:jc w:val="right"/>
            </w:pPr>
            <w:r>
              <w:rPr>
                <w:rFonts w:hint="eastAsia"/>
              </w:rPr>
              <w:t>-</w:t>
            </w:r>
          </w:p>
        </w:tc>
      </w:tr>
      <w:tr w14:paraId="4FE2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06D541">
            <w:r>
              <w:rPr>
                <w:rFonts w:hint="eastAsia"/>
              </w:rPr>
              <w:t>——期货投资</w:t>
            </w:r>
          </w:p>
        </w:tc>
        <w:tc>
          <w:tcPr>
            <w:tcW w:w="2768" w:type="dxa"/>
            <w:vAlign w:val="center"/>
          </w:tcPr>
          <w:p w14:paraId="2BED3699">
            <w:pPr>
              <w:jc w:val="right"/>
            </w:pPr>
            <w:r>
              <w:rPr>
                <w:rFonts w:hint="eastAsia"/>
              </w:rPr>
              <w:t>-</w:t>
            </w:r>
          </w:p>
        </w:tc>
        <w:tc>
          <w:tcPr>
            <w:tcW w:w="2768" w:type="dxa"/>
            <w:vAlign w:val="center"/>
          </w:tcPr>
          <w:p w14:paraId="6B441C1C">
            <w:pPr>
              <w:jc w:val="right"/>
            </w:pPr>
            <w:r>
              <w:rPr>
                <w:rFonts w:hint="eastAsia"/>
              </w:rPr>
              <w:t>-</w:t>
            </w:r>
          </w:p>
        </w:tc>
      </w:tr>
      <w:tr w14:paraId="09B2F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8219D9">
            <w:r>
              <w:rPr>
                <w:rFonts w:hint="eastAsia"/>
              </w:rPr>
              <w:t>3.其他</w:t>
            </w:r>
          </w:p>
        </w:tc>
        <w:tc>
          <w:tcPr>
            <w:tcW w:w="2768" w:type="dxa"/>
            <w:vAlign w:val="center"/>
          </w:tcPr>
          <w:p w14:paraId="25C6AA28">
            <w:pPr>
              <w:jc w:val="right"/>
            </w:pPr>
            <w:r>
              <w:rPr>
                <w:rFonts w:hint="eastAsia"/>
              </w:rPr>
              <w:t>-</w:t>
            </w:r>
          </w:p>
        </w:tc>
        <w:tc>
          <w:tcPr>
            <w:tcW w:w="2768" w:type="dxa"/>
            <w:vAlign w:val="center"/>
          </w:tcPr>
          <w:p w14:paraId="1B4FBD1D">
            <w:pPr>
              <w:jc w:val="right"/>
            </w:pPr>
            <w:r>
              <w:rPr>
                <w:rFonts w:hint="eastAsia"/>
              </w:rPr>
              <w:t>-</w:t>
            </w:r>
          </w:p>
        </w:tc>
      </w:tr>
      <w:tr w14:paraId="5312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E69EA2">
            <w:r>
              <w:rPr>
                <w:rFonts w:hint="eastAsia"/>
              </w:rPr>
              <w:t>减：应税金融商品公允价值变动产生的预估增值税</w:t>
            </w:r>
          </w:p>
        </w:tc>
        <w:tc>
          <w:tcPr>
            <w:tcW w:w="2768" w:type="dxa"/>
            <w:vAlign w:val="center"/>
          </w:tcPr>
          <w:p w14:paraId="3126F97A">
            <w:pPr>
              <w:jc w:val="right"/>
            </w:pPr>
            <w:r>
              <w:rPr>
                <w:rFonts w:hint="eastAsia"/>
              </w:rPr>
              <w:t>-</w:t>
            </w:r>
          </w:p>
        </w:tc>
        <w:tc>
          <w:tcPr>
            <w:tcW w:w="2768" w:type="dxa"/>
            <w:vAlign w:val="center"/>
          </w:tcPr>
          <w:p w14:paraId="440A89CD">
            <w:pPr>
              <w:jc w:val="right"/>
            </w:pPr>
            <w:r>
              <w:rPr>
                <w:rFonts w:hint="eastAsia"/>
              </w:rPr>
              <w:t>-</w:t>
            </w:r>
          </w:p>
        </w:tc>
      </w:tr>
      <w:tr w14:paraId="22780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B2102D">
            <w:r>
              <w:rPr>
                <w:rFonts w:hint="eastAsia"/>
              </w:rPr>
              <w:t>合计</w:t>
            </w:r>
          </w:p>
        </w:tc>
        <w:tc>
          <w:tcPr>
            <w:tcW w:w="2768" w:type="dxa"/>
            <w:vAlign w:val="center"/>
          </w:tcPr>
          <w:p w14:paraId="04892519">
            <w:pPr>
              <w:jc w:val="right"/>
            </w:pPr>
            <w:r>
              <w:rPr>
                <w:rFonts w:hint="eastAsia"/>
              </w:rPr>
              <w:t>12,945,861.06</w:t>
            </w:r>
          </w:p>
        </w:tc>
        <w:tc>
          <w:tcPr>
            <w:tcW w:w="2768" w:type="dxa"/>
            <w:vAlign w:val="center"/>
          </w:tcPr>
          <w:p w14:paraId="169E22C1">
            <w:pPr>
              <w:jc w:val="right"/>
            </w:pPr>
            <w:r>
              <w:rPr>
                <w:rFonts w:hint="eastAsia"/>
              </w:rPr>
              <w:t>123,583.11</w:t>
            </w:r>
          </w:p>
        </w:tc>
      </w:tr>
    </w:tbl>
    <w:p w14:paraId="4832F634">
      <w:pPr>
        <w:pStyle w:val="35"/>
      </w:pPr>
      <w:bookmarkStart w:id="102" w:name="_Toc102"/>
      <w:r>
        <w:t>其他收入</w:t>
      </w:r>
      <w:bookmarkEnd w:id="102"/>
    </w:p>
    <w:p w14:paraId="5C4742C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7B2C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15C9DC9">
            <w:pPr>
              <w:jc w:val="center"/>
            </w:pPr>
            <w:r>
              <w:rPr>
                <w:rFonts w:hint="eastAsia"/>
                <w:b/>
              </w:rPr>
              <w:t>项目</w:t>
            </w:r>
          </w:p>
        </w:tc>
        <w:tc>
          <w:tcPr>
            <w:tcW w:w="2469" w:type="dxa"/>
            <w:shd w:val="clear" w:color="auto" w:fill="BFBFBF"/>
            <w:vAlign w:val="center"/>
          </w:tcPr>
          <w:p w14:paraId="36BA24EC">
            <w:pPr>
              <w:jc w:val="center"/>
            </w:pPr>
            <w:r>
              <w:rPr>
                <w:rFonts w:hint="eastAsia"/>
                <w:b/>
              </w:rPr>
              <w:t>本期2025年1月1日至2025年12月31日</w:t>
            </w:r>
          </w:p>
        </w:tc>
        <w:tc>
          <w:tcPr>
            <w:tcW w:w="2801" w:type="dxa"/>
            <w:shd w:val="clear" w:color="auto" w:fill="BFBFBF"/>
            <w:vAlign w:val="center"/>
          </w:tcPr>
          <w:p w14:paraId="2B047173">
            <w:pPr>
              <w:jc w:val="center"/>
            </w:pPr>
            <w:r>
              <w:rPr>
                <w:rFonts w:hint="eastAsia"/>
                <w:b/>
              </w:rPr>
              <w:t>上年度可比期间2024年5月21日（基金合同生效日）至2024年12月31日</w:t>
            </w:r>
          </w:p>
        </w:tc>
      </w:tr>
      <w:tr w14:paraId="0A608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E8F98F">
            <w:r>
              <w:rPr>
                <w:rFonts w:hint="eastAsia"/>
              </w:rPr>
              <w:t>基金赎回费收入</w:t>
            </w:r>
          </w:p>
        </w:tc>
        <w:tc>
          <w:tcPr>
            <w:tcW w:w="2469" w:type="dxa"/>
            <w:vAlign w:val="center"/>
          </w:tcPr>
          <w:p w14:paraId="7BD1D543">
            <w:pPr>
              <w:jc w:val="right"/>
            </w:pPr>
            <w:r>
              <w:rPr>
                <w:rFonts w:hint="eastAsia"/>
              </w:rPr>
              <w:t>32,342.03</w:t>
            </w:r>
          </w:p>
        </w:tc>
        <w:tc>
          <w:tcPr>
            <w:tcW w:w="2801" w:type="dxa"/>
            <w:vAlign w:val="center"/>
          </w:tcPr>
          <w:p w14:paraId="764643ED">
            <w:pPr>
              <w:jc w:val="right"/>
            </w:pPr>
            <w:r>
              <w:rPr>
                <w:rFonts w:hint="eastAsia"/>
              </w:rPr>
              <w:t>3,012.29</w:t>
            </w:r>
          </w:p>
        </w:tc>
      </w:tr>
      <w:tr w14:paraId="722A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AB45A0">
            <w:r>
              <w:rPr>
                <w:rFonts w:hint="eastAsia"/>
              </w:rPr>
              <w:t>合计</w:t>
            </w:r>
          </w:p>
        </w:tc>
        <w:tc>
          <w:tcPr>
            <w:tcW w:w="2469" w:type="dxa"/>
            <w:vAlign w:val="center"/>
          </w:tcPr>
          <w:p w14:paraId="54679AEA">
            <w:pPr>
              <w:jc w:val="right"/>
            </w:pPr>
            <w:r>
              <w:rPr>
                <w:rFonts w:hint="eastAsia"/>
              </w:rPr>
              <w:t>32,342.03</w:t>
            </w:r>
          </w:p>
        </w:tc>
        <w:tc>
          <w:tcPr>
            <w:tcW w:w="2801" w:type="dxa"/>
            <w:vAlign w:val="center"/>
          </w:tcPr>
          <w:p w14:paraId="3871B429">
            <w:pPr>
              <w:jc w:val="right"/>
            </w:pPr>
            <w:r>
              <w:rPr>
                <w:rFonts w:hint="eastAsia"/>
              </w:rPr>
              <w:t>3,012.29</w:t>
            </w:r>
          </w:p>
        </w:tc>
      </w:tr>
    </w:tbl>
    <w:p w14:paraId="0BD462A5">
      <w:pPr>
        <w:pStyle w:val="35"/>
      </w:pPr>
      <w:bookmarkStart w:id="103" w:name="_Toc103"/>
      <w:r>
        <w:t>其他费用</w:t>
      </w:r>
      <w:bookmarkEnd w:id="103"/>
    </w:p>
    <w:p w14:paraId="63C8A3C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DE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C463D1">
            <w:pPr>
              <w:jc w:val="center"/>
            </w:pPr>
            <w:r>
              <w:rPr>
                <w:rFonts w:hint="eastAsia"/>
                <w:b/>
              </w:rPr>
              <w:t>项目</w:t>
            </w:r>
          </w:p>
        </w:tc>
        <w:tc>
          <w:tcPr>
            <w:tcW w:w="2768" w:type="dxa"/>
            <w:shd w:val="clear" w:color="auto" w:fill="BFBFBF"/>
            <w:vAlign w:val="center"/>
          </w:tcPr>
          <w:p w14:paraId="29E4B4A3">
            <w:pPr>
              <w:jc w:val="center"/>
            </w:pPr>
            <w:r>
              <w:rPr>
                <w:rFonts w:hint="eastAsia"/>
                <w:b/>
              </w:rPr>
              <w:t>本期2025年1月1日至2025年12月31日</w:t>
            </w:r>
          </w:p>
        </w:tc>
        <w:tc>
          <w:tcPr>
            <w:tcW w:w="2768" w:type="dxa"/>
            <w:shd w:val="clear" w:color="auto" w:fill="BFBFBF"/>
            <w:vAlign w:val="center"/>
          </w:tcPr>
          <w:p w14:paraId="12C206BC">
            <w:pPr>
              <w:jc w:val="center"/>
            </w:pPr>
            <w:r>
              <w:rPr>
                <w:rFonts w:hint="eastAsia"/>
                <w:b/>
              </w:rPr>
              <w:t>上年度可比期间2024年5月21日（基金合同生效日）至2024年12月31日</w:t>
            </w:r>
          </w:p>
        </w:tc>
      </w:tr>
      <w:tr w14:paraId="45FB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C5E0C7">
            <w:r>
              <w:rPr>
                <w:rFonts w:hint="eastAsia"/>
              </w:rPr>
              <w:t>审计费用</w:t>
            </w:r>
          </w:p>
        </w:tc>
        <w:tc>
          <w:tcPr>
            <w:tcW w:w="2768" w:type="dxa"/>
            <w:vAlign w:val="center"/>
          </w:tcPr>
          <w:p w14:paraId="127CF5FE">
            <w:pPr>
              <w:jc w:val="right"/>
            </w:pPr>
            <w:r>
              <w:rPr>
                <w:rFonts w:hint="eastAsia"/>
              </w:rPr>
              <w:t>10,000.00</w:t>
            </w:r>
          </w:p>
        </w:tc>
        <w:tc>
          <w:tcPr>
            <w:tcW w:w="2768" w:type="dxa"/>
            <w:vAlign w:val="center"/>
          </w:tcPr>
          <w:p w14:paraId="59ADE394">
            <w:pPr>
              <w:jc w:val="right"/>
            </w:pPr>
            <w:r>
              <w:rPr>
                <w:rFonts w:hint="eastAsia"/>
              </w:rPr>
              <w:t>4,000.00</w:t>
            </w:r>
          </w:p>
        </w:tc>
      </w:tr>
      <w:tr w14:paraId="33DF8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465EAE">
            <w:r>
              <w:rPr>
                <w:rFonts w:hint="eastAsia"/>
              </w:rPr>
              <w:t>信息披露费</w:t>
            </w:r>
          </w:p>
        </w:tc>
        <w:tc>
          <w:tcPr>
            <w:tcW w:w="2768" w:type="dxa"/>
            <w:vAlign w:val="center"/>
          </w:tcPr>
          <w:p w14:paraId="4F51D6AF">
            <w:pPr>
              <w:jc w:val="right"/>
            </w:pPr>
            <w:r>
              <w:rPr>
                <w:rFonts w:hint="eastAsia"/>
              </w:rPr>
              <w:t>120,000.00</w:t>
            </w:r>
          </w:p>
        </w:tc>
        <w:tc>
          <w:tcPr>
            <w:tcW w:w="2768" w:type="dxa"/>
            <w:vAlign w:val="center"/>
          </w:tcPr>
          <w:p w14:paraId="01B9BA4D">
            <w:pPr>
              <w:jc w:val="right"/>
            </w:pPr>
            <w:r>
              <w:rPr>
                <w:rFonts w:hint="eastAsia"/>
              </w:rPr>
              <w:t>-</w:t>
            </w:r>
          </w:p>
        </w:tc>
      </w:tr>
      <w:tr w14:paraId="2842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A0941D">
            <w:r>
              <w:rPr>
                <w:rFonts w:hint="eastAsia"/>
              </w:rPr>
              <w:t>证券出借违约金</w:t>
            </w:r>
          </w:p>
        </w:tc>
        <w:tc>
          <w:tcPr>
            <w:tcW w:w="2768" w:type="dxa"/>
            <w:vAlign w:val="center"/>
          </w:tcPr>
          <w:p w14:paraId="61354238">
            <w:pPr>
              <w:jc w:val="right"/>
            </w:pPr>
            <w:r>
              <w:rPr>
                <w:rFonts w:hint="eastAsia"/>
              </w:rPr>
              <w:t>-</w:t>
            </w:r>
          </w:p>
        </w:tc>
        <w:tc>
          <w:tcPr>
            <w:tcW w:w="2768" w:type="dxa"/>
            <w:vAlign w:val="center"/>
          </w:tcPr>
          <w:p w14:paraId="7CC11E95">
            <w:pPr>
              <w:jc w:val="right"/>
            </w:pPr>
            <w:r>
              <w:rPr>
                <w:rFonts w:hint="eastAsia"/>
              </w:rPr>
              <w:t>-</w:t>
            </w:r>
          </w:p>
        </w:tc>
      </w:tr>
      <w:tr w14:paraId="07AA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A3D1B8">
            <w:r>
              <w:rPr>
                <w:rFonts w:hint="eastAsia"/>
              </w:rPr>
              <w:t>银行费用</w:t>
            </w:r>
          </w:p>
        </w:tc>
        <w:tc>
          <w:tcPr>
            <w:tcW w:w="2768" w:type="dxa"/>
            <w:vAlign w:val="center"/>
          </w:tcPr>
          <w:p w14:paraId="5C97C48F">
            <w:pPr>
              <w:jc w:val="right"/>
            </w:pPr>
            <w:r>
              <w:rPr>
                <w:rFonts w:hint="eastAsia"/>
              </w:rPr>
              <w:t>1,983.53</w:t>
            </w:r>
          </w:p>
        </w:tc>
        <w:tc>
          <w:tcPr>
            <w:tcW w:w="2768" w:type="dxa"/>
            <w:vAlign w:val="center"/>
          </w:tcPr>
          <w:p w14:paraId="5759DDD1">
            <w:pPr>
              <w:jc w:val="right"/>
            </w:pPr>
            <w:r>
              <w:rPr>
                <w:rFonts w:hint="eastAsia"/>
              </w:rPr>
              <w:t>981.77</w:t>
            </w:r>
          </w:p>
        </w:tc>
      </w:tr>
      <w:tr w14:paraId="5BAC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95E2E5">
            <w:r>
              <w:rPr>
                <w:rFonts w:hint="eastAsia"/>
              </w:rPr>
              <w:t>其他</w:t>
            </w:r>
          </w:p>
        </w:tc>
        <w:tc>
          <w:tcPr>
            <w:tcW w:w="2768" w:type="dxa"/>
            <w:vAlign w:val="center"/>
          </w:tcPr>
          <w:p w14:paraId="382300DF">
            <w:pPr>
              <w:jc w:val="right"/>
            </w:pPr>
            <w:r>
              <w:rPr>
                <w:rFonts w:hint="eastAsia"/>
              </w:rPr>
              <w:t>-</w:t>
            </w:r>
          </w:p>
        </w:tc>
        <w:tc>
          <w:tcPr>
            <w:tcW w:w="2768" w:type="dxa"/>
            <w:vAlign w:val="center"/>
          </w:tcPr>
          <w:p w14:paraId="585134D5">
            <w:pPr>
              <w:jc w:val="right"/>
            </w:pPr>
            <w:r>
              <w:rPr>
                <w:rFonts w:hint="eastAsia"/>
              </w:rPr>
              <w:t>400.00</w:t>
            </w:r>
          </w:p>
        </w:tc>
      </w:tr>
      <w:tr w14:paraId="3BA7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CAAA5B">
            <w:r>
              <w:rPr>
                <w:rFonts w:hint="eastAsia"/>
              </w:rPr>
              <w:t>合计</w:t>
            </w:r>
          </w:p>
        </w:tc>
        <w:tc>
          <w:tcPr>
            <w:tcW w:w="2768" w:type="dxa"/>
            <w:vAlign w:val="center"/>
          </w:tcPr>
          <w:p w14:paraId="7413E7DB">
            <w:pPr>
              <w:jc w:val="right"/>
            </w:pPr>
            <w:r>
              <w:rPr>
                <w:rFonts w:hint="eastAsia"/>
              </w:rPr>
              <w:t>131,983.53</w:t>
            </w:r>
          </w:p>
        </w:tc>
        <w:tc>
          <w:tcPr>
            <w:tcW w:w="2768" w:type="dxa"/>
            <w:vAlign w:val="center"/>
          </w:tcPr>
          <w:p w14:paraId="313C30A0">
            <w:pPr>
              <w:jc w:val="right"/>
            </w:pPr>
            <w:r>
              <w:rPr>
                <w:rFonts w:hint="eastAsia"/>
              </w:rPr>
              <w:t>5,381.77</w:t>
            </w:r>
          </w:p>
        </w:tc>
      </w:tr>
    </w:tbl>
    <w:p w14:paraId="294E5426">
      <w:pPr>
        <w:pStyle w:val="28"/>
      </w:pPr>
      <w:bookmarkStart w:id="104" w:name="_Toc104"/>
      <w:r>
        <w:t>或有事项、资产负债表日后事项的说明</w:t>
      </w:r>
      <w:bookmarkEnd w:id="104"/>
    </w:p>
    <w:p w14:paraId="2185FEBF">
      <w:pPr>
        <w:pStyle w:val="35"/>
      </w:pPr>
      <w:bookmarkStart w:id="105" w:name="_Toc105"/>
      <w:r>
        <w:t>或有事项</w:t>
      </w:r>
      <w:bookmarkEnd w:id="105"/>
    </w:p>
    <w:p w14:paraId="06FBC6BC">
      <w:pPr>
        <w:pStyle w:val="18"/>
        <w:rPr>
          <w:rFonts w:hint="eastAsia"/>
        </w:rPr>
      </w:pPr>
      <w:r>
        <w:rPr>
          <w:rFonts w:hint="eastAsia"/>
        </w:rPr>
        <w:t>无。</w:t>
      </w:r>
    </w:p>
    <w:p w14:paraId="1C7AB3FC">
      <w:pPr>
        <w:pStyle w:val="35"/>
      </w:pPr>
      <w:bookmarkStart w:id="106" w:name="_Toc106"/>
      <w:r>
        <w:t>资产负债表日后事项</w:t>
      </w:r>
      <w:bookmarkEnd w:id="106"/>
    </w:p>
    <w:p w14:paraId="0E27F810">
      <w:pPr>
        <w:pStyle w:val="18"/>
        <w:rPr>
          <w:rFonts w:hint="eastAsia"/>
        </w:rPr>
      </w:pPr>
      <w:r>
        <w:rPr>
          <w:rFonts w:hint="eastAsia"/>
        </w:rPr>
        <w:t>截至财务报告批准报出日，本基金无需要披露的资产负债表日后事项。</w:t>
      </w:r>
    </w:p>
    <w:p w14:paraId="11269C4C">
      <w:pPr>
        <w:pStyle w:val="28"/>
      </w:pPr>
      <w:bookmarkStart w:id="107" w:name="_Toc107"/>
      <w:r>
        <w:t>关联方关系</w:t>
      </w:r>
      <w:bookmarkEnd w:id="1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239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B531661">
            <w:pPr>
              <w:jc w:val="center"/>
            </w:pPr>
            <w:r>
              <w:rPr>
                <w:rFonts w:hint="eastAsia"/>
                <w:b/>
              </w:rPr>
              <w:t>关联方名称</w:t>
            </w:r>
          </w:p>
        </w:tc>
        <w:tc>
          <w:tcPr>
            <w:tcW w:w="3322" w:type="dxa"/>
            <w:shd w:val="clear" w:color="auto" w:fill="BFBFBF"/>
            <w:vAlign w:val="center"/>
          </w:tcPr>
          <w:p w14:paraId="54B4BECA">
            <w:pPr>
              <w:jc w:val="center"/>
            </w:pPr>
            <w:r>
              <w:rPr>
                <w:rFonts w:hint="eastAsia"/>
                <w:b/>
              </w:rPr>
              <w:t>与本基金的关系</w:t>
            </w:r>
          </w:p>
        </w:tc>
      </w:tr>
      <w:tr w14:paraId="5B358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954A20">
            <w:r>
              <w:rPr>
                <w:rFonts w:hint="eastAsia"/>
              </w:rPr>
              <w:t>南方基金管理股份有限公司（“南方基金”）</w:t>
            </w:r>
          </w:p>
        </w:tc>
        <w:tc>
          <w:tcPr>
            <w:tcW w:w="3322" w:type="dxa"/>
            <w:vAlign w:val="center"/>
          </w:tcPr>
          <w:p w14:paraId="0B261423">
            <w:r>
              <w:rPr>
                <w:rFonts w:hint="eastAsia"/>
              </w:rPr>
              <w:t>基金管理人、登记机构、基金销售机构</w:t>
            </w:r>
          </w:p>
        </w:tc>
      </w:tr>
      <w:tr w14:paraId="6B2B9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50AE18">
            <w:r>
              <w:rPr>
                <w:rFonts w:hint="eastAsia"/>
              </w:rPr>
              <w:t>招商银行股份有限公司（“招商银行”）</w:t>
            </w:r>
          </w:p>
        </w:tc>
        <w:tc>
          <w:tcPr>
            <w:tcW w:w="3322" w:type="dxa"/>
            <w:vAlign w:val="center"/>
          </w:tcPr>
          <w:p w14:paraId="2531F203">
            <w:r>
              <w:rPr>
                <w:rFonts w:hint="eastAsia"/>
              </w:rPr>
              <w:t>基金托管人、基金销售机构</w:t>
            </w:r>
          </w:p>
        </w:tc>
      </w:tr>
      <w:tr w14:paraId="5EA0F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B680E2">
            <w:r>
              <w:rPr>
                <w:rFonts w:hint="eastAsia"/>
              </w:rPr>
              <w:t>美国花旗银行有限公司（“花旗银行”）</w:t>
            </w:r>
          </w:p>
        </w:tc>
        <w:tc>
          <w:tcPr>
            <w:tcW w:w="3322" w:type="dxa"/>
            <w:vAlign w:val="center"/>
          </w:tcPr>
          <w:p w14:paraId="6C47F851">
            <w:r>
              <w:rPr>
                <w:rFonts w:hint="eastAsia"/>
              </w:rPr>
              <w:t>境外资产托管人</w:t>
            </w:r>
          </w:p>
        </w:tc>
      </w:tr>
      <w:tr w14:paraId="0741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4C865A">
            <w:r>
              <w:rPr>
                <w:rFonts w:hint="eastAsia"/>
              </w:rPr>
              <w:t>华泰证券股份有限公司（“华泰证券”）</w:t>
            </w:r>
          </w:p>
        </w:tc>
        <w:tc>
          <w:tcPr>
            <w:tcW w:w="3322" w:type="dxa"/>
            <w:vAlign w:val="center"/>
          </w:tcPr>
          <w:p w14:paraId="76903708">
            <w:r>
              <w:rPr>
                <w:rFonts w:hint="eastAsia"/>
              </w:rPr>
              <w:t>基金管理人的股东</w:t>
            </w:r>
          </w:p>
        </w:tc>
      </w:tr>
      <w:tr w14:paraId="6283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6EBB19">
            <w:r>
              <w:rPr>
                <w:rFonts w:hint="eastAsia"/>
              </w:rPr>
              <w:t>兴业证券股份有限公司（“兴业证券”）</w:t>
            </w:r>
          </w:p>
        </w:tc>
        <w:tc>
          <w:tcPr>
            <w:tcW w:w="3322" w:type="dxa"/>
            <w:vAlign w:val="center"/>
          </w:tcPr>
          <w:p w14:paraId="12609053">
            <w:r>
              <w:rPr>
                <w:rFonts w:hint="eastAsia"/>
              </w:rPr>
              <w:t>基金管理人的股东</w:t>
            </w:r>
          </w:p>
        </w:tc>
      </w:tr>
      <w:tr w14:paraId="764F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83FAD8">
            <w:r>
              <w:rPr>
                <w:rFonts w:hint="eastAsia"/>
              </w:rPr>
              <w:t>南方资本管理有限公司（“南方资本”）</w:t>
            </w:r>
          </w:p>
        </w:tc>
        <w:tc>
          <w:tcPr>
            <w:tcW w:w="3322" w:type="dxa"/>
            <w:vAlign w:val="center"/>
          </w:tcPr>
          <w:p w14:paraId="3F4F6038">
            <w:r>
              <w:rPr>
                <w:rFonts w:hint="eastAsia"/>
              </w:rPr>
              <w:t>基金管理人的子公司</w:t>
            </w:r>
          </w:p>
        </w:tc>
      </w:tr>
      <w:tr w14:paraId="3B60B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AC885D">
            <w:r>
              <w:rPr>
                <w:rFonts w:hint="eastAsia"/>
              </w:rPr>
              <w:t>南方东英资产管理有限公司（“南方东英”）</w:t>
            </w:r>
          </w:p>
        </w:tc>
        <w:tc>
          <w:tcPr>
            <w:tcW w:w="3322" w:type="dxa"/>
            <w:vAlign w:val="center"/>
          </w:tcPr>
          <w:p w14:paraId="10DB37B1">
            <w:r>
              <w:rPr>
                <w:rFonts w:hint="eastAsia"/>
              </w:rPr>
              <w:t>基金管理人的子公司</w:t>
            </w:r>
          </w:p>
        </w:tc>
      </w:tr>
      <w:tr w14:paraId="41233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02A551">
            <w:r>
              <w:rPr>
                <w:rFonts w:hint="eastAsia"/>
              </w:rPr>
              <w:t>厦门国际信托有限公司（“厦门国际信托”）</w:t>
            </w:r>
          </w:p>
        </w:tc>
        <w:tc>
          <w:tcPr>
            <w:tcW w:w="3322" w:type="dxa"/>
            <w:vAlign w:val="center"/>
          </w:tcPr>
          <w:p w14:paraId="0DAF2DF9">
            <w:r>
              <w:rPr>
                <w:rFonts w:hint="eastAsia"/>
              </w:rPr>
              <w:t>基金管理人的股东</w:t>
            </w:r>
          </w:p>
        </w:tc>
      </w:tr>
      <w:tr w14:paraId="0C20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2D0E40">
            <w:r>
              <w:rPr>
                <w:rFonts w:hint="eastAsia"/>
              </w:rPr>
              <w:t>深圳市投资控股有限公司（“深圳投资控股”）</w:t>
            </w:r>
          </w:p>
        </w:tc>
        <w:tc>
          <w:tcPr>
            <w:tcW w:w="3322" w:type="dxa"/>
            <w:vAlign w:val="center"/>
          </w:tcPr>
          <w:p w14:paraId="6E2BD136">
            <w:r>
              <w:rPr>
                <w:rFonts w:hint="eastAsia"/>
              </w:rPr>
              <w:t>基金管理人的股东</w:t>
            </w:r>
          </w:p>
        </w:tc>
      </w:tr>
      <w:tr w14:paraId="41F4F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A4D4F1">
            <w:r>
              <w:rPr>
                <w:rFonts w:hint="eastAsia"/>
              </w:rPr>
              <w:t>厦门合泽吉企业管理合伙企业（有限合伙）</w:t>
            </w:r>
          </w:p>
        </w:tc>
        <w:tc>
          <w:tcPr>
            <w:tcW w:w="3322" w:type="dxa"/>
            <w:vAlign w:val="center"/>
          </w:tcPr>
          <w:p w14:paraId="097AAE79">
            <w:r>
              <w:rPr>
                <w:rFonts w:hint="eastAsia"/>
              </w:rPr>
              <w:t>基金管理人的股东</w:t>
            </w:r>
          </w:p>
        </w:tc>
      </w:tr>
      <w:tr w14:paraId="5C02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1CA335">
            <w:r>
              <w:rPr>
                <w:rFonts w:hint="eastAsia"/>
              </w:rPr>
              <w:t>厦门合泽祥企业管理合伙企业（有限合伙）</w:t>
            </w:r>
          </w:p>
        </w:tc>
        <w:tc>
          <w:tcPr>
            <w:tcW w:w="3322" w:type="dxa"/>
            <w:vAlign w:val="center"/>
          </w:tcPr>
          <w:p w14:paraId="6B0DCBE3">
            <w:r>
              <w:rPr>
                <w:rFonts w:hint="eastAsia"/>
              </w:rPr>
              <w:t>基金管理人的股东</w:t>
            </w:r>
          </w:p>
        </w:tc>
      </w:tr>
      <w:tr w14:paraId="0BFA0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C67662">
            <w:r>
              <w:rPr>
                <w:rFonts w:hint="eastAsia"/>
              </w:rPr>
              <w:t>厦门合泽益企业管理合伙企业（有限合伙）</w:t>
            </w:r>
          </w:p>
        </w:tc>
        <w:tc>
          <w:tcPr>
            <w:tcW w:w="3322" w:type="dxa"/>
            <w:vAlign w:val="center"/>
          </w:tcPr>
          <w:p w14:paraId="2D30B743">
            <w:r>
              <w:rPr>
                <w:rFonts w:hint="eastAsia"/>
              </w:rPr>
              <w:t>基金管理人的股东</w:t>
            </w:r>
          </w:p>
        </w:tc>
      </w:tr>
      <w:tr w14:paraId="1A93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E6C4F7">
            <w:r>
              <w:rPr>
                <w:rFonts w:hint="eastAsia"/>
              </w:rPr>
              <w:t>厦门合泽盈企业管理合伙企业（有限合伙）</w:t>
            </w:r>
          </w:p>
        </w:tc>
        <w:tc>
          <w:tcPr>
            <w:tcW w:w="3322" w:type="dxa"/>
            <w:vAlign w:val="center"/>
          </w:tcPr>
          <w:p w14:paraId="3DFFB27C">
            <w:r>
              <w:rPr>
                <w:rFonts w:hint="eastAsia"/>
              </w:rPr>
              <w:t>基金管理人的股东</w:t>
            </w:r>
          </w:p>
        </w:tc>
      </w:tr>
      <w:tr w14:paraId="5D8F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68FDC0">
            <w:r>
              <w:rPr>
                <w:rFonts w:hint="eastAsia"/>
              </w:rPr>
              <w:t>南方基金南方东英富时亚太低碳精选交易型开放式指数证券投资基金（“目标ETF”）</w:t>
            </w:r>
          </w:p>
        </w:tc>
        <w:tc>
          <w:tcPr>
            <w:tcW w:w="3322" w:type="dxa"/>
            <w:vAlign w:val="center"/>
          </w:tcPr>
          <w:p w14:paraId="27EEBF30">
            <w:r>
              <w:rPr>
                <w:rFonts w:hint="eastAsia"/>
              </w:rPr>
              <w:t>本基金的基金管理人管理的其他基金</w:t>
            </w:r>
          </w:p>
        </w:tc>
      </w:tr>
    </w:tbl>
    <w:p w14:paraId="755B7623">
      <w:pPr>
        <w:pStyle w:val="47"/>
        <w:rPr>
          <w:rFonts w:hint="eastAsia"/>
        </w:rPr>
      </w:pPr>
      <w:r>
        <w:rPr>
          <w:rFonts w:hint="eastAsia"/>
        </w:rPr>
        <w:t>注：下述关联交易均在正常业务范围内按一般商业条款订立。</w:t>
      </w:r>
    </w:p>
    <w:p w14:paraId="7373DCC3">
      <w:pPr>
        <w:pStyle w:val="28"/>
      </w:pPr>
      <w:bookmarkStart w:id="108" w:name="_Toc108"/>
      <w:r>
        <w:t>本报告期及上年度可比期间的关联方交易</w:t>
      </w:r>
      <w:bookmarkEnd w:id="108"/>
    </w:p>
    <w:p w14:paraId="38BA49D1">
      <w:pPr>
        <w:pStyle w:val="35"/>
      </w:pPr>
      <w:bookmarkStart w:id="109" w:name="_Toc109"/>
      <w:r>
        <w:t>通过关联方交易单元进行的交易</w:t>
      </w:r>
      <w:bookmarkEnd w:id="109"/>
    </w:p>
    <w:p w14:paraId="08BFE44D">
      <w:pPr>
        <w:pStyle w:val="36"/>
      </w:pPr>
      <w:bookmarkStart w:id="110" w:name="_Toc110"/>
      <w:r>
        <w:t>股票交易</w:t>
      </w:r>
      <w:bookmarkEnd w:id="110"/>
    </w:p>
    <w:p w14:paraId="165A6B29">
      <w:pPr>
        <w:pStyle w:val="18"/>
        <w:rPr>
          <w:rFonts w:hint="eastAsia"/>
        </w:rPr>
      </w:pPr>
      <w:r>
        <w:rPr>
          <w:rFonts w:hint="eastAsia"/>
        </w:rPr>
        <w:t>无。</w:t>
      </w:r>
    </w:p>
    <w:p w14:paraId="2273D777">
      <w:pPr>
        <w:pStyle w:val="36"/>
      </w:pPr>
      <w:bookmarkStart w:id="111" w:name="_Toc111"/>
      <w:r>
        <w:t>债券交易</w:t>
      </w:r>
      <w:bookmarkEnd w:id="111"/>
    </w:p>
    <w:p w14:paraId="7702D75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B2AD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F4AF0D4">
            <w:pPr>
              <w:jc w:val="center"/>
            </w:pPr>
            <w:r>
              <w:rPr>
                <w:rFonts w:hint="eastAsia"/>
                <w:b/>
              </w:rPr>
              <w:t>关联方名称</w:t>
            </w:r>
          </w:p>
        </w:tc>
        <w:tc>
          <w:tcPr>
            <w:tcW w:w="1661" w:type="dxa"/>
            <w:gridSpan w:val="2"/>
            <w:shd w:val="clear" w:color="auto" w:fill="BFBFBF"/>
            <w:vAlign w:val="center"/>
          </w:tcPr>
          <w:p w14:paraId="2E716BDB">
            <w:pPr>
              <w:jc w:val="center"/>
            </w:pPr>
            <w:r>
              <w:rPr>
                <w:rFonts w:hint="eastAsia"/>
                <w:b/>
              </w:rPr>
              <w:t>本期2025年1月1日至2025年12月31日</w:t>
            </w:r>
          </w:p>
        </w:tc>
        <w:tc>
          <w:tcPr>
            <w:tcW w:w="1661" w:type="dxa"/>
            <w:gridSpan w:val="2"/>
            <w:shd w:val="clear" w:color="auto" w:fill="BFBFBF"/>
            <w:vAlign w:val="center"/>
          </w:tcPr>
          <w:p w14:paraId="5B0D49C3">
            <w:pPr>
              <w:jc w:val="center"/>
            </w:pPr>
            <w:r>
              <w:rPr>
                <w:rFonts w:hint="eastAsia"/>
                <w:b/>
              </w:rPr>
              <w:t>上年度可比期间2024年5月21日（基金合同生效日）至2024年12月31日</w:t>
            </w:r>
          </w:p>
        </w:tc>
      </w:tr>
      <w:tr w14:paraId="551C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BD625B"/>
        </w:tc>
        <w:tc>
          <w:tcPr>
            <w:tcW w:w="1661" w:type="dxa"/>
            <w:shd w:val="clear" w:color="auto" w:fill="BFBFBF"/>
            <w:vAlign w:val="center"/>
          </w:tcPr>
          <w:p w14:paraId="3717B13C">
            <w:pPr>
              <w:jc w:val="center"/>
            </w:pPr>
            <w:r>
              <w:rPr>
                <w:rFonts w:hint="eastAsia"/>
                <w:b/>
              </w:rPr>
              <w:t>成交金额</w:t>
            </w:r>
          </w:p>
        </w:tc>
        <w:tc>
          <w:tcPr>
            <w:tcW w:w="1661" w:type="dxa"/>
            <w:shd w:val="clear" w:color="auto" w:fill="BFBFBF"/>
            <w:vAlign w:val="center"/>
          </w:tcPr>
          <w:p w14:paraId="44CE4127">
            <w:pPr>
              <w:jc w:val="center"/>
            </w:pPr>
            <w:r>
              <w:rPr>
                <w:rFonts w:hint="eastAsia"/>
                <w:b/>
              </w:rPr>
              <w:t>占当期债券成交总额的比例</w:t>
            </w:r>
          </w:p>
        </w:tc>
        <w:tc>
          <w:tcPr>
            <w:tcW w:w="1661" w:type="dxa"/>
            <w:shd w:val="clear" w:color="auto" w:fill="BFBFBF"/>
            <w:vAlign w:val="center"/>
          </w:tcPr>
          <w:p w14:paraId="3A0D80F7">
            <w:pPr>
              <w:jc w:val="center"/>
            </w:pPr>
            <w:r>
              <w:rPr>
                <w:rFonts w:hint="eastAsia"/>
                <w:b/>
              </w:rPr>
              <w:t>成交金额</w:t>
            </w:r>
          </w:p>
        </w:tc>
        <w:tc>
          <w:tcPr>
            <w:tcW w:w="1661" w:type="dxa"/>
            <w:shd w:val="clear" w:color="auto" w:fill="BFBFBF"/>
            <w:vAlign w:val="center"/>
          </w:tcPr>
          <w:p w14:paraId="0E2C74C7">
            <w:pPr>
              <w:jc w:val="center"/>
            </w:pPr>
            <w:r>
              <w:rPr>
                <w:rFonts w:hint="eastAsia"/>
                <w:b/>
              </w:rPr>
              <w:t>占当期债券成交总额的比例</w:t>
            </w:r>
          </w:p>
        </w:tc>
      </w:tr>
      <w:tr w14:paraId="132F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B1CDC2">
            <w:r>
              <w:rPr>
                <w:rFonts w:hint="eastAsia"/>
              </w:rPr>
              <w:t>华泰证券</w:t>
            </w:r>
          </w:p>
        </w:tc>
        <w:tc>
          <w:tcPr>
            <w:tcW w:w="1661" w:type="dxa"/>
            <w:vAlign w:val="center"/>
          </w:tcPr>
          <w:p w14:paraId="44394C6C">
            <w:pPr>
              <w:jc w:val="right"/>
            </w:pPr>
            <w:r>
              <w:rPr>
                <w:rFonts w:hint="eastAsia"/>
              </w:rPr>
              <w:t>-</w:t>
            </w:r>
          </w:p>
        </w:tc>
        <w:tc>
          <w:tcPr>
            <w:tcW w:w="1661" w:type="dxa"/>
            <w:vAlign w:val="center"/>
          </w:tcPr>
          <w:p w14:paraId="3F59970F">
            <w:pPr>
              <w:jc w:val="right"/>
            </w:pPr>
            <w:r>
              <w:rPr>
                <w:rFonts w:hint="eastAsia"/>
              </w:rPr>
              <w:t>-</w:t>
            </w:r>
          </w:p>
        </w:tc>
        <w:tc>
          <w:tcPr>
            <w:tcW w:w="1661" w:type="dxa"/>
            <w:vAlign w:val="center"/>
          </w:tcPr>
          <w:p w14:paraId="006AA5C6">
            <w:pPr>
              <w:jc w:val="right"/>
            </w:pPr>
            <w:r>
              <w:rPr>
                <w:rFonts w:hint="eastAsia"/>
              </w:rPr>
              <w:t>1,886,426.56</w:t>
            </w:r>
          </w:p>
        </w:tc>
        <w:tc>
          <w:tcPr>
            <w:tcW w:w="1661" w:type="dxa"/>
            <w:vAlign w:val="center"/>
          </w:tcPr>
          <w:p w14:paraId="69788116">
            <w:pPr>
              <w:jc w:val="right"/>
            </w:pPr>
            <w:r>
              <w:rPr>
                <w:rFonts w:hint="eastAsia"/>
              </w:rPr>
              <w:t>100.00%</w:t>
            </w:r>
          </w:p>
        </w:tc>
      </w:tr>
    </w:tbl>
    <w:p w14:paraId="63500CDF">
      <w:pPr>
        <w:pStyle w:val="36"/>
      </w:pPr>
      <w:bookmarkStart w:id="112" w:name="_Toc112"/>
      <w:r>
        <w:t>债券回购交易</w:t>
      </w:r>
      <w:bookmarkEnd w:id="112"/>
    </w:p>
    <w:p w14:paraId="557D843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0C9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EC11C74">
            <w:pPr>
              <w:jc w:val="center"/>
            </w:pPr>
            <w:r>
              <w:rPr>
                <w:rFonts w:hint="eastAsia"/>
                <w:b/>
              </w:rPr>
              <w:t>关联方名称</w:t>
            </w:r>
          </w:p>
        </w:tc>
        <w:tc>
          <w:tcPr>
            <w:tcW w:w="1661" w:type="dxa"/>
            <w:gridSpan w:val="2"/>
            <w:shd w:val="clear" w:color="auto" w:fill="BFBFBF"/>
            <w:vAlign w:val="center"/>
          </w:tcPr>
          <w:p w14:paraId="5DD45471">
            <w:pPr>
              <w:jc w:val="center"/>
            </w:pPr>
            <w:r>
              <w:rPr>
                <w:rFonts w:hint="eastAsia"/>
                <w:b/>
              </w:rPr>
              <w:t>本期2025年1月1日至2025年12月31日</w:t>
            </w:r>
          </w:p>
        </w:tc>
        <w:tc>
          <w:tcPr>
            <w:tcW w:w="1661" w:type="dxa"/>
            <w:gridSpan w:val="2"/>
            <w:shd w:val="clear" w:color="auto" w:fill="BFBFBF"/>
            <w:vAlign w:val="center"/>
          </w:tcPr>
          <w:p w14:paraId="4C49F861">
            <w:pPr>
              <w:jc w:val="center"/>
            </w:pPr>
            <w:r>
              <w:rPr>
                <w:rFonts w:hint="eastAsia"/>
                <w:b/>
              </w:rPr>
              <w:t>上年度可比期间2024年5月21日（基金合同生效日）至2024年12月31日</w:t>
            </w:r>
          </w:p>
        </w:tc>
      </w:tr>
      <w:tr w14:paraId="3F4D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6E5EB6"/>
        </w:tc>
        <w:tc>
          <w:tcPr>
            <w:tcW w:w="1661" w:type="dxa"/>
            <w:shd w:val="clear" w:color="auto" w:fill="BFBFBF"/>
            <w:vAlign w:val="center"/>
          </w:tcPr>
          <w:p w14:paraId="6274299F">
            <w:pPr>
              <w:jc w:val="center"/>
            </w:pPr>
            <w:r>
              <w:rPr>
                <w:rFonts w:hint="eastAsia"/>
                <w:b/>
              </w:rPr>
              <w:t>成交金额</w:t>
            </w:r>
          </w:p>
        </w:tc>
        <w:tc>
          <w:tcPr>
            <w:tcW w:w="1661" w:type="dxa"/>
            <w:shd w:val="clear" w:color="auto" w:fill="BFBFBF"/>
            <w:vAlign w:val="center"/>
          </w:tcPr>
          <w:p w14:paraId="072822A4">
            <w:pPr>
              <w:jc w:val="center"/>
            </w:pPr>
            <w:r>
              <w:rPr>
                <w:rFonts w:hint="eastAsia"/>
                <w:b/>
              </w:rPr>
              <w:t>占当期债券回购成交总额的比例</w:t>
            </w:r>
          </w:p>
        </w:tc>
        <w:tc>
          <w:tcPr>
            <w:tcW w:w="1661" w:type="dxa"/>
            <w:shd w:val="clear" w:color="auto" w:fill="BFBFBF"/>
            <w:vAlign w:val="center"/>
          </w:tcPr>
          <w:p w14:paraId="45ADD394">
            <w:pPr>
              <w:jc w:val="center"/>
            </w:pPr>
            <w:r>
              <w:rPr>
                <w:rFonts w:hint="eastAsia"/>
                <w:b/>
              </w:rPr>
              <w:t>成交金额</w:t>
            </w:r>
          </w:p>
        </w:tc>
        <w:tc>
          <w:tcPr>
            <w:tcW w:w="1661" w:type="dxa"/>
            <w:shd w:val="clear" w:color="auto" w:fill="BFBFBF"/>
            <w:vAlign w:val="center"/>
          </w:tcPr>
          <w:p w14:paraId="6698D2BB">
            <w:pPr>
              <w:jc w:val="center"/>
            </w:pPr>
            <w:r>
              <w:rPr>
                <w:rFonts w:hint="eastAsia"/>
                <w:b/>
              </w:rPr>
              <w:t>占当期债券回购成交总额的比例</w:t>
            </w:r>
          </w:p>
        </w:tc>
      </w:tr>
      <w:tr w14:paraId="690B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7E5618">
            <w:r>
              <w:rPr>
                <w:rFonts w:hint="eastAsia"/>
              </w:rPr>
              <w:t>华泰证券</w:t>
            </w:r>
          </w:p>
        </w:tc>
        <w:tc>
          <w:tcPr>
            <w:tcW w:w="1661" w:type="dxa"/>
            <w:vAlign w:val="center"/>
          </w:tcPr>
          <w:p w14:paraId="65CEBDB9">
            <w:pPr>
              <w:jc w:val="right"/>
            </w:pPr>
            <w:r>
              <w:rPr>
                <w:rFonts w:hint="eastAsia"/>
              </w:rPr>
              <w:t>2,500,000.00</w:t>
            </w:r>
          </w:p>
        </w:tc>
        <w:tc>
          <w:tcPr>
            <w:tcW w:w="1661" w:type="dxa"/>
            <w:vAlign w:val="center"/>
          </w:tcPr>
          <w:p w14:paraId="23D4C2DD">
            <w:pPr>
              <w:jc w:val="right"/>
            </w:pPr>
            <w:r>
              <w:rPr>
                <w:rFonts w:hint="eastAsia"/>
              </w:rPr>
              <w:t>100.00%</w:t>
            </w:r>
          </w:p>
        </w:tc>
        <w:tc>
          <w:tcPr>
            <w:tcW w:w="1661" w:type="dxa"/>
            <w:vAlign w:val="center"/>
          </w:tcPr>
          <w:p w14:paraId="779472D3">
            <w:pPr>
              <w:jc w:val="right"/>
            </w:pPr>
            <w:r>
              <w:rPr>
                <w:rFonts w:hint="eastAsia"/>
              </w:rPr>
              <w:t>13,560,000.00</w:t>
            </w:r>
          </w:p>
        </w:tc>
        <w:tc>
          <w:tcPr>
            <w:tcW w:w="1661" w:type="dxa"/>
            <w:vAlign w:val="center"/>
          </w:tcPr>
          <w:p w14:paraId="1DBF12CB">
            <w:pPr>
              <w:jc w:val="right"/>
            </w:pPr>
            <w:r>
              <w:rPr>
                <w:rFonts w:hint="eastAsia"/>
              </w:rPr>
              <w:t>100.00%</w:t>
            </w:r>
          </w:p>
        </w:tc>
      </w:tr>
    </w:tbl>
    <w:p w14:paraId="731445BA">
      <w:pPr>
        <w:pStyle w:val="36"/>
      </w:pPr>
      <w:bookmarkStart w:id="113" w:name="_Toc113"/>
      <w:r>
        <w:t>基金交易</w:t>
      </w:r>
      <w:bookmarkEnd w:id="113"/>
    </w:p>
    <w:p w14:paraId="5CE724A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FF5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54A1AED7">
            <w:pPr>
              <w:jc w:val="center"/>
            </w:pPr>
            <w:r>
              <w:rPr>
                <w:rFonts w:hint="eastAsia"/>
                <w:b/>
              </w:rPr>
              <w:t>关联方名称</w:t>
            </w:r>
          </w:p>
        </w:tc>
        <w:tc>
          <w:tcPr>
            <w:tcW w:w="1661" w:type="dxa"/>
            <w:gridSpan w:val="2"/>
            <w:shd w:val="clear" w:color="auto" w:fill="BFBFBF"/>
            <w:vAlign w:val="center"/>
          </w:tcPr>
          <w:p w14:paraId="4F2573BA">
            <w:pPr>
              <w:jc w:val="center"/>
            </w:pPr>
            <w:r>
              <w:rPr>
                <w:rFonts w:hint="eastAsia"/>
                <w:b/>
              </w:rPr>
              <w:t>本期2025年1月1日至2025年12月31日</w:t>
            </w:r>
          </w:p>
        </w:tc>
        <w:tc>
          <w:tcPr>
            <w:tcW w:w="1661" w:type="dxa"/>
            <w:gridSpan w:val="2"/>
            <w:shd w:val="clear" w:color="auto" w:fill="BFBFBF"/>
            <w:vAlign w:val="center"/>
          </w:tcPr>
          <w:p w14:paraId="27D4F1DA">
            <w:pPr>
              <w:jc w:val="center"/>
            </w:pPr>
            <w:r>
              <w:rPr>
                <w:rFonts w:hint="eastAsia"/>
                <w:b/>
              </w:rPr>
              <w:t>上年度可比期间2024年5月21日（基金合同生效日）至2024年12月31日</w:t>
            </w:r>
          </w:p>
        </w:tc>
      </w:tr>
      <w:tr w14:paraId="2B959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992954A"/>
        </w:tc>
        <w:tc>
          <w:tcPr>
            <w:tcW w:w="1661" w:type="dxa"/>
            <w:shd w:val="clear" w:color="auto" w:fill="BFBFBF"/>
            <w:vAlign w:val="center"/>
          </w:tcPr>
          <w:p w14:paraId="7C2F2CBF">
            <w:pPr>
              <w:jc w:val="center"/>
            </w:pPr>
            <w:r>
              <w:rPr>
                <w:rFonts w:hint="eastAsia"/>
                <w:b/>
              </w:rPr>
              <w:t>成交金额</w:t>
            </w:r>
          </w:p>
        </w:tc>
        <w:tc>
          <w:tcPr>
            <w:tcW w:w="1661" w:type="dxa"/>
            <w:shd w:val="clear" w:color="auto" w:fill="BFBFBF"/>
            <w:vAlign w:val="center"/>
          </w:tcPr>
          <w:p w14:paraId="0F4AF159">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39DFF195">
            <w:pPr>
              <w:jc w:val="center"/>
              <w:rPr>
                <w:rFonts w:hint="eastAsia"/>
                <w:b/>
              </w:rPr>
            </w:pPr>
            <w:r>
              <w:rPr>
                <w:rFonts w:hint="eastAsia"/>
                <w:b/>
              </w:rPr>
              <w:t>成交金额</w:t>
            </w:r>
          </w:p>
        </w:tc>
        <w:tc>
          <w:tcPr>
            <w:tcW w:w="1661" w:type="dxa"/>
            <w:shd w:val="clear" w:color="auto" w:fill="BFBFBF"/>
            <w:vAlign w:val="center"/>
          </w:tcPr>
          <w:p w14:paraId="40AE4752">
            <w:pPr>
              <w:jc w:val="center"/>
              <w:rPr>
                <w:rFonts w:hint="eastAsia"/>
                <w:b/>
              </w:rPr>
            </w:pPr>
            <w:r>
              <w:rPr>
                <w:rFonts w:hint="eastAsia"/>
                <w:b/>
              </w:rPr>
              <w:t>占当期基金
</w:t>
            </w:r>
            <w:r>
              <w:rPr>
                <w:rFonts w:hint="eastAsia"/>
                <w:b/>
              </w:rPr>
              <w:br w:type="textWrapping"/>
            </w:r>
            <w:r>
              <w:rPr>
                <w:rFonts w:hint="eastAsia"/>
                <w:b/>
              </w:rPr>
              <w:t>成交总额的比例</w:t>
            </w:r>
          </w:p>
        </w:tc>
      </w:tr>
      <w:tr w14:paraId="1105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219609">
            <w:r>
              <w:rPr>
                <w:rFonts w:hint="eastAsia"/>
              </w:rPr>
              <w:t>华泰证券</w:t>
            </w:r>
          </w:p>
        </w:tc>
        <w:tc>
          <w:tcPr>
            <w:tcW w:w="1661" w:type="dxa"/>
            <w:vAlign w:val="center"/>
          </w:tcPr>
          <w:p w14:paraId="626E168A">
            <w:pPr>
              <w:jc w:val="right"/>
            </w:pPr>
            <w:r>
              <w:rPr>
                <w:rFonts w:hint="eastAsia"/>
              </w:rPr>
              <w:t>268,949,780.75</w:t>
            </w:r>
          </w:p>
        </w:tc>
        <w:tc>
          <w:tcPr>
            <w:tcW w:w="1661" w:type="dxa"/>
            <w:vAlign w:val="center"/>
          </w:tcPr>
          <w:p w14:paraId="6C58948C">
            <w:pPr>
              <w:jc w:val="right"/>
            </w:pPr>
            <w:r>
              <w:rPr>
                <w:rFonts w:hint="eastAsia"/>
              </w:rPr>
              <w:t>100.00%</w:t>
            </w:r>
          </w:p>
        </w:tc>
        <w:tc>
          <w:tcPr>
            <w:tcW w:w="1661" w:type="dxa"/>
            <w:vAlign w:val="center"/>
          </w:tcPr>
          <w:p w14:paraId="448F6066">
            <w:pPr>
              <w:jc w:val="right"/>
            </w:pPr>
            <w:r>
              <w:rPr>
                <w:rFonts w:hint="eastAsia"/>
              </w:rPr>
              <w:t>84,808,716.50</w:t>
            </w:r>
          </w:p>
        </w:tc>
        <w:tc>
          <w:tcPr>
            <w:tcW w:w="1661" w:type="dxa"/>
            <w:vAlign w:val="center"/>
          </w:tcPr>
          <w:p w14:paraId="62FCC7F9">
            <w:pPr>
              <w:jc w:val="right"/>
            </w:pPr>
            <w:r>
              <w:rPr>
                <w:rFonts w:hint="eastAsia"/>
              </w:rPr>
              <w:t>100.00%</w:t>
            </w:r>
          </w:p>
        </w:tc>
      </w:tr>
    </w:tbl>
    <w:p w14:paraId="5E0AC8FA">
      <w:pPr>
        <w:pStyle w:val="36"/>
      </w:pPr>
      <w:bookmarkStart w:id="114" w:name="_Toc114"/>
      <w:r>
        <w:t>权证交易</w:t>
      </w:r>
      <w:bookmarkEnd w:id="114"/>
    </w:p>
    <w:p w14:paraId="1DB9FF4E">
      <w:pPr>
        <w:pStyle w:val="18"/>
        <w:rPr>
          <w:rFonts w:hint="eastAsia"/>
        </w:rPr>
      </w:pPr>
      <w:r>
        <w:rPr>
          <w:rFonts w:hint="eastAsia"/>
        </w:rPr>
        <w:t>无。</w:t>
      </w:r>
    </w:p>
    <w:p w14:paraId="62F90C57">
      <w:pPr>
        <w:pStyle w:val="36"/>
      </w:pPr>
      <w:bookmarkStart w:id="115" w:name="_Toc115"/>
      <w:r>
        <w:t>应支付关联方的佣金</w:t>
      </w:r>
      <w:bookmarkEnd w:id="115"/>
    </w:p>
    <w:p w14:paraId="5B074D4D">
      <w:pPr>
        <w:pStyle w:val="18"/>
        <w:rPr>
          <w:rFonts w:hint="eastAsia"/>
        </w:rPr>
      </w:pPr>
      <w:r>
        <w:rPr>
          <w:rFonts w:hint="eastAsia"/>
        </w:rPr>
        <w:t>无。</w:t>
      </w:r>
    </w:p>
    <w:p w14:paraId="66FFE171">
      <w:pPr>
        <w:pStyle w:val="35"/>
      </w:pPr>
      <w:bookmarkStart w:id="116" w:name="_Toc116"/>
      <w:r>
        <w:t>关联方报酬</w:t>
      </w:r>
      <w:bookmarkEnd w:id="116"/>
    </w:p>
    <w:p w14:paraId="5C440B02">
      <w:pPr>
        <w:pStyle w:val="36"/>
      </w:pPr>
      <w:bookmarkStart w:id="117" w:name="_Toc117"/>
      <w:r>
        <w:t>基金管理费</w:t>
      </w:r>
      <w:bookmarkEnd w:id="117"/>
    </w:p>
    <w:p w14:paraId="03EEE3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53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2B97ACE9">
            <w:pPr>
              <w:jc w:val="center"/>
            </w:pPr>
            <w:r>
              <w:rPr>
                <w:rFonts w:hint="eastAsia"/>
                <w:b/>
              </w:rPr>
              <w:t>项目</w:t>
            </w:r>
          </w:p>
        </w:tc>
        <w:tc>
          <w:tcPr>
            <w:tcW w:w="2768" w:type="dxa"/>
            <w:shd w:val="clear" w:color="auto" w:fill="BFBFBF"/>
            <w:vAlign w:val="center"/>
          </w:tcPr>
          <w:p w14:paraId="348831FB">
            <w:pPr>
              <w:jc w:val="center"/>
            </w:pPr>
            <w:r>
              <w:rPr>
                <w:rFonts w:hint="eastAsia"/>
                <w:b/>
              </w:rPr>
              <w:t>本期2025年1月1日至2025年12月31日</w:t>
            </w:r>
          </w:p>
        </w:tc>
        <w:tc>
          <w:tcPr>
            <w:tcW w:w="2768" w:type="dxa"/>
            <w:shd w:val="clear" w:color="auto" w:fill="BFBFBF"/>
            <w:vAlign w:val="center"/>
          </w:tcPr>
          <w:p w14:paraId="60F43E79">
            <w:pPr>
              <w:jc w:val="center"/>
            </w:pPr>
            <w:r>
              <w:rPr>
                <w:rFonts w:hint="eastAsia"/>
                <w:b/>
              </w:rPr>
              <w:t>上年度可比期间2024年5月21日（基金合同生效日）至2024年12月31日</w:t>
            </w:r>
          </w:p>
        </w:tc>
      </w:tr>
      <w:tr w14:paraId="1A304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0949FE">
            <w:r>
              <w:rPr>
                <w:rFonts w:hint="eastAsia"/>
              </w:rPr>
              <w:t>当期发生的基金应支付的管理费</w:t>
            </w:r>
          </w:p>
        </w:tc>
        <w:tc>
          <w:tcPr>
            <w:tcW w:w="2768" w:type="dxa"/>
            <w:vAlign w:val="center"/>
          </w:tcPr>
          <w:p w14:paraId="21A32FAC">
            <w:pPr>
              <w:jc w:val="right"/>
            </w:pPr>
            <w:r>
              <w:rPr>
                <w:rFonts w:hint="eastAsia"/>
              </w:rPr>
              <w:t>14,215.54</w:t>
            </w:r>
          </w:p>
        </w:tc>
        <w:tc>
          <w:tcPr>
            <w:tcW w:w="2768" w:type="dxa"/>
            <w:vAlign w:val="center"/>
          </w:tcPr>
          <w:p w14:paraId="41CA357C">
            <w:pPr>
              <w:jc w:val="right"/>
            </w:pPr>
            <w:r>
              <w:rPr>
                <w:rFonts w:hint="eastAsia"/>
              </w:rPr>
              <w:t>11,423.27</w:t>
            </w:r>
          </w:p>
        </w:tc>
      </w:tr>
      <w:tr w14:paraId="1BE2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9656E7">
            <w:r>
              <w:rPr>
                <w:rFonts w:hint="eastAsia"/>
              </w:rPr>
              <w:t>其中：应支付销售机构的客户维护费</w:t>
            </w:r>
          </w:p>
        </w:tc>
        <w:tc>
          <w:tcPr>
            <w:tcW w:w="2768" w:type="dxa"/>
            <w:vAlign w:val="center"/>
          </w:tcPr>
          <w:p w14:paraId="0128C0EB">
            <w:pPr>
              <w:jc w:val="right"/>
            </w:pPr>
            <w:r>
              <w:rPr>
                <w:rFonts w:hint="eastAsia"/>
              </w:rPr>
              <w:t>74,673.73</w:t>
            </w:r>
          </w:p>
        </w:tc>
        <w:tc>
          <w:tcPr>
            <w:tcW w:w="2768" w:type="dxa"/>
            <w:vAlign w:val="center"/>
          </w:tcPr>
          <w:p w14:paraId="12E906F0">
            <w:pPr>
              <w:jc w:val="right"/>
            </w:pPr>
            <w:r>
              <w:rPr>
                <w:rFonts w:hint="eastAsia"/>
              </w:rPr>
              <w:t>15,502.11</w:t>
            </w:r>
          </w:p>
        </w:tc>
      </w:tr>
      <w:tr w14:paraId="67B3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F22EF3">
            <w:r>
              <w:rPr>
                <w:rFonts w:hint="eastAsia"/>
              </w:rPr>
              <w:t xml:space="preserve">      应支付基金管理人的净管理费</w:t>
            </w:r>
          </w:p>
        </w:tc>
        <w:tc>
          <w:tcPr>
            <w:tcW w:w="2768" w:type="dxa"/>
            <w:vAlign w:val="center"/>
          </w:tcPr>
          <w:p w14:paraId="5982505E">
            <w:pPr>
              <w:jc w:val="right"/>
            </w:pPr>
            <w:r>
              <w:rPr>
                <w:rFonts w:hint="eastAsia"/>
              </w:rPr>
              <w:t>-60,458.19</w:t>
            </w:r>
          </w:p>
        </w:tc>
        <w:tc>
          <w:tcPr>
            <w:tcW w:w="2768" w:type="dxa"/>
            <w:vAlign w:val="center"/>
          </w:tcPr>
          <w:p w14:paraId="7282BEC8">
            <w:pPr>
              <w:jc w:val="right"/>
            </w:pPr>
            <w:r>
              <w:rPr>
                <w:rFonts w:hint="eastAsia"/>
              </w:rPr>
              <w:t>-4,078.84</w:t>
            </w:r>
          </w:p>
        </w:tc>
      </w:tr>
    </w:tbl>
    <w:p w14:paraId="1B01A0C3">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w:t>
      </w:r>
    </w:p>
    <w:p w14:paraId="0434DD13">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0.20%的年费率计提，逐日累计至每月月底，按月支付。其计算公式为：</w:t>
      </w:r>
    </w:p>
    <w:p w14:paraId="2940550C">
      <w:pPr>
        <w:pStyle w:val="47"/>
        <w:rPr>
          <w:rFonts w:hint="eastAsia"/>
        </w:rPr>
      </w:pPr>
      <w:r>
        <w:tab/>
      </w:r>
      <w:r>
        <w:rPr>
          <w:rFonts w:hint="eastAsia"/>
        </w:rPr>
        <w:t>日管理人报酬＝(前一日基金资产净值-前一日所持有目标ETF基金份额部分的基金资产)×0.20%÷当年天数。</w:t>
      </w:r>
    </w:p>
    <w:p w14:paraId="56A57B82">
      <w:pPr>
        <w:pStyle w:val="36"/>
      </w:pPr>
      <w:bookmarkStart w:id="118" w:name="_Toc118"/>
      <w:r>
        <w:t>基金托管费</w:t>
      </w:r>
      <w:bookmarkEnd w:id="118"/>
    </w:p>
    <w:p w14:paraId="35B742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65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69F79A">
            <w:pPr>
              <w:jc w:val="center"/>
            </w:pPr>
            <w:r>
              <w:rPr>
                <w:rFonts w:hint="eastAsia"/>
                <w:b/>
              </w:rPr>
              <w:t>项目</w:t>
            </w:r>
          </w:p>
        </w:tc>
        <w:tc>
          <w:tcPr>
            <w:tcW w:w="2768" w:type="dxa"/>
            <w:shd w:val="clear" w:color="auto" w:fill="BFBFBF"/>
            <w:vAlign w:val="center"/>
          </w:tcPr>
          <w:p w14:paraId="3B257B7C">
            <w:pPr>
              <w:jc w:val="center"/>
            </w:pPr>
            <w:r>
              <w:rPr>
                <w:rFonts w:hint="eastAsia"/>
                <w:b/>
              </w:rPr>
              <w:t>本期2025年1月1日至2025年12月31日</w:t>
            </w:r>
          </w:p>
        </w:tc>
        <w:tc>
          <w:tcPr>
            <w:tcW w:w="2768" w:type="dxa"/>
            <w:shd w:val="clear" w:color="auto" w:fill="BFBFBF"/>
            <w:vAlign w:val="center"/>
          </w:tcPr>
          <w:p w14:paraId="2A76EF3D">
            <w:pPr>
              <w:jc w:val="center"/>
            </w:pPr>
            <w:r>
              <w:rPr>
                <w:rFonts w:hint="eastAsia"/>
                <w:b/>
              </w:rPr>
              <w:t>上年度可比期间2024年5月21日（基金合同生效日）至2024年12月31日</w:t>
            </w:r>
          </w:p>
        </w:tc>
      </w:tr>
      <w:tr w14:paraId="1E2F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4E5159">
            <w:r>
              <w:rPr>
                <w:rFonts w:hint="eastAsia"/>
              </w:rPr>
              <w:t>当期发生的基金应支付的托管费</w:t>
            </w:r>
          </w:p>
        </w:tc>
        <w:tc>
          <w:tcPr>
            <w:tcW w:w="2768" w:type="dxa"/>
            <w:vAlign w:val="center"/>
          </w:tcPr>
          <w:p w14:paraId="77F7F9BA">
            <w:pPr>
              <w:jc w:val="right"/>
            </w:pPr>
            <w:r>
              <w:rPr>
                <w:rFonts w:hint="eastAsia"/>
              </w:rPr>
              <w:t>3,553.88</w:t>
            </w:r>
          </w:p>
        </w:tc>
        <w:tc>
          <w:tcPr>
            <w:tcW w:w="2768" w:type="dxa"/>
            <w:vAlign w:val="center"/>
          </w:tcPr>
          <w:p w14:paraId="0DA8A675">
            <w:pPr>
              <w:jc w:val="right"/>
            </w:pPr>
            <w:r>
              <w:rPr>
                <w:rFonts w:hint="eastAsia"/>
              </w:rPr>
              <w:t>2,855.89</w:t>
            </w:r>
          </w:p>
        </w:tc>
      </w:tr>
    </w:tbl>
    <w:p w14:paraId="7B0ECEA6">
      <w:pPr>
        <w:pStyle w:val="47"/>
        <w:rPr>
          <w:rFonts w:hint="eastAsia"/>
        </w:rPr>
      </w:pPr>
      <w:r>
        <w:rPr>
          <w:rFonts w:hint="eastAsia"/>
        </w:rPr>
        <w:t>注：本基金基金财产中投资于目标ETF的部分不收取托管费，支付基金托管人的托管费按前一日基金资产净值扣除本基金持有的目标ETF基金份额部分的基金资产后的余额（若为负数，则取零）的0.05%的年费率计提，逐日累计至每月月底，按月支付。其计算公式为：</w:t>
      </w:r>
    </w:p>
    <w:p w14:paraId="0FC787A1">
      <w:pPr>
        <w:pStyle w:val="47"/>
        <w:rPr>
          <w:rFonts w:hint="eastAsia"/>
        </w:rPr>
      </w:pPr>
      <w:r>
        <w:tab/>
      </w:r>
      <w:r>
        <w:rPr>
          <w:rFonts w:hint="eastAsia"/>
        </w:rPr>
        <w:t>日托管费＝(前一日基金资产净值-前一日所持有目标ETF基金份额部分的基金资产)×0.05%÷当年天数。</w:t>
      </w:r>
    </w:p>
    <w:p w14:paraId="4F723C10">
      <w:pPr>
        <w:pStyle w:val="36"/>
      </w:pPr>
      <w:bookmarkStart w:id="119" w:name="_Toc119"/>
      <w:r>
        <w:t>销售服务费</w:t>
      </w:r>
      <w:bookmarkEnd w:id="119"/>
    </w:p>
    <w:p w14:paraId="283BB31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16E7E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3561C85">
            <w:r>
              <w:rPr>
                <w:rFonts w:hint="eastAsia"/>
              </w:rPr>
              <w:t>获得销售服务费的各关联方名称</w:t>
            </w:r>
          </w:p>
        </w:tc>
        <w:tc>
          <w:tcPr>
            <w:tcW w:w="2214" w:type="dxa"/>
            <w:gridSpan w:val="3"/>
            <w:vAlign w:val="center"/>
          </w:tcPr>
          <w:p w14:paraId="40FF7638">
            <w:r>
              <w:rPr>
                <w:rFonts w:hint="eastAsia"/>
              </w:rPr>
              <w:t>本期2025年1月1日至2025年12月31日</w:t>
            </w:r>
          </w:p>
        </w:tc>
      </w:tr>
      <w:tr w14:paraId="3AF8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AA95BAC"/>
        </w:tc>
        <w:tc>
          <w:tcPr>
            <w:tcW w:w="2214" w:type="dxa"/>
            <w:gridSpan w:val="3"/>
            <w:vAlign w:val="center"/>
          </w:tcPr>
          <w:p w14:paraId="3A6A44AD">
            <w:r>
              <w:rPr>
                <w:rFonts w:hint="eastAsia"/>
              </w:rPr>
              <w:t>当期发生的基金应支付的销售服务费</w:t>
            </w:r>
          </w:p>
        </w:tc>
      </w:tr>
      <w:tr w14:paraId="05035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2704DD2"/>
        </w:tc>
        <w:tc>
          <w:tcPr>
            <w:tcW w:w="2214" w:type="dxa"/>
            <w:vAlign w:val="center"/>
          </w:tcPr>
          <w:p w14:paraId="7805BCB1">
            <w:r>
              <w:rPr>
                <w:rFonts w:hint="eastAsia"/>
              </w:rPr>
              <w:t>南方富时亚太低碳精选ETF发起联接（QDII）A</w:t>
            </w:r>
          </w:p>
        </w:tc>
        <w:tc>
          <w:tcPr>
            <w:tcW w:w="2214" w:type="dxa"/>
            <w:vAlign w:val="center"/>
          </w:tcPr>
          <w:p w14:paraId="19DFAAC9">
            <w:r>
              <w:rPr>
                <w:rFonts w:hint="eastAsia"/>
              </w:rPr>
              <w:t>南方富时亚太低碳精选ETF发起联接（QDII）C</w:t>
            </w:r>
          </w:p>
        </w:tc>
        <w:tc>
          <w:tcPr>
            <w:tcW w:w="1938" w:type="dxa"/>
            <w:vAlign w:val="center"/>
          </w:tcPr>
          <w:p w14:paraId="2DE9F0F1">
            <w:r>
              <w:rPr>
                <w:rFonts w:hint="eastAsia"/>
              </w:rPr>
              <w:t>合计</w:t>
            </w:r>
          </w:p>
        </w:tc>
      </w:tr>
      <w:tr w14:paraId="36F9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9626DCD">
            <w:r>
              <w:rPr>
                <w:rFonts w:hint="eastAsia"/>
              </w:rPr>
              <w:t>南方基金</w:t>
            </w:r>
          </w:p>
        </w:tc>
        <w:tc>
          <w:tcPr>
            <w:tcW w:w="2214" w:type="dxa"/>
            <w:vAlign w:val="center"/>
          </w:tcPr>
          <w:p w14:paraId="6ADF4760">
            <w:pPr>
              <w:jc w:val="right"/>
            </w:pPr>
            <w:r>
              <w:rPr>
                <w:rFonts w:hint="eastAsia"/>
              </w:rPr>
              <w:t>-</w:t>
            </w:r>
          </w:p>
        </w:tc>
        <w:tc>
          <w:tcPr>
            <w:tcW w:w="2214" w:type="dxa"/>
            <w:vAlign w:val="center"/>
          </w:tcPr>
          <w:p w14:paraId="5626FFC7">
            <w:pPr>
              <w:jc w:val="right"/>
            </w:pPr>
            <w:r>
              <w:rPr>
                <w:rFonts w:hint="eastAsia"/>
              </w:rPr>
              <w:t>750.91</w:t>
            </w:r>
          </w:p>
        </w:tc>
        <w:tc>
          <w:tcPr>
            <w:tcW w:w="1938" w:type="dxa"/>
            <w:vAlign w:val="center"/>
          </w:tcPr>
          <w:p w14:paraId="0A8EBA3A">
            <w:pPr>
              <w:jc w:val="right"/>
            </w:pPr>
            <w:r>
              <w:rPr>
                <w:rFonts w:hint="eastAsia"/>
              </w:rPr>
              <w:t>750.91</w:t>
            </w:r>
          </w:p>
        </w:tc>
      </w:tr>
      <w:tr w14:paraId="549F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F8D25E0">
            <w:r>
              <w:rPr>
                <w:rFonts w:hint="eastAsia"/>
              </w:rPr>
              <w:t>招商银行</w:t>
            </w:r>
          </w:p>
        </w:tc>
        <w:tc>
          <w:tcPr>
            <w:tcW w:w="2214" w:type="dxa"/>
            <w:vAlign w:val="center"/>
          </w:tcPr>
          <w:p w14:paraId="0EC063C6">
            <w:pPr>
              <w:jc w:val="right"/>
            </w:pPr>
            <w:r>
              <w:rPr>
                <w:rFonts w:hint="eastAsia"/>
              </w:rPr>
              <w:t>-</w:t>
            </w:r>
          </w:p>
        </w:tc>
        <w:tc>
          <w:tcPr>
            <w:tcW w:w="2214" w:type="dxa"/>
            <w:vAlign w:val="center"/>
          </w:tcPr>
          <w:p w14:paraId="742B1E29">
            <w:pPr>
              <w:jc w:val="right"/>
            </w:pPr>
            <w:r>
              <w:rPr>
                <w:rFonts w:hint="eastAsia"/>
              </w:rPr>
              <w:t>7,049.69</w:t>
            </w:r>
          </w:p>
        </w:tc>
        <w:tc>
          <w:tcPr>
            <w:tcW w:w="1938" w:type="dxa"/>
            <w:vAlign w:val="center"/>
          </w:tcPr>
          <w:p w14:paraId="6A8DA29D">
            <w:pPr>
              <w:jc w:val="right"/>
            </w:pPr>
            <w:r>
              <w:rPr>
                <w:rFonts w:hint="eastAsia"/>
              </w:rPr>
              <w:t>7,049.69</w:t>
            </w:r>
          </w:p>
        </w:tc>
      </w:tr>
      <w:tr w14:paraId="52FF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8638551">
            <w:r>
              <w:rPr>
                <w:rFonts w:hint="eastAsia"/>
              </w:rPr>
              <w:t>合计</w:t>
            </w:r>
          </w:p>
        </w:tc>
        <w:tc>
          <w:tcPr>
            <w:tcW w:w="2214" w:type="dxa"/>
            <w:vAlign w:val="center"/>
          </w:tcPr>
          <w:p w14:paraId="25CB3A29">
            <w:pPr>
              <w:jc w:val="right"/>
            </w:pPr>
            <w:r>
              <w:rPr>
                <w:rFonts w:hint="eastAsia"/>
              </w:rPr>
              <w:t>-</w:t>
            </w:r>
          </w:p>
        </w:tc>
        <w:tc>
          <w:tcPr>
            <w:tcW w:w="2214" w:type="dxa"/>
            <w:vAlign w:val="center"/>
          </w:tcPr>
          <w:p w14:paraId="31B40747">
            <w:pPr>
              <w:jc w:val="right"/>
            </w:pPr>
            <w:r>
              <w:rPr>
                <w:rFonts w:hint="eastAsia"/>
              </w:rPr>
              <w:t>7,800.60</w:t>
            </w:r>
          </w:p>
        </w:tc>
        <w:tc>
          <w:tcPr>
            <w:tcW w:w="1938" w:type="dxa"/>
            <w:vAlign w:val="center"/>
          </w:tcPr>
          <w:p w14:paraId="25B94FA2">
            <w:pPr>
              <w:jc w:val="right"/>
            </w:pPr>
            <w:r>
              <w:rPr>
                <w:rFonts w:hint="eastAsia"/>
              </w:rPr>
              <w:t>7,800.60</w:t>
            </w:r>
          </w:p>
        </w:tc>
      </w:tr>
      <w:tr w14:paraId="65E73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3566790">
            <w:r>
              <w:rPr>
                <w:rFonts w:hint="eastAsia"/>
              </w:rPr>
              <w:t>获得销售服务费的各关联方名称</w:t>
            </w:r>
          </w:p>
        </w:tc>
        <w:tc>
          <w:tcPr>
            <w:tcW w:w="2214" w:type="dxa"/>
            <w:gridSpan w:val="3"/>
            <w:vAlign w:val="center"/>
          </w:tcPr>
          <w:p w14:paraId="7ECA6427">
            <w:r>
              <w:rPr>
                <w:rFonts w:hint="eastAsia"/>
              </w:rPr>
              <w:t>上年度可比期间2024年5月21日(基金合同生效日)至2024年12月31日</w:t>
            </w:r>
          </w:p>
        </w:tc>
      </w:tr>
      <w:tr w14:paraId="753A6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AA8B835"/>
        </w:tc>
        <w:tc>
          <w:tcPr>
            <w:tcW w:w="2214" w:type="dxa"/>
            <w:gridSpan w:val="3"/>
            <w:vAlign w:val="center"/>
          </w:tcPr>
          <w:p w14:paraId="397CE7BE">
            <w:r>
              <w:rPr>
                <w:rFonts w:hint="eastAsia"/>
              </w:rPr>
              <w:t>当期发生的基金应支付的销售服务费</w:t>
            </w:r>
          </w:p>
        </w:tc>
      </w:tr>
      <w:tr w14:paraId="58B4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E9A53C3"/>
        </w:tc>
        <w:tc>
          <w:tcPr>
            <w:tcW w:w="2214" w:type="dxa"/>
            <w:vAlign w:val="center"/>
          </w:tcPr>
          <w:p w14:paraId="30C5F197">
            <w:r>
              <w:rPr>
                <w:rFonts w:hint="eastAsia"/>
              </w:rPr>
              <w:t>南方富时亚太低碳精选ETF发起联接（QDII）A</w:t>
            </w:r>
          </w:p>
        </w:tc>
        <w:tc>
          <w:tcPr>
            <w:tcW w:w="2214" w:type="dxa"/>
            <w:vAlign w:val="center"/>
          </w:tcPr>
          <w:p w14:paraId="4E74596F">
            <w:r>
              <w:rPr>
                <w:rFonts w:hint="eastAsia"/>
              </w:rPr>
              <w:t>南方富时亚太低碳精选ETF发起联接（QDII）C</w:t>
            </w:r>
          </w:p>
        </w:tc>
        <w:tc>
          <w:tcPr>
            <w:tcW w:w="1938" w:type="dxa"/>
            <w:vAlign w:val="center"/>
          </w:tcPr>
          <w:p w14:paraId="47DF1024">
            <w:r>
              <w:rPr>
                <w:rFonts w:hint="eastAsia"/>
              </w:rPr>
              <w:t>合计</w:t>
            </w:r>
          </w:p>
        </w:tc>
      </w:tr>
      <w:tr w14:paraId="7FE2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FC776C0">
            <w:r>
              <w:rPr>
                <w:rFonts w:hint="eastAsia"/>
              </w:rPr>
              <w:t>南方基金</w:t>
            </w:r>
          </w:p>
        </w:tc>
        <w:tc>
          <w:tcPr>
            <w:tcW w:w="2214" w:type="dxa"/>
            <w:vAlign w:val="center"/>
          </w:tcPr>
          <w:p w14:paraId="632D161F">
            <w:pPr>
              <w:jc w:val="right"/>
            </w:pPr>
            <w:r>
              <w:rPr>
                <w:rFonts w:hint="eastAsia"/>
              </w:rPr>
              <w:t>-</w:t>
            </w:r>
          </w:p>
        </w:tc>
        <w:tc>
          <w:tcPr>
            <w:tcW w:w="2214" w:type="dxa"/>
            <w:vAlign w:val="center"/>
          </w:tcPr>
          <w:p w14:paraId="1FC16893">
            <w:pPr>
              <w:jc w:val="right"/>
            </w:pPr>
            <w:r>
              <w:rPr>
                <w:rFonts w:hint="eastAsia"/>
              </w:rPr>
              <w:t>195.19</w:t>
            </w:r>
          </w:p>
        </w:tc>
        <w:tc>
          <w:tcPr>
            <w:tcW w:w="1938" w:type="dxa"/>
            <w:vAlign w:val="center"/>
          </w:tcPr>
          <w:p w14:paraId="6C61A56F">
            <w:pPr>
              <w:jc w:val="right"/>
            </w:pPr>
            <w:r>
              <w:rPr>
                <w:rFonts w:hint="eastAsia"/>
              </w:rPr>
              <w:t>195.19</w:t>
            </w:r>
          </w:p>
        </w:tc>
      </w:tr>
      <w:tr w14:paraId="2A35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0EF4DF8">
            <w:r>
              <w:rPr>
                <w:rFonts w:hint="eastAsia"/>
              </w:rPr>
              <w:t>招商银行</w:t>
            </w:r>
          </w:p>
        </w:tc>
        <w:tc>
          <w:tcPr>
            <w:tcW w:w="2214" w:type="dxa"/>
            <w:vAlign w:val="center"/>
          </w:tcPr>
          <w:p w14:paraId="70411DC5">
            <w:pPr>
              <w:jc w:val="right"/>
            </w:pPr>
            <w:r>
              <w:rPr>
                <w:rFonts w:hint="eastAsia"/>
              </w:rPr>
              <w:t>-</w:t>
            </w:r>
          </w:p>
        </w:tc>
        <w:tc>
          <w:tcPr>
            <w:tcW w:w="2214" w:type="dxa"/>
            <w:vAlign w:val="center"/>
          </w:tcPr>
          <w:p w14:paraId="659908D9">
            <w:pPr>
              <w:jc w:val="right"/>
            </w:pPr>
            <w:r>
              <w:rPr>
                <w:rFonts w:hint="eastAsia"/>
              </w:rPr>
              <w:t>1,326.02</w:t>
            </w:r>
          </w:p>
        </w:tc>
        <w:tc>
          <w:tcPr>
            <w:tcW w:w="1938" w:type="dxa"/>
            <w:vAlign w:val="center"/>
          </w:tcPr>
          <w:p w14:paraId="15F9612A">
            <w:pPr>
              <w:jc w:val="right"/>
            </w:pPr>
            <w:r>
              <w:rPr>
                <w:rFonts w:hint="eastAsia"/>
              </w:rPr>
              <w:t>1,326.02</w:t>
            </w:r>
          </w:p>
        </w:tc>
      </w:tr>
      <w:tr w14:paraId="0EC1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CA5A83B">
            <w:r>
              <w:rPr>
                <w:rFonts w:hint="eastAsia"/>
              </w:rPr>
              <w:t>合计</w:t>
            </w:r>
          </w:p>
        </w:tc>
        <w:tc>
          <w:tcPr>
            <w:tcW w:w="2214" w:type="dxa"/>
            <w:vAlign w:val="center"/>
          </w:tcPr>
          <w:p w14:paraId="3C53C0A3">
            <w:pPr>
              <w:jc w:val="right"/>
            </w:pPr>
            <w:r>
              <w:rPr>
                <w:rFonts w:hint="eastAsia"/>
              </w:rPr>
              <w:t>-</w:t>
            </w:r>
          </w:p>
        </w:tc>
        <w:tc>
          <w:tcPr>
            <w:tcW w:w="2214" w:type="dxa"/>
            <w:vAlign w:val="center"/>
          </w:tcPr>
          <w:p w14:paraId="2454BEE3">
            <w:pPr>
              <w:jc w:val="right"/>
            </w:pPr>
            <w:r>
              <w:rPr>
                <w:rFonts w:hint="eastAsia"/>
              </w:rPr>
              <w:t>1,521.21</w:t>
            </w:r>
          </w:p>
        </w:tc>
        <w:tc>
          <w:tcPr>
            <w:tcW w:w="1938" w:type="dxa"/>
            <w:vAlign w:val="center"/>
          </w:tcPr>
          <w:p w14:paraId="2C93F344">
            <w:pPr>
              <w:jc w:val="right"/>
            </w:pPr>
            <w:r>
              <w:rPr>
                <w:rFonts w:hint="eastAsia"/>
              </w:rPr>
              <w:t>1,521.21</w:t>
            </w:r>
          </w:p>
        </w:tc>
      </w:tr>
    </w:tbl>
    <w:p w14:paraId="6101CA26">
      <w:pPr>
        <w:pStyle w:val="47"/>
        <w:rPr>
          <w:rFonts w:hint="eastAsia"/>
        </w:rPr>
      </w:pPr>
      <w:r>
        <w:rPr>
          <w:rFonts w:hint="eastAsia"/>
        </w:rPr>
        <w:t>注：支付基金销售机构的销售服务费按前一日C类基金份额的基金资产净值0.20%的年费率计提，逐日累计至每月月底，按月支付给南方基金，再由南方基金计算并支付给各基金销售机构。其计算公式为：</w:t>
      </w:r>
    </w:p>
    <w:p w14:paraId="43721FE6">
      <w:pPr>
        <w:pStyle w:val="47"/>
        <w:rPr>
          <w:rFonts w:hint="eastAsia"/>
        </w:rPr>
      </w:pPr>
      <w:r>
        <w:tab/>
      </w:r>
      <w:r>
        <w:rPr>
          <w:rFonts w:hint="eastAsia"/>
        </w:rPr>
        <w:t>日销售服务费＝前一日C类基金份额的基金资产净值×0.20%÷当年天数。</w:t>
      </w:r>
    </w:p>
    <w:p w14:paraId="2360AD1C">
      <w:pPr>
        <w:pStyle w:val="35"/>
      </w:pPr>
      <w:bookmarkStart w:id="120" w:name="_Toc120"/>
      <w:r>
        <w:t>与关联方进行银行间同业市场的债券（含回购）交易</w:t>
      </w:r>
      <w:bookmarkEnd w:id="120"/>
    </w:p>
    <w:p w14:paraId="66A53948">
      <w:pPr>
        <w:pStyle w:val="18"/>
        <w:rPr>
          <w:rFonts w:hint="eastAsia"/>
        </w:rPr>
      </w:pPr>
      <w:r>
        <w:rPr>
          <w:rFonts w:hint="eastAsia"/>
        </w:rPr>
        <w:t>无。</w:t>
      </w:r>
    </w:p>
    <w:p w14:paraId="229CDF2A">
      <w:pPr>
        <w:pStyle w:val="35"/>
      </w:pPr>
      <w:bookmarkStart w:id="121" w:name="_Toc121"/>
      <w:r>
        <w:t>报告期内转融通证券出借业务发生重大关联交易事项的说明</w:t>
      </w:r>
      <w:bookmarkEnd w:id="121"/>
    </w:p>
    <w:p w14:paraId="0E6AB827">
      <w:pPr>
        <w:pStyle w:val="36"/>
      </w:pPr>
      <w:bookmarkStart w:id="122" w:name="_Toc122"/>
      <w:r>
        <w:t>与关联方通过约定申报方式进行的适用固定期限费率的证券出借业务的情况</w:t>
      </w:r>
      <w:bookmarkEnd w:id="122"/>
    </w:p>
    <w:p w14:paraId="449B050A">
      <w:pPr>
        <w:pStyle w:val="18"/>
        <w:rPr>
          <w:rFonts w:hint="eastAsia"/>
        </w:rPr>
      </w:pPr>
      <w:r>
        <w:rPr>
          <w:rFonts w:hint="eastAsia"/>
        </w:rPr>
        <w:t>无。</w:t>
      </w:r>
    </w:p>
    <w:p w14:paraId="0E57DF56">
      <w:pPr>
        <w:pStyle w:val="36"/>
      </w:pPr>
      <w:bookmarkStart w:id="123" w:name="_Toc123"/>
      <w:r>
        <w:t>与关联方通过约定申报方式进行的适用市场化期限费率的证券出借业务的情况</w:t>
      </w:r>
      <w:bookmarkEnd w:id="123"/>
    </w:p>
    <w:p w14:paraId="5FFBD382">
      <w:pPr>
        <w:pStyle w:val="18"/>
        <w:rPr>
          <w:rFonts w:hint="eastAsia"/>
        </w:rPr>
      </w:pPr>
      <w:r>
        <w:rPr>
          <w:rFonts w:hint="eastAsia"/>
        </w:rPr>
        <w:t>无。</w:t>
      </w:r>
    </w:p>
    <w:p w14:paraId="19021261">
      <w:pPr>
        <w:pStyle w:val="35"/>
      </w:pPr>
      <w:bookmarkStart w:id="124" w:name="_Toc124"/>
      <w:r>
        <w:t>各关联方投资本基金的情况</w:t>
      </w:r>
      <w:bookmarkEnd w:id="124"/>
    </w:p>
    <w:p w14:paraId="58814B75">
      <w:pPr>
        <w:pStyle w:val="36"/>
      </w:pPr>
      <w:bookmarkStart w:id="125" w:name="_Toc125"/>
      <w:r>
        <w:t>报告期内基金管理人运用固有资金投资本基金的情况</w:t>
      </w:r>
      <w:bookmarkEnd w:id="125"/>
    </w:p>
    <w:p w14:paraId="4C5AE2C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808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E86E30D">
            <w:pPr>
              <w:jc w:val="center"/>
            </w:pPr>
            <w:r>
              <w:rPr>
                <w:rFonts w:hint="eastAsia"/>
                <w:b/>
              </w:rPr>
              <w:t>项目</w:t>
            </w:r>
          </w:p>
        </w:tc>
        <w:tc>
          <w:tcPr>
            <w:tcW w:w="2768" w:type="dxa"/>
            <w:gridSpan w:val="2"/>
            <w:shd w:val="clear" w:color="auto" w:fill="BFBFBF"/>
            <w:vAlign w:val="center"/>
          </w:tcPr>
          <w:p w14:paraId="13E0FF96">
            <w:pPr>
              <w:jc w:val="center"/>
            </w:pPr>
            <w:r>
              <w:rPr>
                <w:rFonts w:hint="eastAsia"/>
                <w:b/>
              </w:rPr>
              <w:t>本期2025年1月1日至2025年12月31日</w:t>
            </w:r>
          </w:p>
        </w:tc>
      </w:tr>
      <w:tr w14:paraId="5BFE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44AFB48"/>
        </w:tc>
        <w:tc>
          <w:tcPr>
            <w:tcW w:w="2768" w:type="dxa"/>
            <w:shd w:val="clear" w:color="auto" w:fill="BFBFBF"/>
            <w:vAlign w:val="center"/>
          </w:tcPr>
          <w:p w14:paraId="40808179">
            <w:pPr>
              <w:jc w:val="center"/>
            </w:pPr>
            <w:r>
              <w:rPr>
                <w:rFonts w:hint="eastAsia"/>
                <w:b/>
              </w:rPr>
              <w:t>南方富时亚太低碳精选ETF发起联接（QDII）A</w:t>
            </w:r>
          </w:p>
        </w:tc>
        <w:tc>
          <w:tcPr>
            <w:tcW w:w="2768" w:type="dxa"/>
            <w:shd w:val="clear" w:color="auto" w:fill="BFBFBF"/>
            <w:vAlign w:val="center"/>
          </w:tcPr>
          <w:p w14:paraId="1B8D8BB8">
            <w:pPr>
              <w:jc w:val="center"/>
            </w:pPr>
            <w:r>
              <w:rPr>
                <w:rFonts w:hint="eastAsia"/>
                <w:b/>
              </w:rPr>
              <w:t>南方富时亚太低碳精选ETF发起联接（QDII）C</w:t>
            </w:r>
          </w:p>
        </w:tc>
      </w:tr>
      <w:tr w14:paraId="0C5CF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31C90">
            <w:r>
              <w:rPr>
                <w:rFonts w:hint="eastAsia"/>
              </w:rPr>
              <w:t>基金合同生效日（2024年5月21日）持有的基金份额</w:t>
            </w:r>
          </w:p>
        </w:tc>
        <w:tc>
          <w:tcPr>
            <w:tcW w:w="2768" w:type="dxa"/>
            <w:vAlign w:val="center"/>
          </w:tcPr>
          <w:p w14:paraId="7C3BF112">
            <w:pPr>
              <w:jc w:val="right"/>
            </w:pPr>
            <w:r>
              <w:rPr>
                <w:rFonts w:hint="eastAsia"/>
              </w:rPr>
              <w:t>-</w:t>
            </w:r>
          </w:p>
        </w:tc>
        <w:tc>
          <w:tcPr>
            <w:tcW w:w="2768" w:type="dxa"/>
            <w:vAlign w:val="center"/>
          </w:tcPr>
          <w:p w14:paraId="3C7FFFD3">
            <w:pPr>
              <w:jc w:val="right"/>
            </w:pPr>
            <w:r>
              <w:rPr>
                <w:rFonts w:hint="eastAsia"/>
              </w:rPr>
              <w:t>-</w:t>
            </w:r>
          </w:p>
        </w:tc>
      </w:tr>
      <w:tr w14:paraId="446AC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5FF6D0">
            <w:r>
              <w:rPr>
                <w:rFonts w:hint="eastAsia"/>
              </w:rPr>
              <w:t>报告期初持有的基金份额</w:t>
            </w:r>
          </w:p>
        </w:tc>
        <w:tc>
          <w:tcPr>
            <w:tcW w:w="2768" w:type="dxa"/>
            <w:vAlign w:val="center"/>
          </w:tcPr>
          <w:p w14:paraId="2B501B37">
            <w:pPr>
              <w:jc w:val="right"/>
            </w:pPr>
            <w:r>
              <w:rPr>
                <w:rFonts w:hint="eastAsia"/>
              </w:rPr>
              <w:t>10,003,222.54</w:t>
            </w:r>
          </w:p>
        </w:tc>
        <w:tc>
          <w:tcPr>
            <w:tcW w:w="2768" w:type="dxa"/>
            <w:vAlign w:val="center"/>
          </w:tcPr>
          <w:p w14:paraId="4CF07C69">
            <w:pPr>
              <w:jc w:val="right"/>
            </w:pPr>
            <w:r>
              <w:rPr>
                <w:rFonts w:hint="eastAsia"/>
              </w:rPr>
              <w:t>-</w:t>
            </w:r>
          </w:p>
        </w:tc>
      </w:tr>
      <w:tr w14:paraId="7BAC9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4CB537">
            <w:r>
              <w:rPr>
                <w:rFonts w:hint="eastAsia"/>
              </w:rPr>
              <w:t>报告期间申购/买入总份额</w:t>
            </w:r>
          </w:p>
        </w:tc>
        <w:tc>
          <w:tcPr>
            <w:tcW w:w="2768" w:type="dxa"/>
            <w:vAlign w:val="center"/>
          </w:tcPr>
          <w:p w14:paraId="5E0EEA11">
            <w:pPr>
              <w:jc w:val="right"/>
            </w:pPr>
            <w:r>
              <w:rPr>
                <w:rFonts w:hint="eastAsia"/>
              </w:rPr>
              <w:t>-</w:t>
            </w:r>
          </w:p>
        </w:tc>
        <w:tc>
          <w:tcPr>
            <w:tcW w:w="2768" w:type="dxa"/>
            <w:vAlign w:val="center"/>
          </w:tcPr>
          <w:p w14:paraId="39F82D4D">
            <w:pPr>
              <w:jc w:val="right"/>
            </w:pPr>
            <w:r>
              <w:rPr>
                <w:rFonts w:hint="eastAsia"/>
              </w:rPr>
              <w:t>-</w:t>
            </w:r>
          </w:p>
        </w:tc>
      </w:tr>
      <w:tr w14:paraId="4C3D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8BAA1E">
            <w:r>
              <w:rPr>
                <w:rFonts w:hint="eastAsia"/>
              </w:rPr>
              <w:t>报告期间因拆分变动份额</w:t>
            </w:r>
          </w:p>
        </w:tc>
        <w:tc>
          <w:tcPr>
            <w:tcW w:w="2768" w:type="dxa"/>
            <w:vAlign w:val="center"/>
          </w:tcPr>
          <w:p w14:paraId="0317524A">
            <w:pPr>
              <w:jc w:val="right"/>
            </w:pPr>
            <w:r>
              <w:rPr>
                <w:rFonts w:hint="eastAsia"/>
              </w:rPr>
              <w:t>-</w:t>
            </w:r>
          </w:p>
        </w:tc>
        <w:tc>
          <w:tcPr>
            <w:tcW w:w="2768" w:type="dxa"/>
            <w:vAlign w:val="center"/>
          </w:tcPr>
          <w:p w14:paraId="6DDC1E7A">
            <w:pPr>
              <w:jc w:val="right"/>
            </w:pPr>
            <w:r>
              <w:rPr>
                <w:rFonts w:hint="eastAsia"/>
              </w:rPr>
              <w:t>-</w:t>
            </w:r>
          </w:p>
        </w:tc>
      </w:tr>
      <w:tr w14:paraId="5205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F1CE83">
            <w:r>
              <w:rPr>
                <w:rFonts w:hint="eastAsia"/>
              </w:rPr>
              <w:t>减：报告期间赎回/卖出总份额</w:t>
            </w:r>
          </w:p>
        </w:tc>
        <w:tc>
          <w:tcPr>
            <w:tcW w:w="2768" w:type="dxa"/>
            <w:vAlign w:val="center"/>
          </w:tcPr>
          <w:p w14:paraId="388E551F">
            <w:pPr>
              <w:jc w:val="right"/>
            </w:pPr>
            <w:r>
              <w:rPr>
                <w:rFonts w:hint="eastAsia"/>
              </w:rPr>
              <w:t>-</w:t>
            </w:r>
          </w:p>
        </w:tc>
        <w:tc>
          <w:tcPr>
            <w:tcW w:w="2768" w:type="dxa"/>
            <w:vAlign w:val="center"/>
          </w:tcPr>
          <w:p w14:paraId="2D0836DC">
            <w:pPr>
              <w:jc w:val="right"/>
            </w:pPr>
            <w:r>
              <w:rPr>
                <w:rFonts w:hint="eastAsia"/>
              </w:rPr>
              <w:t>-</w:t>
            </w:r>
          </w:p>
        </w:tc>
      </w:tr>
      <w:tr w14:paraId="2716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39AE16">
            <w:r>
              <w:rPr>
                <w:rFonts w:hint="eastAsia"/>
              </w:rPr>
              <w:t>报告期末持有的基金份额</w:t>
            </w:r>
          </w:p>
        </w:tc>
        <w:tc>
          <w:tcPr>
            <w:tcW w:w="2768" w:type="dxa"/>
            <w:vAlign w:val="center"/>
          </w:tcPr>
          <w:p w14:paraId="7CFF165D">
            <w:pPr>
              <w:jc w:val="right"/>
            </w:pPr>
            <w:r>
              <w:rPr>
                <w:rFonts w:hint="eastAsia"/>
              </w:rPr>
              <w:t>10,003,222.54</w:t>
            </w:r>
          </w:p>
        </w:tc>
        <w:tc>
          <w:tcPr>
            <w:tcW w:w="2768" w:type="dxa"/>
            <w:vAlign w:val="center"/>
          </w:tcPr>
          <w:p w14:paraId="4FC1EF8A">
            <w:pPr>
              <w:jc w:val="right"/>
            </w:pPr>
            <w:r>
              <w:rPr>
                <w:rFonts w:hint="eastAsia"/>
              </w:rPr>
              <w:t>-</w:t>
            </w:r>
          </w:p>
        </w:tc>
      </w:tr>
      <w:tr w14:paraId="7C68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322DDC">
            <w:r>
              <w:rPr>
                <w:rFonts w:hint="eastAsia"/>
              </w:rPr>
              <w:t>报告期末持有的基金份额占基金总份额比例</w:t>
            </w:r>
          </w:p>
        </w:tc>
        <w:tc>
          <w:tcPr>
            <w:tcW w:w="2768" w:type="dxa"/>
            <w:vAlign w:val="center"/>
          </w:tcPr>
          <w:p w14:paraId="0247694A">
            <w:pPr>
              <w:jc w:val="right"/>
            </w:pPr>
            <w:r>
              <w:rPr>
                <w:rFonts w:hint="eastAsia"/>
              </w:rPr>
              <w:t>4.58%</w:t>
            </w:r>
          </w:p>
        </w:tc>
        <w:tc>
          <w:tcPr>
            <w:tcW w:w="2768" w:type="dxa"/>
            <w:vAlign w:val="center"/>
          </w:tcPr>
          <w:p w14:paraId="12A08608">
            <w:pPr>
              <w:jc w:val="right"/>
            </w:pPr>
            <w:r>
              <w:rPr>
                <w:rFonts w:hint="eastAsia"/>
              </w:rPr>
              <w:t>-</w:t>
            </w:r>
          </w:p>
        </w:tc>
      </w:tr>
    </w:tbl>
    <w:p w14:paraId="7745E79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06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16EB318">
            <w:pPr>
              <w:jc w:val="center"/>
            </w:pPr>
            <w:r>
              <w:rPr>
                <w:rFonts w:hint="eastAsia"/>
                <w:b/>
              </w:rPr>
              <w:t>项目</w:t>
            </w:r>
          </w:p>
        </w:tc>
        <w:tc>
          <w:tcPr>
            <w:tcW w:w="2768" w:type="dxa"/>
            <w:gridSpan w:val="2"/>
            <w:shd w:val="clear" w:color="auto" w:fill="BFBFBF"/>
            <w:vAlign w:val="center"/>
          </w:tcPr>
          <w:p w14:paraId="3E493282">
            <w:pPr>
              <w:jc w:val="center"/>
            </w:pPr>
            <w:r>
              <w:rPr>
                <w:rFonts w:hint="eastAsia"/>
                <w:b/>
              </w:rPr>
              <w:t>上年度可比期间2024年5月21日（基金合同生效日）至2024年12月31日</w:t>
            </w:r>
          </w:p>
        </w:tc>
      </w:tr>
      <w:tr w14:paraId="0701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1EF009C"/>
        </w:tc>
        <w:tc>
          <w:tcPr>
            <w:tcW w:w="2768" w:type="dxa"/>
            <w:shd w:val="clear" w:color="auto" w:fill="BFBFBF"/>
            <w:vAlign w:val="center"/>
          </w:tcPr>
          <w:p w14:paraId="6BB6C7CC">
            <w:pPr>
              <w:jc w:val="center"/>
            </w:pPr>
            <w:r>
              <w:rPr>
                <w:rFonts w:hint="eastAsia"/>
                <w:b/>
              </w:rPr>
              <w:t>南方富时亚太低碳精选ETF发起联接（QDII）A</w:t>
            </w:r>
          </w:p>
        </w:tc>
        <w:tc>
          <w:tcPr>
            <w:tcW w:w="2768" w:type="dxa"/>
            <w:shd w:val="clear" w:color="auto" w:fill="BFBFBF"/>
            <w:vAlign w:val="center"/>
          </w:tcPr>
          <w:p w14:paraId="6485EC1E">
            <w:pPr>
              <w:jc w:val="center"/>
            </w:pPr>
            <w:r>
              <w:rPr>
                <w:rFonts w:hint="eastAsia"/>
                <w:b/>
              </w:rPr>
              <w:t>南方富时亚太低碳精选ETF发起联接（QDII）C</w:t>
            </w:r>
          </w:p>
        </w:tc>
      </w:tr>
      <w:tr w14:paraId="4E09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788ED">
            <w:r>
              <w:rPr>
                <w:rFonts w:hint="eastAsia"/>
              </w:rPr>
              <w:t>基金合同生效日（2024年5月21日）持有的基金份额</w:t>
            </w:r>
          </w:p>
        </w:tc>
        <w:tc>
          <w:tcPr>
            <w:tcW w:w="2768" w:type="dxa"/>
            <w:vAlign w:val="center"/>
          </w:tcPr>
          <w:p w14:paraId="50B1EC5A">
            <w:pPr>
              <w:jc w:val="right"/>
            </w:pPr>
            <w:r>
              <w:rPr>
                <w:rFonts w:hint="eastAsia"/>
              </w:rPr>
              <w:t>10,003,222.54</w:t>
            </w:r>
          </w:p>
        </w:tc>
        <w:tc>
          <w:tcPr>
            <w:tcW w:w="2768" w:type="dxa"/>
            <w:vAlign w:val="center"/>
          </w:tcPr>
          <w:p w14:paraId="74D153D5">
            <w:pPr>
              <w:jc w:val="right"/>
            </w:pPr>
            <w:r>
              <w:rPr>
                <w:rFonts w:hint="eastAsia"/>
              </w:rPr>
              <w:t>-</w:t>
            </w:r>
          </w:p>
        </w:tc>
      </w:tr>
      <w:tr w14:paraId="0747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75834E">
            <w:r>
              <w:rPr>
                <w:rFonts w:hint="eastAsia"/>
              </w:rPr>
              <w:t>报告期初持有的基金份额</w:t>
            </w:r>
          </w:p>
        </w:tc>
        <w:tc>
          <w:tcPr>
            <w:tcW w:w="2768" w:type="dxa"/>
            <w:vAlign w:val="center"/>
          </w:tcPr>
          <w:p w14:paraId="7897002B">
            <w:pPr>
              <w:jc w:val="right"/>
            </w:pPr>
            <w:r>
              <w:rPr>
                <w:rFonts w:hint="eastAsia"/>
              </w:rPr>
              <w:t>-</w:t>
            </w:r>
          </w:p>
        </w:tc>
        <w:tc>
          <w:tcPr>
            <w:tcW w:w="2768" w:type="dxa"/>
            <w:vAlign w:val="center"/>
          </w:tcPr>
          <w:p w14:paraId="18A89DE9">
            <w:pPr>
              <w:jc w:val="right"/>
            </w:pPr>
            <w:r>
              <w:rPr>
                <w:rFonts w:hint="eastAsia"/>
              </w:rPr>
              <w:t>-</w:t>
            </w:r>
          </w:p>
        </w:tc>
      </w:tr>
      <w:tr w14:paraId="039E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55E873">
            <w:r>
              <w:rPr>
                <w:rFonts w:hint="eastAsia"/>
              </w:rPr>
              <w:t>报告期间申购/买入总份额</w:t>
            </w:r>
          </w:p>
        </w:tc>
        <w:tc>
          <w:tcPr>
            <w:tcW w:w="2768" w:type="dxa"/>
            <w:vAlign w:val="center"/>
          </w:tcPr>
          <w:p w14:paraId="5EC634C3">
            <w:pPr>
              <w:jc w:val="right"/>
            </w:pPr>
            <w:r>
              <w:rPr>
                <w:rFonts w:hint="eastAsia"/>
              </w:rPr>
              <w:t>-</w:t>
            </w:r>
          </w:p>
        </w:tc>
        <w:tc>
          <w:tcPr>
            <w:tcW w:w="2768" w:type="dxa"/>
            <w:vAlign w:val="center"/>
          </w:tcPr>
          <w:p w14:paraId="1F3FCF06">
            <w:pPr>
              <w:jc w:val="right"/>
            </w:pPr>
            <w:r>
              <w:rPr>
                <w:rFonts w:hint="eastAsia"/>
              </w:rPr>
              <w:t>-</w:t>
            </w:r>
          </w:p>
        </w:tc>
      </w:tr>
      <w:tr w14:paraId="2F60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3A7F97">
            <w:r>
              <w:rPr>
                <w:rFonts w:hint="eastAsia"/>
              </w:rPr>
              <w:t>报告期间因拆分变动份额</w:t>
            </w:r>
          </w:p>
        </w:tc>
        <w:tc>
          <w:tcPr>
            <w:tcW w:w="2768" w:type="dxa"/>
            <w:vAlign w:val="center"/>
          </w:tcPr>
          <w:p w14:paraId="0D01FC74">
            <w:pPr>
              <w:jc w:val="right"/>
            </w:pPr>
            <w:r>
              <w:rPr>
                <w:rFonts w:hint="eastAsia"/>
              </w:rPr>
              <w:t>-</w:t>
            </w:r>
          </w:p>
        </w:tc>
        <w:tc>
          <w:tcPr>
            <w:tcW w:w="2768" w:type="dxa"/>
            <w:vAlign w:val="center"/>
          </w:tcPr>
          <w:p w14:paraId="14F4E0C9">
            <w:pPr>
              <w:jc w:val="right"/>
            </w:pPr>
            <w:r>
              <w:rPr>
                <w:rFonts w:hint="eastAsia"/>
              </w:rPr>
              <w:t>-</w:t>
            </w:r>
          </w:p>
        </w:tc>
      </w:tr>
      <w:tr w14:paraId="5804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E6983F">
            <w:r>
              <w:rPr>
                <w:rFonts w:hint="eastAsia"/>
              </w:rPr>
              <w:t>减：报告期间赎回/卖出总份额</w:t>
            </w:r>
          </w:p>
        </w:tc>
        <w:tc>
          <w:tcPr>
            <w:tcW w:w="2768" w:type="dxa"/>
            <w:vAlign w:val="center"/>
          </w:tcPr>
          <w:p w14:paraId="1677471E">
            <w:pPr>
              <w:jc w:val="right"/>
            </w:pPr>
            <w:r>
              <w:rPr>
                <w:rFonts w:hint="eastAsia"/>
              </w:rPr>
              <w:t>-</w:t>
            </w:r>
          </w:p>
        </w:tc>
        <w:tc>
          <w:tcPr>
            <w:tcW w:w="2768" w:type="dxa"/>
            <w:vAlign w:val="center"/>
          </w:tcPr>
          <w:p w14:paraId="4C814C80">
            <w:pPr>
              <w:jc w:val="right"/>
            </w:pPr>
            <w:r>
              <w:rPr>
                <w:rFonts w:hint="eastAsia"/>
              </w:rPr>
              <w:t>-</w:t>
            </w:r>
          </w:p>
        </w:tc>
      </w:tr>
      <w:tr w14:paraId="73BF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33144F">
            <w:r>
              <w:rPr>
                <w:rFonts w:hint="eastAsia"/>
              </w:rPr>
              <w:t>报告期末持有的基金份额</w:t>
            </w:r>
          </w:p>
        </w:tc>
        <w:tc>
          <w:tcPr>
            <w:tcW w:w="2768" w:type="dxa"/>
            <w:vAlign w:val="center"/>
          </w:tcPr>
          <w:p w14:paraId="2942C412">
            <w:pPr>
              <w:jc w:val="right"/>
            </w:pPr>
            <w:r>
              <w:rPr>
                <w:rFonts w:hint="eastAsia"/>
              </w:rPr>
              <w:t>10,003,222.54</w:t>
            </w:r>
          </w:p>
        </w:tc>
        <w:tc>
          <w:tcPr>
            <w:tcW w:w="2768" w:type="dxa"/>
            <w:vAlign w:val="center"/>
          </w:tcPr>
          <w:p w14:paraId="12C40684">
            <w:pPr>
              <w:jc w:val="right"/>
            </w:pPr>
            <w:r>
              <w:rPr>
                <w:rFonts w:hint="eastAsia"/>
              </w:rPr>
              <w:t>-</w:t>
            </w:r>
          </w:p>
        </w:tc>
      </w:tr>
      <w:tr w14:paraId="7C97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376604">
            <w:r>
              <w:rPr>
                <w:rFonts w:hint="eastAsia"/>
              </w:rPr>
              <w:t>报告期末持有的基金份额占基金总份额比例</w:t>
            </w:r>
          </w:p>
        </w:tc>
        <w:tc>
          <w:tcPr>
            <w:tcW w:w="2768" w:type="dxa"/>
            <w:vAlign w:val="center"/>
          </w:tcPr>
          <w:p w14:paraId="4BD10E53">
            <w:pPr>
              <w:jc w:val="right"/>
            </w:pPr>
            <w:r>
              <w:rPr>
                <w:rFonts w:hint="eastAsia"/>
              </w:rPr>
              <w:t>25.44%</w:t>
            </w:r>
          </w:p>
        </w:tc>
        <w:tc>
          <w:tcPr>
            <w:tcW w:w="2768" w:type="dxa"/>
            <w:vAlign w:val="center"/>
          </w:tcPr>
          <w:p w14:paraId="6A5EA3DE">
            <w:pPr>
              <w:jc w:val="right"/>
            </w:pPr>
            <w:r>
              <w:rPr>
                <w:rFonts w:hint="eastAsia"/>
              </w:rPr>
              <w:t>-</w:t>
            </w:r>
          </w:p>
        </w:tc>
      </w:tr>
    </w:tbl>
    <w:p w14:paraId="6881303F">
      <w:pPr>
        <w:pStyle w:val="47"/>
        <w:rPr>
          <w:rFonts w:hint="eastAsia"/>
        </w:rPr>
      </w:pPr>
      <w:r>
        <w:rPr>
          <w:rFonts w:hint="eastAsia"/>
        </w:rPr>
        <w:t>注：基金管理人南方基金投资本基金适用的认(申)购/赎回费率按照本基金招募说明书的规定执行。</w:t>
      </w:r>
    </w:p>
    <w:p w14:paraId="74F9F9EF">
      <w:pPr>
        <w:pStyle w:val="36"/>
      </w:pPr>
      <w:bookmarkStart w:id="126" w:name="_Toc126"/>
      <w:r>
        <w:t>报告期末除基金管理人之外的其他关联方投资本基金的情况</w:t>
      </w:r>
      <w:bookmarkEnd w:id="126"/>
    </w:p>
    <w:p w14:paraId="616DD1A5">
      <w:pPr>
        <w:pStyle w:val="18"/>
        <w:rPr>
          <w:rFonts w:hint="eastAsia"/>
        </w:rPr>
      </w:pPr>
      <w:r>
        <w:rPr>
          <w:rFonts w:hint="eastAsia"/>
        </w:rPr>
        <w:t>无。</w:t>
      </w:r>
    </w:p>
    <w:p w14:paraId="59C5372E">
      <w:pPr>
        <w:pStyle w:val="35"/>
      </w:pPr>
      <w:bookmarkStart w:id="127" w:name="_Toc127"/>
      <w:r>
        <w:t>由关联方保管的银行存款余额及当期产生的利息收入</w:t>
      </w:r>
      <w:bookmarkEnd w:id="127"/>
    </w:p>
    <w:p w14:paraId="4F67F3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64E0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421AD44">
            <w:pPr>
              <w:jc w:val="center"/>
            </w:pPr>
            <w:r>
              <w:rPr>
                <w:rFonts w:hint="eastAsia"/>
                <w:b/>
              </w:rPr>
              <w:t>关联方名称</w:t>
            </w:r>
          </w:p>
        </w:tc>
        <w:tc>
          <w:tcPr>
            <w:tcW w:w="1661" w:type="dxa"/>
            <w:gridSpan w:val="2"/>
            <w:shd w:val="clear" w:color="auto" w:fill="BFBFBF"/>
            <w:vAlign w:val="center"/>
          </w:tcPr>
          <w:p w14:paraId="4DE61C50">
            <w:pPr>
              <w:jc w:val="center"/>
            </w:pPr>
            <w:r>
              <w:rPr>
                <w:rFonts w:hint="eastAsia"/>
                <w:b/>
              </w:rPr>
              <w:t>本期2025年1月1日至2025年12月31日</w:t>
            </w:r>
          </w:p>
        </w:tc>
        <w:tc>
          <w:tcPr>
            <w:tcW w:w="1661" w:type="dxa"/>
            <w:gridSpan w:val="2"/>
            <w:shd w:val="clear" w:color="auto" w:fill="BFBFBF"/>
            <w:vAlign w:val="center"/>
          </w:tcPr>
          <w:p w14:paraId="4CBEB247">
            <w:pPr>
              <w:jc w:val="center"/>
            </w:pPr>
            <w:r>
              <w:rPr>
                <w:rFonts w:hint="eastAsia"/>
                <w:b/>
              </w:rPr>
              <w:t>上年度可比期间2024年5月21日（基金合同生效日）至2024年12月31日</w:t>
            </w:r>
          </w:p>
        </w:tc>
      </w:tr>
      <w:tr w14:paraId="0E6D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1319032"/>
        </w:tc>
        <w:tc>
          <w:tcPr>
            <w:tcW w:w="1661" w:type="dxa"/>
            <w:shd w:val="clear" w:color="auto" w:fill="BFBFBF"/>
            <w:vAlign w:val="center"/>
          </w:tcPr>
          <w:p w14:paraId="380B6327">
            <w:pPr>
              <w:jc w:val="center"/>
            </w:pPr>
            <w:r>
              <w:rPr>
                <w:rFonts w:hint="eastAsia"/>
                <w:b/>
              </w:rPr>
              <w:t>期末余额</w:t>
            </w:r>
          </w:p>
        </w:tc>
        <w:tc>
          <w:tcPr>
            <w:tcW w:w="1661" w:type="dxa"/>
            <w:shd w:val="clear" w:color="auto" w:fill="BFBFBF"/>
            <w:vAlign w:val="center"/>
          </w:tcPr>
          <w:p w14:paraId="05807C8A">
            <w:pPr>
              <w:jc w:val="center"/>
            </w:pPr>
            <w:r>
              <w:rPr>
                <w:rFonts w:hint="eastAsia"/>
                <w:b/>
              </w:rPr>
              <w:t>当期利息收入</w:t>
            </w:r>
          </w:p>
        </w:tc>
        <w:tc>
          <w:tcPr>
            <w:tcW w:w="1661" w:type="dxa"/>
            <w:shd w:val="clear" w:color="auto" w:fill="BFBFBF"/>
            <w:vAlign w:val="center"/>
          </w:tcPr>
          <w:p w14:paraId="3468BC22">
            <w:pPr>
              <w:jc w:val="center"/>
            </w:pPr>
            <w:r>
              <w:rPr>
                <w:rFonts w:hint="eastAsia"/>
                <w:b/>
              </w:rPr>
              <w:t>期末余额</w:t>
            </w:r>
          </w:p>
        </w:tc>
        <w:tc>
          <w:tcPr>
            <w:tcW w:w="1661" w:type="dxa"/>
            <w:shd w:val="clear" w:color="auto" w:fill="BFBFBF"/>
            <w:vAlign w:val="center"/>
          </w:tcPr>
          <w:p w14:paraId="1FFEDA19">
            <w:pPr>
              <w:jc w:val="center"/>
            </w:pPr>
            <w:r>
              <w:rPr>
                <w:rFonts w:hint="eastAsia"/>
                <w:b/>
              </w:rPr>
              <w:t>当期利息收入</w:t>
            </w:r>
          </w:p>
        </w:tc>
      </w:tr>
      <w:tr w14:paraId="7C28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9E1A34">
            <w:r>
              <w:rPr>
                <w:rFonts w:hint="eastAsia"/>
              </w:rPr>
              <w:t>招商银行</w:t>
            </w:r>
          </w:p>
        </w:tc>
        <w:tc>
          <w:tcPr>
            <w:tcW w:w="1661" w:type="dxa"/>
            <w:vAlign w:val="center"/>
          </w:tcPr>
          <w:p w14:paraId="0F45AC15">
            <w:pPr>
              <w:jc w:val="right"/>
            </w:pPr>
            <w:r>
              <w:rPr>
                <w:rFonts w:hint="eastAsia"/>
              </w:rPr>
              <w:t>25,841,103.04</w:t>
            </w:r>
          </w:p>
        </w:tc>
        <w:tc>
          <w:tcPr>
            <w:tcW w:w="1661" w:type="dxa"/>
            <w:vAlign w:val="center"/>
          </w:tcPr>
          <w:p w14:paraId="39DEA4F5">
            <w:pPr>
              <w:jc w:val="right"/>
            </w:pPr>
            <w:r>
              <w:rPr>
                <w:rFonts w:hint="eastAsia"/>
              </w:rPr>
              <w:t>25,670.72</w:t>
            </w:r>
          </w:p>
        </w:tc>
        <w:tc>
          <w:tcPr>
            <w:tcW w:w="1661" w:type="dxa"/>
            <w:vAlign w:val="center"/>
          </w:tcPr>
          <w:p w14:paraId="6204E285">
            <w:pPr>
              <w:jc w:val="right"/>
            </w:pPr>
            <w:r>
              <w:rPr>
                <w:rFonts w:hint="eastAsia"/>
              </w:rPr>
              <w:t>4,764,043.82</w:t>
            </w:r>
          </w:p>
        </w:tc>
        <w:tc>
          <w:tcPr>
            <w:tcW w:w="1661" w:type="dxa"/>
            <w:vAlign w:val="center"/>
          </w:tcPr>
          <w:p w14:paraId="76B08885">
            <w:pPr>
              <w:jc w:val="right"/>
            </w:pPr>
            <w:r>
              <w:rPr>
                <w:rFonts w:hint="eastAsia"/>
              </w:rPr>
              <w:t>20,319.19</w:t>
            </w:r>
          </w:p>
        </w:tc>
      </w:tr>
    </w:tbl>
    <w:p w14:paraId="2D57711B">
      <w:pPr>
        <w:pStyle w:val="47"/>
        <w:rPr>
          <w:rFonts w:hint="eastAsia"/>
        </w:rPr>
      </w:pPr>
      <w:r>
        <w:rPr>
          <w:rFonts w:hint="eastAsia"/>
        </w:rPr>
        <w:t>注：本基金的银行存款由基金托管人和境外资产托管人保管，按银行约定利率计息。</w:t>
      </w:r>
    </w:p>
    <w:p w14:paraId="604918A6">
      <w:pPr>
        <w:pStyle w:val="35"/>
      </w:pPr>
      <w:bookmarkStart w:id="128" w:name="_Toc128"/>
      <w:r>
        <w:t>本基金在承销期内参与关联方承销证券的情况</w:t>
      </w:r>
      <w:bookmarkEnd w:id="128"/>
    </w:p>
    <w:p w14:paraId="0FE67E58">
      <w:pPr>
        <w:pStyle w:val="18"/>
        <w:rPr>
          <w:rFonts w:hint="eastAsia"/>
        </w:rPr>
      </w:pPr>
      <w:r>
        <w:rPr>
          <w:rFonts w:hint="eastAsia"/>
        </w:rPr>
        <w:t>无。</w:t>
      </w:r>
    </w:p>
    <w:p w14:paraId="3F2FBF91">
      <w:pPr>
        <w:pStyle w:val="35"/>
      </w:pPr>
      <w:bookmarkStart w:id="129" w:name="_Toc129"/>
      <w:r>
        <w:t>其他关联交易事项的说明</w:t>
      </w:r>
      <w:bookmarkEnd w:id="129"/>
    </w:p>
    <w:p w14:paraId="009CF968">
      <w:pPr>
        <w:pStyle w:val="18"/>
        <w:rPr>
          <w:rFonts w:hint="eastAsia"/>
        </w:rPr>
      </w:pPr>
      <w:r>
        <w:rPr>
          <w:rFonts w:hint="eastAsia"/>
        </w:rPr>
        <w:t>于本期末，本基金持有目标ETF基金份额，成本总额为人民币241,180,429.49元，估值总额为人民币254,249,873.66元，占本基金基金净资产的比例为94.21%（于上期末，本基金持有目标ETF基金份额，成本总额为人民币37,539,758.95元，估值总额为人民币37,664,951.42元，占本基金基金净资产的比例为94.76%）。</w:t>
      </w:r>
    </w:p>
    <w:p w14:paraId="3C1D83A7">
      <w:pPr>
        <w:pStyle w:val="28"/>
      </w:pPr>
      <w:bookmarkStart w:id="130" w:name="_Toc130"/>
      <w:r>
        <w:t>利润分配情况——固定净值型货币市场基金之外的基金</w:t>
      </w:r>
      <w:bookmarkEnd w:id="130"/>
    </w:p>
    <w:p w14:paraId="3BF4ABFE">
      <w:pPr>
        <w:pStyle w:val="47"/>
        <w:rPr>
          <w:rFonts w:hint="eastAsia"/>
        </w:rPr>
      </w:pPr>
      <w:r>
        <w:rPr>
          <w:rFonts w:hint="eastAsia"/>
        </w:rPr>
        <w:t>注：本期无。本基金报告期后分红情况（如有）详见本报告“资产负债表日后事项”部分内容。</w:t>
      </w:r>
    </w:p>
    <w:p w14:paraId="1A4CD6C9">
      <w:pPr>
        <w:pStyle w:val="28"/>
      </w:pPr>
      <w:bookmarkStart w:id="131" w:name="_Toc131"/>
      <w:r>
        <w:t>期末（2025年12月31日）本基金持有的流通受限证券</w:t>
      </w:r>
      <w:bookmarkEnd w:id="131"/>
    </w:p>
    <w:p w14:paraId="40AB023E">
      <w:pPr>
        <w:pStyle w:val="35"/>
      </w:pPr>
      <w:bookmarkStart w:id="132" w:name="_Toc132"/>
      <w:r>
        <w:t>因认购新发/增发证券而于期末持有的流通受限证券</w:t>
      </w:r>
      <w:bookmarkEnd w:id="132"/>
    </w:p>
    <w:p w14:paraId="533E0750">
      <w:pPr>
        <w:pStyle w:val="18"/>
        <w:rPr>
          <w:rFonts w:hint="eastAsia"/>
        </w:rPr>
      </w:pPr>
      <w:r>
        <w:rPr>
          <w:rFonts w:hint="eastAsia"/>
        </w:rPr>
        <w:t>无。</w:t>
      </w:r>
    </w:p>
    <w:p w14:paraId="30F9396E">
      <w:pPr>
        <w:pStyle w:val="35"/>
      </w:pPr>
      <w:bookmarkStart w:id="133" w:name="_Toc133"/>
      <w:r>
        <w:t>期末持有的暂时停牌等流通受限股票</w:t>
      </w:r>
      <w:bookmarkEnd w:id="133"/>
    </w:p>
    <w:p w14:paraId="62168BDD">
      <w:pPr>
        <w:pStyle w:val="18"/>
        <w:rPr>
          <w:rFonts w:hint="eastAsia"/>
        </w:rPr>
      </w:pPr>
      <w:r>
        <w:rPr>
          <w:rFonts w:hint="eastAsia"/>
        </w:rPr>
        <w:t>无。</w:t>
      </w:r>
    </w:p>
    <w:p w14:paraId="1D3114A0">
      <w:pPr>
        <w:pStyle w:val="35"/>
      </w:pPr>
      <w:bookmarkStart w:id="134" w:name="_Toc134"/>
      <w:r>
        <w:t>期末债券正回购交易中作为抵押的债券</w:t>
      </w:r>
      <w:bookmarkEnd w:id="134"/>
    </w:p>
    <w:p w14:paraId="3E806DEE">
      <w:pPr>
        <w:pStyle w:val="36"/>
      </w:pPr>
      <w:bookmarkStart w:id="135" w:name="_Toc135"/>
      <w:r>
        <w:t>银行间市场债券正回购</w:t>
      </w:r>
      <w:bookmarkEnd w:id="135"/>
    </w:p>
    <w:p w14:paraId="66D7D386">
      <w:pPr>
        <w:pStyle w:val="18"/>
        <w:rPr>
          <w:rFonts w:hint="eastAsia"/>
        </w:rPr>
      </w:pPr>
      <w:r>
        <w:rPr>
          <w:rFonts w:hint="eastAsia"/>
        </w:rPr>
        <w:t>无。</w:t>
      </w:r>
    </w:p>
    <w:p w14:paraId="0C761DE9">
      <w:pPr>
        <w:pStyle w:val="36"/>
      </w:pPr>
      <w:bookmarkStart w:id="136" w:name="_Toc136"/>
      <w:r>
        <w:t>交易所市场债券正回购</w:t>
      </w:r>
      <w:bookmarkEnd w:id="136"/>
    </w:p>
    <w:p w14:paraId="5D6234D6">
      <w:pPr>
        <w:pStyle w:val="18"/>
        <w:rPr>
          <w:rFonts w:hint="eastAsia"/>
        </w:rPr>
      </w:pPr>
      <w:r>
        <w:rPr>
          <w:rFonts w:hint="eastAsia"/>
        </w:rPr>
        <w:t>无。</w:t>
      </w:r>
    </w:p>
    <w:p w14:paraId="4EBB592D">
      <w:pPr>
        <w:pStyle w:val="35"/>
      </w:pPr>
      <w:bookmarkStart w:id="137" w:name="_Toc137"/>
      <w:r>
        <w:t>期末参与转融通证券出借业务的证券</w:t>
      </w:r>
      <w:bookmarkEnd w:id="137"/>
    </w:p>
    <w:p w14:paraId="3FCA1076">
      <w:pPr>
        <w:pStyle w:val="18"/>
        <w:rPr>
          <w:rFonts w:hint="eastAsia"/>
        </w:rPr>
      </w:pPr>
      <w:r>
        <w:rPr>
          <w:rFonts w:hint="eastAsia"/>
        </w:rPr>
        <w:t>无。</w:t>
      </w:r>
    </w:p>
    <w:p w14:paraId="7BDCDB8E">
      <w:pPr>
        <w:pStyle w:val="28"/>
      </w:pPr>
      <w:bookmarkStart w:id="138" w:name="_Toc138"/>
      <w:r>
        <w:t>金融工具风险及管理</w:t>
      </w:r>
      <w:bookmarkEnd w:id="138"/>
    </w:p>
    <w:p w14:paraId="6DAE1044">
      <w:pPr>
        <w:pStyle w:val="35"/>
      </w:pPr>
      <w:bookmarkStart w:id="139" w:name="_Toc139"/>
      <w:r>
        <w:t>风险管理政策和组织架构</w:t>
      </w:r>
      <w:bookmarkEnd w:id="139"/>
    </w:p>
    <w:p w14:paraId="6592B67A">
      <w:pPr>
        <w:pStyle w:val="18"/>
        <w:rPr>
          <w:rFonts w:hint="eastAsia"/>
        </w:rPr>
      </w:pPr>
      <w:r>
        <w:rPr>
          <w:rFonts w:hint="eastAsia"/>
        </w:rPr>
        <w:t>本基金为被动式指数基金，本基金紧密跟踪标的指数，具有和标的指数以及标的指数所代表的市场相似的风险收益特征。本基金投资的金融工具主要包括基金投资和股票投资。本基金在日常经营活动中面临的与这些金融工具相关的风险主要包括信用风险、流动性风险及市场风险。本基金资产投资于境外证券，除了需要承担与境内证券投资基金类似的市场波动风险等一般投资风险之外，本基金还面临汇率风险、股价波动风险等境外证券市场投资所面临的特别投资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218AFA41">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705C122">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8B74B1D">
      <w:pPr>
        <w:pStyle w:val="35"/>
      </w:pPr>
      <w:bookmarkStart w:id="140" w:name="_Toc140"/>
      <w:r>
        <w:t>信用风险</w:t>
      </w:r>
      <w:bookmarkEnd w:id="140"/>
    </w:p>
    <w:p w14:paraId="226B5B0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709BEB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境外交易所进行的交易均通过有资格的经纪商进行证券交收和款项清算，在境内交易所进行的交易均以中国证券登记结算有限责任公司为交易对手完成证券交收和款项清算，违约风险发生的可能性很小；在场外交易市场进行交易前均对交易对手进行信用评估并对证券交割方式进行限制以控制相应的信用风险。</w:t>
      </w:r>
    </w:p>
    <w:p w14:paraId="680C86B8">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FE7EFCC">
      <w:pPr>
        <w:pStyle w:val="18"/>
        <w:rPr>
          <w:rFonts w:hint="eastAsia"/>
        </w:rPr>
      </w:pPr>
      <w:r>
        <w:rPr>
          <w:rFonts w:hint="eastAsia"/>
        </w:rPr>
        <w:t>于本期末，本基金无债券投资(上期末：本基金未持有除国债、央行票据和政策性金融债以外的债券)。</w:t>
      </w:r>
    </w:p>
    <w:p w14:paraId="55468CD4">
      <w:pPr>
        <w:pStyle w:val="35"/>
      </w:pPr>
      <w:bookmarkStart w:id="141" w:name="_Toc141"/>
      <w:r>
        <w:t>流动性风险</w:t>
      </w:r>
      <w:bookmarkEnd w:id="141"/>
    </w:p>
    <w:p w14:paraId="0D997B7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7E5364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D172DE9">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175E39A1">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1A6F2C6">
      <w:pPr>
        <w:pStyle w:val="36"/>
      </w:pPr>
      <w:bookmarkStart w:id="142" w:name="_Toc142"/>
      <w:r>
        <w:t>报告期内本基金组合资产的流动性风险分析</w:t>
      </w:r>
      <w:bookmarkEnd w:id="142"/>
    </w:p>
    <w:p w14:paraId="2C88936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E34B058">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B523C0A">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w:t>
      </w:r>
    </w:p>
    <w:p w14:paraId="264AB2AE">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886CCD5">
      <w:pPr>
        <w:pStyle w:val="35"/>
      </w:pPr>
      <w:bookmarkStart w:id="143" w:name="_Toc143"/>
      <w:r>
        <w:t>市场风险</w:t>
      </w:r>
      <w:bookmarkEnd w:id="143"/>
    </w:p>
    <w:p w14:paraId="2B1FA8B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03B0678">
      <w:pPr>
        <w:pStyle w:val="36"/>
      </w:pPr>
      <w:bookmarkStart w:id="144" w:name="_Toc144"/>
      <w:r>
        <w:t>利率风险</w:t>
      </w:r>
      <w:bookmarkEnd w:id="144"/>
    </w:p>
    <w:p w14:paraId="7D1BEC3B">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7DEDAA0">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44E98F5">
      <w:pPr>
        <w:pStyle w:val="37"/>
      </w:pPr>
      <w:bookmarkStart w:id="145" w:name="_Toc145"/>
      <w:r>
        <w:t>利率风险敞口</w:t>
      </w:r>
      <w:bookmarkEnd w:id="145"/>
    </w:p>
    <w:p w14:paraId="7D3F7CD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D7B5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E7162">
            <w:r>
              <w:rPr>
                <w:rFonts w:hint="eastAsia"/>
              </w:rPr>
              <w:t>本期末2025年12月31日</w:t>
            </w:r>
          </w:p>
        </w:tc>
        <w:tc>
          <w:tcPr>
            <w:tcW w:w="1384" w:type="dxa"/>
            <w:vAlign w:val="center"/>
          </w:tcPr>
          <w:p w14:paraId="7B3DE3DD">
            <w:r>
              <w:rPr>
                <w:rFonts w:hint="eastAsia"/>
              </w:rPr>
              <w:t>1年以内</w:t>
            </w:r>
          </w:p>
        </w:tc>
        <w:tc>
          <w:tcPr>
            <w:tcW w:w="1384" w:type="dxa"/>
            <w:vAlign w:val="center"/>
          </w:tcPr>
          <w:p w14:paraId="5F7FD386">
            <w:r>
              <w:rPr>
                <w:rFonts w:hint="eastAsia"/>
              </w:rPr>
              <w:t>1-5年</w:t>
            </w:r>
          </w:p>
        </w:tc>
        <w:tc>
          <w:tcPr>
            <w:tcW w:w="1384" w:type="dxa"/>
            <w:vAlign w:val="center"/>
          </w:tcPr>
          <w:p w14:paraId="43EB3C07">
            <w:r>
              <w:rPr>
                <w:rFonts w:hint="eastAsia"/>
              </w:rPr>
              <w:t>5年以上</w:t>
            </w:r>
          </w:p>
        </w:tc>
        <w:tc>
          <w:tcPr>
            <w:tcW w:w="1384" w:type="dxa"/>
            <w:vAlign w:val="center"/>
          </w:tcPr>
          <w:p w14:paraId="7019C99B">
            <w:r>
              <w:rPr>
                <w:rFonts w:hint="eastAsia"/>
              </w:rPr>
              <w:t>不计息</w:t>
            </w:r>
          </w:p>
        </w:tc>
        <w:tc>
          <w:tcPr>
            <w:tcW w:w="1384" w:type="dxa"/>
            <w:vAlign w:val="center"/>
          </w:tcPr>
          <w:p w14:paraId="1011A636">
            <w:r>
              <w:rPr>
                <w:rFonts w:hint="eastAsia"/>
              </w:rPr>
              <w:t>合计</w:t>
            </w:r>
          </w:p>
        </w:tc>
      </w:tr>
      <w:tr w14:paraId="6151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ECA3E">
            <w:r>
              <w:rPr>
                <w:rFonts w:hint="eastAsia"/>
              </w:rPr>
              <w:t>资产</w:t>
            </w:r>
          </w:p>
        </w:tc>
        <w:tc>
          <w:tcPr>
            <w:tcW w:w="1384" w:type="dxa"/>
            <w:vAlign w:val="center"/>
          </w:tcPr>
          <w:p w14:paraId="64826E16"/>
        </w:tc>
        <w:tc>
          <w:tcPr>
            <w:tcW w:w="1384" w:type="dxa"/>
            <w:vAlign w:val="center"/>
          </w:tcPr>
          <w:p w14:paraId="132C32BA"/>
        </w:tc>
        <w:tc>
          <w:tcPr>
            <w:tcW w:w="1384" w:type="dxa"/>
            <w:vAlign w:val="center"/>
          </w:tcPr>
          <w:p w14:paraId="0DD01101"/>
        </w:tc>
        <w:tc>
          <w:tcPr>
            <w:tcW w:w="1384" w:type="dxa"/>
            <w:vAlign w:val="center"/>
          </w:tcPr>
          <w:p w14:paraId="5E869A57"/>
        </w:tc>
        <w:tc>
          <w:tcPr>
            <w:tcW w:w="1384" w:type="dxa"/>
            <w:vAlign w:val="center"/>
          </w:tcPr>
          <w:p w14:paraId="0132BF82"/>
        </w:tc>
      </w:tr>
      <w:tr w14:paraId="2CA0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B739A">
            <w:r>
              <w:rPr>
                <w:rFonts w:hint="eastAsia"/>
              </w:rPr>
              <w:t>货币资金</w:t>
            </w:r>
          </w:p>
        </w:tc>
        <w:tc>
          <w:tcPr>
            <w:tcW w:w="1384" w:type="dxa"/>
            <w:vAlign w:val="center"/>
          </w:tcPr>
          <w:p w14:paraId="7B8292B4">
            <w:pPr>
              <w:jc w:val="right"/>
            </w:pPr>
            <w:r>
              <w:rPr>
                <w:rFonts w:hint="eastAsia"/>
              </w:rPr>
              <w:t>25,841,103.04</w:t>
            </w:r>
          </w:p>
        </w:tc>
        <w:tc>
          <w:tcPr>
            <w:tcW w:w="1384" w:type="dxa"/>
            <w:vAlign w:val="center"/>
          </w:tcPr>
          <w:p w14:paraId="5661D933">
            <w:pPr>
              <w:jc w:val="right"/>
            </w:pPr>
            <w:r>
              <w:rPr>
                <w:rFonts w:hint="eastAsia"/>
              </w:rPr>
              <w:t>-</w:t>
            </w:r>
          </w:p>
        </w:tc>
        <w:tc>
          <w:tcPr>
            <w:tcW w:w="1384" w:type="dxa"/>
            <w:vAlign w:val="center"/>
          </w:tcPr>
          <w:p w14:paraId="17AF14FF">
            <w:pPr>
              <w:jc w:val="right"/>
            </w:pPr>
            <w:r>
              <w:rPr>
                <w:rFonts w:hint="eastAsia"/>
              </w:rPr>
              <w:t>-</w:t>
            </w:r>
          </w:p>
        </w:tc>
        <w:tc>
          <w:tcPr>
            <w:tcW w:w="1384" w:type="dxa"/>
            <w:vAlign w:val="center"/>
          </w:tcPr>
          <w:p w14:paraId="0AE98159">
            <w:pPr>
              <w:jc w:val="right"/>
            </w:pPr>
            <w:r>
              <w:rPr>
                <w:rFonts w:hint="eastAsia"/>
              </w:rPr>
              <w:t>-</w:t>
            </w:r>
          </w:p>
        </w:tc>
        <w:tc>
          <w:tcPr>
            <w:tcW w:w="1384" w:type="dxa"/>
            <w:vAlign w:val="center"/>
          </w:tcPr>
          <w:p w14:paraId="5AABB87E">
            <w:pPr>
              <w:jc w:val="right"/>
            </w:pPr>
            <w:r>
              <w:rPr>
                <w:rFonts w:hint="eastAsia"/>
              </w:rPr>
              <w:t>25,841,103.04</w:t>
            </w:r>
          </w:p>
        </w:tc>
      </w:tr>
      <w:tr w14:paraId="35C6B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0FDBFB">
            <w:r>
              <w:rPr>
                <w:rFonts w:hint="eastAsia"/>
              </w:rPr>
              <w:t>结算备付金</w:t>
            </w:r>
          </w:p>
        </w:tc>
        <w:tc>
          <w:tcPr>
            <w:tcW w:w="1384" w:type="dxa"/>
            <w:vAlign w:val="center"/>
          </w:tcPr>
          <w:p w14:paraId="367E6733">
            <w:pPr>
              <w:jc w:val="right"/>
            </w:pPr>
            <w:r>
              <w:rPr>
                <w:rFonts w:hint="eastAsia"/>
              </w:rPr>
              <w:t>430,088.59</w:t>
            </w:r>
          </w:p>
        </w:tc>
        <w:tc>
          <w:tcPr>
            <w:tcW w:w="1384" w:type="dxa"/>
            <w:vAlign w:val="center"/>
          </w:tcPr>
          <w:p w14:paraId="5C34797B">
            <w:pPr>
              <w:jc w:val="right"/>
            </w:pPr>
            <w:r>
              <w:rPr>
                <w:rFonts w:hint="eastAsia"/>
              </w:rPr>
              <w:t>-</w:t>
            </w:r>
          </w:p>
        </w:tc>
        <w:tc>
          <w:tcPr>
            <w:tcW w:w="1384" w:type="dxa"/>
            <w:vAlign w:val="center"/>
          </w:tcPr>
          <w:p w14:paraId="1EE77247">
            <w:pPr>
              <w:jc w:val="right"/>
            </w:pPr>
            <w:r>
              <w:rPr>
                <w:rFonts w:hint="eastAsia"/>
              </w:rPr>
              <w:t>-</w:t>
            </w:r>
          </w:p>
        </w:tc>
        <w:tc>
          <w:tcPr>
            <w:tcW w:w="1384" w:type="dxa"/>
            <w:vAlign w:val="center"/>
          </w:tcPr>
          <w:p w14:paraId="45CB2CC6">
            <w:pPr>
              <w:jc w:val="right"/>
            </w:pPr>
            <w:r>
              <w:rPr>
                <w:rFonts w:hint="eastAsia"/>
              </w:rPr>
              <w:t>-</w:t>
            </w:r>
          </w:p>
        </w:tc>
        <w:tc>
          <w:tcPr>
            <w:tcW w:w="1384" w:type="dxa"/>
            <w:vAlign w:val="center"/>
          </w:tcPr>
          <w:p w14:paraId="43E5F489">
            <w:pPr>
              <w:jc w:val="right"/>
            </w:pPr>
            <w:r>
              <w:rPr>
                <w:rFonts w:hint="eastAsia"/>
              </w:rPr>
              <w:t>430,088.59</w:t>
            </w:r>
          </w:p>
        </w:tc>
      </w:tr>
      <w:tr w14:paraId="762A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0DA07">
            <w:r>
              <w:rPr>
                <w:rFonts w:hint="eastAsia"/>
              </w:rPr>
              <w:t>存出保证金</w:t>
            </w:r>
          </w:p>
        </w:tc>
        <w:tc>
          <w:tcPr>
            <w:tcW w:w="1384" w:type="dxa"/>
            <w:vAlign w:val="center"/>
          </w:tcPr>
          <w:p w14:paraId="0329BF99">
            <w:pPr>
              <w:jc w:val="right"/>
            </w:pPr>
            <w:r>
              <w:rPr>
                <w:rFonts w:hint="eastAsia"/>
              </w:rPr>
              <w:t>51,157.43</w:t>
            </w:r>
          </w:p>
        </w:tc>
        <w:tc>
          <w:tcPr>
            <w:tcW w:w="1384" w:type="dxa"/>
            <w:vAlign w:val="center"/>
          </w:tcPr>
          <w:p w14:paraId="3BF1BCB4">
            <w:pPr>
              <w:jc w:val="right"/>
            </w:pPr>
            <w:r>
              <w:rPr>
                <w:rFonts w:hint="eastAsia"/>
              </w:rPr>
              <w:t>-</w:t>
            </w:r>
          </w:p>
        </w:tc>
        <w:tc>
          <w:tcPr>
            <w:tcW w:w="1384" w:type="dxa"/>
            <w:vAlign w:val="center"/>
          </w:tcPr>
          <w:p w14:paraId="206B03DA">
            <w:pPr>
              <w:jc w:val="right"/>
            </w:pPr>
            <w:r>
              <w:rPr>
                <w:rFonts w:hint="eastAsia"/>
              </w:rPr>
              <w:t>-</w:t>
            </w:r>
          </w:p>
        </w:tc>
        <w:tc>
          <w:tcPr>
            <w:tcW w:w="1384" w:type="dxa"/>
            <w:vAlign w:val="center"/>
          </w:tcPr>
          <w:p w14:paraId="43375DAA">
            <w:pPr>
              <w:jc w:val="right"/>
            </w:pPr>
            <w:r>
              <w:rPr>
                <w:rFonts w:hint="eastAsia"/>
              </w:rPr>
              <w:t>-</w:t>
            </w:r>
          </w:p>
        </w:tc>
        <w:tc>
          <w:tcPr>
            <w:tcW w:w="1384" w:type="dxa"/>
            <w:vAlign w:val="center"/>
          </w:tcPr>
          <w:p w14:paraId="58F1275E">
            <w:pPr>
              <w:jc w:val="right"/>
            </w:pPr>
            <w:r>
              <w:rPr>
                <w:rFonts w:hint="eastAsia"/>
              </w:rPr>
              <w:t>51,157.43</w:t>
            </w:r>
          </w:p>
        </w:tc>
      </w:tr>
      <w:tr w14:paraId="143A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2C1555">
            <w:r>
              <w:rPr>
                <w:rFonts w:hint="eastAsia"/>
              </w:rPr>
              <w:t>交易性金融资产</w:t>
            </w:r>
          </w:p>
        </w:tc>
        <w:tc>
          <w:tcPr>
            <w:tcW w:w="1384" w:type="dxa"/>
            <w:vAlign w:val="center"/>
          </w:tcPr>
          <w:p w14:paraId="07C781DF">
            <w:pPr>
              <w:jc w:val="right"/>
            </w:pPr>
            <w:r>
              <w:rPr>
                <w:rFonts w:hint="eastAsia"/>
              </w:rPr>
              <w:t>-</w:t>
            </w:r>
          </w:p>
        </w:tc>
        <w:tc>
          <w:tcPr>
            <w:tcW w:w="1384" w:type="dxa"/>
            <w:vAlign w:val="center"/>
          </w:tcPr>
          <w:p w14:paraId="4EFD7983">
            <w:pPr>
              <w:jc w:val="right"/>
            </w:pPr>
            <w:r>
              <w:rPr>
                <w:rFonts w:hint="eastAsia"/>
              </w:rPr>
              <w:t>-</w:t>
            </w:r>
          </w:p>
        </w:tc>
        <w:tc>
          <w:tcPr>
            <w:tcW w:w="1384" w:type="dxa"/>
            <w:vAlign w:val="center"/>
          </w:tcPr>
          <w:p w14:paraId="0389606E">
            <w:pPr>
              <w:jc w:val="right"/>
            </w:pPr>
            <w:r>
              <w:rPr>
                <w:rFonts w:hint="eastAsia"/>
              </w:rPr>
              <w:t>-</w:t>
            </w:r>
          </w:p>
        </w:tc>
        <w:tc>
          <w:tcPr>
            <w:tcW w:w="1384" w:type="dxa"/>
            <w:vAlign w:val="center"/>
          </w:tcPr>
          <w:p w14:paraId="4990B4E0">
            <w:pPr>
              <w:jc w:val="right"/>
            </w:pPr>
            <w:r>
              <w:rPr>
                <w:rFonts w:hint="eastAsia"/>
              </w:rPr>
              <w:t>254,249,873.66</w:t>
            </w:r>
          </w:p>
        </w:tc>
        <w:tc>
          <w:tcPr>
            <w:tcW w:w="1384" w:type="dxa"/>
            <w:vAlign w:val="center"/>
          </w:tcPr>
          <w:p w14:paraId="21F646E0">
            <w:pPr>
              <w:jc w:val="right"/>
            </w:pPr>
            <w:r>
              <w:rPr>
                <w:rFonts w:hint="eastAsia"/>
              </w:rPr>
              <w:t>254,249,873.66</w:t>
            </w:r>
          </w:p>
        </w:tc>
      </w:tr>
      <w:tr w14:paraId="4B2E1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CFFF0">
            <w:r>
              <w:rPr>
                <w:rFonts w:hint="eastAsia"/>
              </w:rPr>
              <w:t>衍生金融资产</w:t>
            </w:r>
          </w:p>
        </w:tc>
        <w:tc>
          <w:tcPr>
            <w:tcW w:w="1384" w:type="dxa"/>
            <w:vAlign w:val="center"/>
          </w:tcPr>
          <w:p w14:paraId="7411CE73">
            <w:pPr>
              <w:jc w:val="right"/>
            </w:pPr>
            <w:r>
              <w:rPr>
                <w:rFonts w:hint="eastAsia"/>
              </w:rPr>
              <w:t>-</w:t>
            </w:r>
          </w:p>
        </w:tc>
        <w:tc>
          <w:tcPr>
            <w:tcW w:w="1384" w:type="dxa"/>
            <w:vAlign w:val="center"/>
          </w:tcPr>
          <w:p w14:paraId="4BEAF69B">
            <w:pPr>
              <w:jc w:val="right"/>
            </w:pPr>
            <w:r>
              <w:rPr>
                <w:rFonts w:hint="eastAsia"/>
              </w:rPr>
              <w:t>-</w:t>
            </w:r>
          </w:p>
        </w:tc>
        <w:tc>
          <w:tcPr>
            <w:tcW w:w="1384" w:type="dxa"/>
            <w:vAlign w:val="center"/>
          </w:tcPr>
          <w:p w14:paraId="1C028D9C">
            <w:pPr>
              <w:jc w:val="right"/>
            </w:pPr>
            <w:r>
              <w:rPr>
                <w:rFonts w:hint="eastAsia"/>
              </w:rPr>
              <w:t>-</w:t>
            </w:r>
          </w:p>
        </w:tc>
        <w:tc>
          <w:tcPr>
            <w:tcW w:w="1384" w:type="dxa"/>
            <w:vAlign w:val="center"/>
          </w:tcPr>
          <w:p w14:paraId="1468656C">
            <w:pPr>
              <w:jc w:val="right"/>
            </w:pPr>
            <w:r>
              <w:rPr>
                <w:rFonts w:hint="eastAsia"/>
              </w:rPr>
              <w:t>-</w:t>
            </w:r>
          </w:p>
        </w:tc>
        <w:tc>
          <w:tcPr>
            <w:tcW w:w="1384" w:type="dxa"/>
            <w:vAlign w:val="center"/>
          </w:tcPr>
          <w:p w14:paraId="06196FE8">
            <w:pPr>
              <w:jc w:val="right"/>
            </w:pPr>
            <w:r>
              <w:rPr>
                <w:rFonts w:hint="eastAsia"/>
              </w:rPr>
              <w:t>-</w:t>
            </w:r>
          </w:p>
        </w:tc>
      </w:tr>
      <w:tr w14:paraId="14B7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634FF4">
            <w:r>
              <w:rPr>
                <w:rFonts w:hint="eastAsia"/>
              </w:rPr>
              <w:t>买入返售金融资产</w:t>
            </w:r>
          </w:p>
        </w:tc>
        <w:tc>
          <w:tcPr>
            <w:tcW w:w="1384" w:type="dxa"/>
            <w:vAlign w:val="center"/>
          </w:tcPr>
          <w:p w14:paraId="1D9D6FD2">
            <w:pPr>
              <w:jc w:val="right"/>
            </w:pPr>
            <w:r>
              <w:rPr>
                <w:rFonts w:hint="eastAsia"/>
              </w:rPr>
              <w:t>-</w:t>
            </w:r>
          </w:p>
        </w:tc>
        <w:tc>
          <w:tcPr>
            <w:tcW w:w="1384" w:type="dxa"/>
            <w:vAlign w:val="center"/>
          </w:tcPr>
          <w:p w14:paraId="6DB251B4">
            <w:pPr>
              <w:jc w:val="right"/>
            </w:pPr>
            <w:r>
              <w:rPr>
                <w:rFonts w:hint="eastAsia"/>
              </w:rPr>
              <w:t>-</w:t>
            </w:r>
          </w:p>
        </w:tc>
        <w:tc>
          <w:tcPr>
            <w:tcW w:w="1384" w:type="dxa"/>
            <w:vAlign w:val="center"/>
          </w:tcPr>
          <w:p w14:paraId="3CEE41A2">
            <w:pPr>
              <w:jc w:val="right"/>
            </w:pPr>
            <w:r>
              <w:rPr>
                <w:rFonts w:hint="eastAsia"/>
              </w:rPr>
              <w:t>-</w:t>
            </w:r>
          </w:p>
        </w:tc>
        <w:tc>
          <w:tcPr>
            <w:tcW w:w="1384" w:type="dxa"/>
            <w:vAlign w:val="center"/>
          </w:tcPr>
          <w:p w14:paraId="3460C659">
            <w:pPr>
              <w:jc w:val="right"/>
            </w:pPr>
            <w:r>
              <w:rPr>
                <w:rFonts w:hint="eastAsia"/>
              </w:rPr>
              <w:t>-</w:t>
            </w:r>
          </w:p>
        </w:tc>
        <w:tc>
          <w:tcPr>
            <w:tcW w:w="1384" w:type="dxa"/>
            <w:vAlign w:val="center"/>
          </w:tcPr>
          <w:p w14:paraId="1C4C14EB">
            <w:pPr>
              <w:jc w:val="right"/>
            </w:pPr>
            <w:r>
              <w:rPr>
                <w:rFonts w:hint="eastAsia"/>
              </w:rPr>
              <w:t>-</w:t>
            </w:r>
          </w:p>
        </w:tc>
      </w:tr>
      <w:tr w14:paraId="25A5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BBE199">
            <w:r>
              <w:rPr>
                <w:rFonts w:hint="eastAsia"/>
              </w:rPr>
              <w:t>债权投资</w:t>
            </w:r>
          </w:p>
        </w:tc>
        <w:tc>
          <w:tcPr>
            <w:tcW w:w="1384" w:type="dxa"/>
            <w:vAlign w:val="center"/>
          </w:tcPr>
          <w:p w14:paraId="51E88311">
            <w:pPr>
              <w:jc w:val="right"/>
            </w:pPr>
            <w:r>
              <w:rPr>
                <w:rFonts w:hint="eastAsia"/>
              </w:rPr>
              <w:t>-</w:t>
            </w:r>
          </w:p>
        </w:tc>
        <w:tc>
          <w:tcPr>
            <w:tcW w:w="1384" w:type="dxa"/>
            <w:vAlign w:val="center"/>
          </w:tcPr>
          <w:p w14:paraId="72B65EE4">
            <w:pPr>
              <w:jc w:val="right"/>
            </w:pPr>
            <w:r>
              <w:rPr>
                <w:rFonts w:hint="eastAsia"/>
              </w:rPr>
              <w:t>-</w:t>
            </w:r>
          </w:p>
        </w:tc>
        <w:tc>
          <w:tcPr>
            <w:tcW w:w="1384" w:type="dxa"/>
            <w:vAlign w:val="center"/>
          </w:tcPr>
          <w:p w14:paraId="67537CA4">
            <w:pPr>
              <w:jc w:val="right"/>
            </w:pPr>
            <w:r>
              <w:rPr>
                <w:rFonts w:hint="eastAsia"/>
              </w:rPr>
              <w:t>-</w:t>
            </w:r>
          </w:p>
        </w:tc>
        <w:tc>
          <w:tcPr>
            <w:tcW w:w="1384" w:type="dxa"/>
            <w:vAlign w:val="center"/>
          </w:tcPr>
          <w:p w14:paraId="5A050EFC">
            <w:pPr>
              <w:jc w:val="right"/>
            </w:pPr>
            <w:r>
              <w:rPr>
                <w:rFonts w:hint="eastAsia"/>
              </w:rPr>
              <w:t>-</w:t>
            </w:r>
          </w:p>
        </w:tc>
        <w:tc>
          <w:tcPr>
            <w:tcW w:w="1384" w:type="dxa"/>
            <w:vAlign w:val="center"/>
          </w:tcPr>
          <w:p w14:paraId="1388D032">
            <w:pPr>
              <w:jc w:val="right"/>
            </w:pPr>
            <w:r>
              <w:rPr>
                <w:rFonts w:hint="eastAsia"/>
              </w:rPr>
              <w:t>-</w:t>
            </w:r>
          </w:p>
        </w:tc>
      </w:tr>
      <w:tr w14:paraId="75AF1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12D9A">
            <w:r>
              <w:rPr>
                <w:rFonts w:hint="eastAsia"/>
              </w:rPr>
              <w:t>其他债权投资</w:t>
            </w:r>
          </w:p>
        </w:tc>
        <w:tc>
          <w:tcPr>
            <w:tcW w:w="1384" w:type="dxa"/>
            <w:vAlign w:val="center"/>
          </w:tcPr>
          <w:p w14:paraId="003703FE">
            <w:pPr>
              <w:jc w:val="right"/>
            </w:pPr>
            <w:r>
              <w:rPr>
                <w:rFonts w:hint="eastAsia"/>
              </w:rPr>
              <w:t>-</w:t>
            </w:r>
          </w:p>
        </w:tc>
        <w:tc>
          <w:tcPr>
            <w:tcW w:w="1384" w:type="dxa"/>
            <w:vAlign w:val="center"/>
          </w:tcPr>
          <w:p w14:paraId="602E19DA">
            <w:pPr>
              <w:jc w:val="right"/>
            </w:pPr>
            <w:r>
              <w:rPr>
                <w:rFonts w:hint="eastAsia"/>
              </w:rPr>
              <w:t>-</w:t>
            </w:r>
          </w:p>
        </w:tc>
        <w:tc>
          <w:tcPr>
            <w:tcW w:w="1384" w:type="dxa"/>
            <w:vAlign w:val="center"/>
          </w:tcPr>
          <w:p w14:paraId="4F71CEEB">
            <w:pPr>
              <w:jc w:val="right"/>
            </w:pPr>
            <w:r>
              <w:rPr>
                <w:rFonts w:hint="eastAsia"/>
              </w:rPr>
              <w:t>-</w:t>
            </w:r>
          </w:p>
        </w:tc>
        <w:tc>
          <w:tcPr>
            <w:tcW w:w="1384" w:type="dxa"/>
            <w:vAlign w:val="center"/>
          </w:tcPr>
          <w:p w14:paraId="5E2FA652">
            <w:pPr>
              <w:jc w:val="right"/>
            </w:pPr>
            <w:r>
              <w:rPr>
                <w:rFonts w:hint="eastAsia"/>
              </w:rPr>
              <w:t>-</w:t>
            </w:r>
          </w:p>
        </w:tc>
        <w:tc>
          <w:tcPr>
            <w:tcW w:w="1384" w:type="dxa"/>
            <w:vAlign w:val="center"/>
          </w:tcPr>
          <w:p w14:paraId="06F5DC7C">
            <w:pPr>
              <w:jc w:val="right"/>
            </w:pPr>
            <w:r>
              <w:rPr>
                <w:rFonts w:hint="eastAsia"/>
              </w:rPr>
              <w:t>-</w:t>
            </w:r>
          </w:p>
        </w:tc>
      </w:tr>
      <w:tr w14:paraId="4084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EA775">
            <w:r>
              <w:rPr>
                <w:rFonts w:hint="eastAsia"/>
              </w:rPr>
              <w:t>其他权益工具投资</w:t>
            </w:r>
          </w:p>
        </w:tc>
        <w:tc>
          <w:tcPr>
            <w:tcW w:w="1384" w:type="dxa"/>
            <w:vAlign w:val="center"/>
          </w:tcPr>
          <w:p w14:paraId="7DE6A3BF">
            <w:pPr>
              <w:jc w:val="right"/>
            </w:pPr>
            <w:r>
              <w:rPr>
                <w:rFonts w:hint="eastAsia"/>
              </w:rPr>
              <w:t>-</w:t>
            </w:r>
          </w:p>
        </w:tc>
        <w:tc>
          <w:tcPr>
            <w:tcW w:w="1384" w:type="dxa"/>
            <w:vAlign w:val="center"/>
          </w:tcPr>
          <w:p w14:paraId="1D6A9304">
            <w:pPr>
              <w:jc w:val="right"/>
            </w:pPr>
            <w:r>
              <w:rPr>
                <w:rFonts w:hint="eastAsia"/>
              </w:rPr>
              <w:t>-</w:t>
            </w:r>
          </w:p>
        </w:tc>
        <w:tc>
          <w:tcPr>
            <w:tcW w:w="1384" w:type="dxa"/>
            <w:vAlign w:val="center"/>
          </w:tcPr>
          <w:p w14:paraId="3C1688E4">
            <w:pPr>
              <w:jc w:val="right"/>
            </w:pPr>
            <w:r>
              <w:rPr>
                <w:rFonts w:hint="eastAsia"/>
              </w:rPr>
              <w:t>-</w:t>
            </w:r>
          </w:p>
        </w:tc>
        <w:tc>
          <w:tcPr>
            <w:tcW w:w="1384" w:type="dxa"/>
            <w:vAlign w:val="center"/>
          </w:tcPr>
          <w:p w14:paraId="16EA8401">
            <w:pPr>
              <w:jc w:val="right"/>
            </w:pPr>
            <w:r>
              <w:rPr>
                <w:rFonts w:hint="eastAsia"/>
              </w:rPr>
              <w:t>-</w:t>
            </w:r>
          </w:p>
        </w:tc>
        <w:tc>
          <w:tcPr>
            <w:tcW w:w="1384" w:type="dxa"/>
            <w:vAlign w:val="center"/>
          </w:tcPr>
          <w:p w14:paraId="59D39B6F">
            <w:pPr>
              <w:jc w:val="right"/>
            </w:pPr>
            <w:r>
              <w:rPr>
                <w:rFonts w:hint="eastAsia"/>
              </w:rPr>
              <w:t>-</w:t>
            </w:r>
          </w:p>
        </w:tc>
      </w:tr>
      <w:tr w14:paraId="74DF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7BF779">
            <w:r>
              <w:rPr>
                <w:rFonts w:hint="eastAsia"/>
              </w:rPr>
              <w:t>应收清算款</w:t>
            </w:r>
          </w:p>
        </w:tc>
        <w:tc>
          <w:tcPr>
            <w:tcW w:w="1384" w:type="dxa"/>
            <w:vAlign w:val="center"/>
          </w:tcPr>
          <w:p w14:paraId="03EBBB29">
            <w:pPr>
              <w:jc w:val="right"/>
            </w:pPr>
            <w:r>
              <w:rPr>
                <w:rFonts w:hint="eastAsia"/>
              </w:rPr>
              <w:t>-</w:t>
            </w:r>
          </w:p>
        </w:tc>
        <w:tc>
          <w:tcPr>
            <w:tcW w:w="1384" w:type="dxa"/>
            <w:vAlign w:val="center"/>
          </w:tcPr>
          <w:p w14:paraId="0210E7AC">
            <w:pPr>
              <w:jc w:val="right"/>
            </w:pPr>
            <w:r>
              <w:rPr>
                <w:rFonts w:hint="eastAsia"/>
              </w:rPr>
              <w:t>-</w:t>
            </w:r>
          </w:p>
        </w:tc>
        <w:tc>
          <w:tcPr>
            <w:tcW w:w="1384" w:type="dxa"/>
            <w:vAlign w:val="center"/>
          </w:tcPr>
          <w:p w14:paraId="5E09EAAA">
            <w:pPr>
              <w:jc w:val="right"/>
            </w:pPr>
            <w:r>
              <w:rPr>
                <w:rFonts w:hint="eastAsia"/>
              </w:rPr>
              <w:t>-</w:t>
            </w:r>
          </w:p>
        </w:tc>
        <w:tc>
          <w:tcPr>
            <w:tcW w:w="1384" w:type="dxa"/>
            <w:vAlign w:val="center"/>
          </w:tcPr>
          <w:p w14:paraId="07D630EE">
            <w:pPr>
              <w:jc w:val="right"/>
            </w:pPr>
            <w:r>
              <w:rPr>
                <w:rFonts w:hint="eastAsia"/>
              </w:rPr>
              <w:t>2,499,867.99</w:t>
            </w:r>
          </w:p>
        </w:tc>
        <w:tc>
          <w:tcPr>
            <w:tcW w:w="1384" w:type="dxa"/>
            <w:vAlign w:val="center"/>
          </w:tcPr>
          <w:p w14:paraId="06868785">
            <w:pPr>
              <w:jc w:val="right"/>
            </w:pPr>
            <w:r>
              <w:rPr>
                <w:rFonts w:hint="eastAsia"/>
              </w:rPr>
              <w:t>2,499,867.99</w:t>
            </w:r>
          </w:p>
        </w:tc>
      </w:tr>
      <w:tr w14:paraId="6D647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9812D">
            <w:r>
              <w:rPr>
                <w:rFonts w:hint="eastAsia"/>
              </w:rPr>
              <w:t>应收股利</w:t>
            </w:r>
          </w:p>
        </w:tc>
        <w:tc>
          <w:tcPr>
            <w:tcW w:w="1384" w:type="dxa"/>
            <w:vAlign w:val="center"/>
          </w:tcPr>
          <w:p w14:paraId="40D0F736">
            <w:pPr>
              <w:jc w:val="right"/>
            </w:pPr>
            <w:r>
              <w:rPr>
                <w:rFonts w:hint="eastAsia"/>
              </w:rPr>
              <w:t>-</w:t>
            </w:r>
          </w:p>
        </w:tc>
        <w:tc>
          <w:tcPr>
            <w:tcW w:w="1384" w:type="dxa"/>
            <w:vAlign w:val="center"/>
          </w:tcPr>
          <w:p w14:paraId="75C77C97">
            <w:pPr>
              <w:jc w:val="right"/>
            </w:pPr>
            <w:r>
              <w:rPr>
                <w:rFonts w:hint="eastAsia"/>
              </w:rPr>
              <w:t>-</w:t>
            </w:r>
          </w:p>
        </w:tc>
        <w:tc>
          <w:tcPr>
            <w:tcW w:w="1384" w:type="dxa"/>
            <w:vAlign w:val="center"/>
          </w:tcPr>
          <w:p w14:paraId="14B673BE">
            <w:pPr>
              <w:jc w:val="right"/>
            </w:pPr>
            <w:r>
              <w:rPr>
                <w:rFonts w:hint="eastAsia"/>
              </w:rPr>
              <w:t>-</w:t>
            </w:r>
          </w:p>
        </w:tc>
        <w:tc>
          <w:tcPr>
            <w:tcW w:w="1384" w:type="dxa"/>
            <w:vAlign w:val="center"/>
          </w:tcPr>
          <w:p w14:paraId="708465D9">
            <w:pPr>
              <w:jc w:val="right"/>
            </w:pPr>
            <w:r>
              <w:rPr>
                <w:rFonts w:hint="eastAsia"/>
              </w:rPr>
              <w:t>-</w:t>
            </w:r>
          </w:p>
        </w:tc>
        <w:tc>
          <w:tcPr>
            <w:tcW w:w="1384" w:type="dxa"/>
            <w:vAlign w:val="center"/>
          </w:tcPr>
          <w:p w14:paraId="019DA27B">
            <w:pPr>
              <w:jc w:val="right"/>
            </w:pPr>
            <w:r>
              <w:rPr>
                <w:rFonts w:hint="eastAsia"/>
              </w:rPr>
              <w:t>-</w:t>
            </w:r>
          </w:p>
        </w:tc>
      </w:tr>
      <w:tr w14:paraId="174E9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DBDCBE">
            <w:r>
              <w:rPr>
                <w:rFonts w:hint="eastAsia"/>
              </w:rPr>
              <w:t>应收申购款</w:t>
            </w:r>
          </w:p>
        </w:tc>
        <w:tc>
          <w:tcPr>
            <w:tcW w:w="1384" w:type="dxa"/>
            <w:vAlign w:val="center"/>
          </w:tcPr>
          <w:p w14:paraId="48F32255">
            <w:pPr>
              <w:jc w:val="right"/>
            </w:pPr>
            <w:r>
              <w:rPr>
                <w:rFonts w:hint="eastAsia"/>
              </w:rPr>
              <w:t>179,965.56</w:t>
            </w:r>
          </w:p>
        </w:tc>
        <w:tc>
          <w:tcPr>
            <w:tcW w:w="1384" w:type="dxa"/>
            <w:vAlign w:val="center"/>
          </w:tcPr>
          <w:p w14:paraId="0BD86166">
            <w:pPr>
              <w:jc w:val="right"/>
            </w:pPr>
            <w:r>
              <w:rPr>
                <w:rFonts w:hint="eastAsia"/>
              </w:rPr>
              <w:t>-</w:t>
            </w:r>
          </w:p>
        </w:tc>
        <w:tc>
          <w:tcPr>
            <w:tcW w:w="1384" w:type="dxa"/>
            <w:vAlign w:val="center"/>
          </w:tcPr>
          <w:p w14:paraId="188599E0">
            <w:pPr>
              <w:jc w:val="right"/>
            </w:pPr>
            <w:r>
              <w:rPr>
                <w:rFonts w:hint="eastAsia"/>
              </w:rPr>
              <w:t>-</w:t>
            </w:r>
          </w:p>
        </w:tc>
        <w:tc>
          <w:tcPr>
            <w:tcW w:w="1384" w:type="dxa"/>
            <w:vAlign w:val="center"/>
          </w:tcPr>
          <w:p w14:paraId="39651839">
            <w:pPr>
              <w:jc w:val="right"/>
            </w:pPr>
            <w:r>
              <w:rPr>
                <w:rFonts w:hint="eastAsia"/>
              </w:rPr>
              <w:t>5,465,846.44</w:t>
            </w:r>
          </w:p>
        </w:tc>
        <w:tc>
          <w:tcPr>
            <w:tcW w:w="1384" w:type="dxa"/>
            <w:vAlign w:val="center"/>
          </w:tcPr>
          <w:p w14:paraId="7D2E496E">
            <w:pPr>
              <w:jc w:val="right"/>
            </w:pPr>
            <w:r>
              <w:rPr>
                <w:rFonts w:hint="eastAsia"/>
              </w:rPr>
              <w:t>5,645,812.00</w:t>
            </w:r>
          </w:p>
        </w:tc>
      </w:tr>
      <w:tr w14:paraId="02BF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0AB71">
            <w:r>
              <w:rPr>
                <w:rFonts w:hint="eastAsia"/>
              </w:rPr>
              <w:t>递延所得税资产</w:t>
            </w:r>
          </w:p>
        </w:tc>
        <w:tc>
          <w:tcPr>
            <w:tcW w:w="1384" w:type="dxa"/>
            <w:vAlign w:val="center"/>
          </w:tcPr>
          <w:p w14:paraId="7A93826B">
            <w:pPr>
              <w:jc w:val="right"/>
            </w:pPr>
            <w:r>
              <w:rPr>
                <w:rFonts w:hint="eastAsia"/>
              </w:rPr>
              <w:t>-</w:t>
            </w:r>
          </w:p>
        </w:tc>
        <w:tc>
          <w:tcPr>
            <w:tcW w:w="1384" w:type="dxa"/>
            <w:vAlign w:val="center"/>
          </w:tcPr>
          <w:p w14:paraId="56AED030">
            <w:pPr>
              <w:jc w:val="right"/>
            </w:pPr>
            <w:r>
              <w:rPr>
                <w:rFonts w:hint="eastAsia"/>
              </w:rPr>
              <w:t>-</w:t>
            </w:r>
          </w:p>
        </w:tc>
        <w:tc>
          <w:tcPr>
            <w:tcW w:w="1384" w:type="dxa"/>
            <w:vAlign w:val="center"/>
          </w:tcPr>
          <w:p w14:paraId="4E3063A7">
            <w:pPr>
              <w:jc w:val="right"/>
            </w:pPr>
            <w:r>
              <w:rPr>
                <w:rFonts w:hint="eastAsia"/>
              </w:rPr>
              <w:t>-</w:t>
            </w:r>
          </w:p>
        </w:tc>
        <w:tc>
          <w:tcPr>
            <w:tcW w:w="1384" w:type="dxa"/>
            <w:vAlign w:val="center"/>
          </w:tcPr>
          <w:p w14:paraId="6AAB7590">
            <w:pPr>
              <w:jc w:val="right"/>
            </w:pPr>
            <w:r>
              <w:rPr>
                <w:rFonts w:hint="eastAsia"/>
              </w:rPr>
              <w:t>-</w:t>
            </w:r>
          </w:p>
        </w:tc>
        <w:tc>
          <w:tcPr>
            <w:tcW w:w="1384" w:type="dxa"/>
            <w:vAlign w:val="center"/>
          </w:tcPr>
          <w:p w14:paraId="1815FC30">
            <w:pPr>
              <w:jc w:val="right"/>
            </w:pPr>
            <w:r>
              <w:rPr>
                <w:rFonts w:hint="eastAsia"/>
              </w:rPr>
              <w:t>-</w:t>
            </w:r>
          </w:p>
        </w:tc>
      </w:tr>
      <w:tr w14:paraId="1B47E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B6AD5">
            <w:r>
              <w:rPr>
                <w:rFonts w:hint="eastAsia"/>
              </w:rPr>
              <w:t>其他资产</w:t>
            </w:r>
          </w:p>
        </w:tc>
        <w:tc>
          <w:tcPr>
            <w:tcW w:w="1384" w:type="dxa"/>
            <w:vAlign w:val="center"/>
          </w:tcPr>
          <w:p w14:paraId="4E3F174D">
            <w:pPr>
              <w:jc w:val="right"/>
            </w:pPr>
            <w:r>
              <w:rPr>
                <w:rFonts w:hint="eastAsia"/>
              </w:rPr>
              <w:t>-</w:t>
            </w:r>
          </w:p>
        </w:tc>
        <w:tc>
          <w:tcPr>
            <w:tcW w:w="1384" w:type="dxa"/>
            <w:vAlign w:val="center"/>
          </w:tcPr>
          <w:p w14:paraId="6F7CE8FB">
            <w:pPr>
              <w:jc w:val="right"/>
            </w:pPr>
            <w:r>
              <w:rPr>
                <w:rFonts w:hint="eastAsia"/>
              </w:rPr>
              <w:t>-</w:t>
            </w:r>
          </w:p>
        </w:tc>
        <w:tc>
          <w:tcPr>
            <w:tcW w:w="1384" w:type="dxa"/>
            <w:vAlign w:val="center"/>
          </w:tcPr>
          <w:p w14:paraId="68B77E8D">
            <w:pPr>
              <w:jc w:val="right"/>
            </w:pPr>
            <w:r>
              <w:rPr>
                <w:rFonts w:hint="eastAsia"/>
              </w:rPr>
              <w:t>-</w:t>
            </w:r>
          </w:p>
        </w:tc>
        <w:tc>
          <w:tcPr>
            <w:tcW w:w="1384" w:type="dxa"/>
            <w:vAlign w:val="center"/>
          </w:tcPr>
          <w:p w14:paraId="75FB3CE0">
            <w:pPr>
              <w:jc w:val="right"/>
            </w:pPr>
            <w:r>
              <w:rPr>
                <w:rFonts w:hint="eastAsia"/>
              </w:rPr>
              <w:t>-</w:t>
            </w:r>
          </w:p>
        </w:tc>
        <w:tc>
          <w:tcPr>
            <w:tcW w:w="1384" w:type="dxa"/>
            <w:vAlign w:val="center"/>
          </w:tcPr>
          <w:p w14:paraId="0137BEE6">
            <w:pPr>
              <w:jc w:val="right"/>
            </w:pPr>
            <w:r>
              <w:rPr>
                <w:rFonts w:hint="eastAsia"/>
              </w:rPr>
              <w:t>-</w:t>
            </w:r>
          </w:p>
        </w:tc>
      </w:tr>
      <w:tr w14:paraId="45C97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C310E1">
            <w:r>
              <w:rPr>
                <w:rFonts w:hint="eastAsia"/>
              </w:rPr>
              <w:t>资产总计</w:t>
            </w:r>
          </w:p>
        </w:tc>
        <w:tc>
          <w:tcPr>
            <w:tcW w:w="1384" w:type="dxa"/>
            <w:vAlign w:val="center"/>
          </w:tcPr>
          <w:p w14:paraId="1F479CC5">
            <w:pPr>
              <w:jc w:val="right"/>
            </w:pPr>
            <w:r>
              <w:rPr>
                <w:rFonts w:hint="eastAsia"/>
              </w:rPr>
              <w:t>26,502,314.62</w:t>
            </w:r>
          </w:p>
        </w:tc>
        <w:tc>
          <w:tcPr>
            <w:tcW w:w="1384" w:type="dxa"/>
            <w:vAlign w:val="center"/>
          </w:tcPr>
          <w:p w14:paraId="4CD2BC13">
            <w:pPr>
              <w:jc w:val="right"/>
            </w:pPr>
            <w:r>
              <w:rPr>
                <w:rFonts w:hint="eastAsia"/>
              </w:rPr>
              <w:t>-</w:t>
            </w:r>
          </w:p>
        </w:tc>
        <w:tc>
          <w:tcPr>
            <w:tcW w:w="1384" w:type="dxa"/>
            <w:vAlign w:val="center"/>
          </w:tcPr>
          <w:p w14:paraId="6C611D1E">
            <w:pPr>
              <w:jc w:val="right"/>
            </w:pPr>
            <w:r>
              <w:rPr>
                <w:rFonts w:hint="eastAsia"/>
              </w:rPr>
              <w:t>-</w:t>
            </w:r>
          </w:p>
        </w:tc>
        <w:tc>
          <w:tcPr>
            <w:tcW w:w="1384" w:type="dxa"/>
            <w:vAlign w:val="center"/>
          </w:tcPr>
          <w:p w14:paraId="00868E56">
            <w:pPr>
              <w:jc w:val="right"/>
            </w:pPr>
            <w:r>
              <w:rPr>
                <w:rFonts w:hint="eastAsia"/>
              </w:rPr>
              <w:t>262,215,588.09</w:t>
            </w:r>
          </w:p>
        </w:tc>
        <w:tc>
          <w:tcPr>
            <w:tcW w:w="1384" w:type="dxa"/>
            <w:vAlign w:val="center"/>
          </w:tcPr>
          <w:p w14:paraId="4219948B">
            <w:pPr>
              <w:jc w:val="right"/>
            </w:pPr>
            <w:r>
              <w:rPr>
                <w:rFonts w:hint="eastAsia"/>
              </w:rPr>
              <w:t>288,717,902.71</w:t>
            </w:r>
          </w:p>
        </w:tc>
      </w:tr>
      <w:tr w14:paraId="7F50C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9FB18">
            <w:r>
              <w:rPr>
                <w:rFonts w:hint="eastAsia"/>
              </w:rPr>
              <w:t>负债</w:t>
            </w:r>
          </w:p>
        </w:tc>
        <w:tc>
          <w:tcPr>
            <w:tcW w:w="1384" w:type="dxa"/>
            <w:vAlign w:val="center"/>
          </w:tcPr>
          <w:p w14:paraId="486F9748"/>
        </w:tc>
        <w:tc>
          <w:tcPr>
            <w:tcW w:w="1384" w:type="dxa"/>
            <w:vAlign w:val="center"/>
          </w:tcPr>
          <w:p w14:paraId="43479543"/>
        </w:tc>
        <w:tc>
          <w:tcPr>
            <w:tcW w:w="1384" w:type="dxa"/>
            <w:vAlign w:val="center"/>
          </w:tcPr>
          <w:p w14:paraId="7E1C8B50"/>
        </w:tc>
        <w:tc>
          <w:tcPr>
            <w:tcW w:w="1384" w:type="dxa"/>
            <w:vAlign w:val="center"/>
          </w:tcPr>
          <w:p w14:paraId="31E6879C"/>
        </w:tc>
        <w:tc>
          <w:tcPr>
            <w:tcW w:w="1384" w:type="dxa"/>
            <w:vAlign w:val="center"/>
          </w:tcPr>
          <w:p w14:paraId="05C52C81"/>
        </w:tc>
      </w:tr>
      <w:tr w14:paraId="0979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076445">
            <w:r>
              <w:rPr>
                <w:rFonts w:hint="eastAsia"/>
              </w:rPr>
              <w:t>短期借款</w:t>
            </w:r>
          </w:p>
        </w:tc>
        <w:tc>
          <w:tcPr>
            <w:tcW w:w="1384" w:type="dxa"/>
            <w:vAlign w:val="center"/>
          </w:tcPr>
          <w:p w14:paraId="4242966B">
            <w:pPr>
              <w:jc w:val="right"/>
            </w:pPr>
            <w:r>
              <w:rPr>
                <w:rFonts w:hint="eastAsia"/>
              </w:rPr>
              <w:t>-</w:t>
            </w:r>
          </w:p>
        </w:tc>
        <w:tc>
          <w:tcPr>
            <w:tcW w:w="1384" w:type="dxa"/>
            <w:vAlign w:val="center"/>
          </w:tcPr>
          <w:p w14:paraId="5B4E4ECD">
            <w:pPr>
              <w:jc w:val="right"/>
            </w:pPr>
            <w:r>
              <w:rPr>
                <w:rFonts w:hint="eastAsia"/>
              </w:rPr>
              <w:t>-</w:t>
            </w:r>
          </w:p>
        </w:tc>
        <w:tc>
          <w:tcPr>
            <w:tcW w:w="1384" w:type="dxa"/>
            <w:vAlign w:val="center"/>
          </w:tcPr>
          <w:p w14:paraId="77E1FAC3">
            <w:pPr>
              <w:jc w:val="right"/>
            </w:pPr>
            <w:r>
              <w:rPr>
                <w:rFonts w:hint="eastAsia"/>
              </w:rPr>
              <w:t>-</w:t>
            </w:r>
          </w:p>
        </w:tc>
        <w:tc>
          <w:tcPr>
            <w:tcW w:w="1384" w:type="dxa"/>
            <w:vAlign w:val="center"/>
          </w:tcPr>
          <w:p w14:paraId="29E283A0">
            <w:pPr>
              <w:jc w:val="right"/>
            </w:pPr>
            <w:r>
              <w:rPr>
                <w:rFonts w:hint="eastAsia"/>
              </w:rPr>
              <w:t>-</w:t>
            </w:r>
          </w:p>
        </w:tc>
        <w:tc>
          <w:tcPr>
            <w:tcW w:w="1384" w:type="dxa"/>
            <w:vAlign w:val="center"/>
          </w:tcPr>
          <w:p w14:paraId="6885DBE0">
            <w:pPr>
              <w:jc w:val="right"/>
            </w:pPr>
            <w:r>
              <w:rPr>
                <w:rFonts w:hint="eastAsia"/>
              </w:rPr>
              <w:t>-</w:t>
            </w:r>
          </w:p>
        </w:tc>
      </w:tr>
      <w:tr w14:paraId="77ADC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64A509">
            <w:r>
              <w:rPr>
                <w:rFonts w:hint="eastAsia"/>
              </w:rPr>
              <w:t>交易性金融负债</w:t>
            </w:r>
          </w:p>
        </w:tc>
        <w:tc>
          <w:tcPr>
            <w:tcW w:w="1384" w:type="dxa"/>
            <w:vAlign w:val="center"/>
          </w:tcPr>
          <w:p w14:paraId="02FA5C58">
            <w:pPr>
              <w:jc w:val="right"/>
            </w:pPr>
            <w:r>
              <w:rPr>
                <w:rFonts w:hint="eastAsia"/>
              </w:rPr>
              <w:t>-</w:t>
            </w:r>
          </w:p>
        </w:tc>
        <w:tc>
          <w:tcPr>
            <w:tcW w:w="1384" w:type="dxa"/>
            <w:vAlign w:val="center"/>
          </w:tcPr>
          <w:p w14:paraId="7CC01D48">
            <w:pPr>
              <w:jc w:val="right"/>
            </w:pPr>
            <w:r>
              <w:rPr>
                <w:rFonts w:hint="eastAsia"/>
              </w:rPr>
              <w:t>-</w:t>
            </w:r>
          </w:p>
        </w:tc>
        <w:tc>
          <w:tcPr>
            <w:tcW w:w="1384" w:type="dxa"/>
            <w:vAlign w:val="center"/>
          </w:tcPr>
          <w:p w14:paraId="75884D04">
            <w:pPr>
              <w:jc w:val="right"/>
            </w:pPr>
            <w:r>
              <w:rPr>
                <w:rFonts w:hint="eastAsia"/>
              </w:rPr>
              <w:t>-</w:t>
            </w:r>
          </w:p>
        </w:tc>
        <w:tc>
          <w:tcPr>
            <w:tcW w:w="1384" w:type="dxa"/>
            <w:vAlign w:val="center"/>
          </w:tcPr>
          <w:p w14:paraId="0FB70347">
            <w:pPr>
              <w:jc w:val="right"/>
            </w:pPr>
            <w:r>
              <w:rPr>
                <w:rFonts w:hint="eastAsia"/>
              </w:rPr>
              <w:t>-</w:t>
            </w:r>
          </w:p>
        </w:tc>
        <w:tc>
          <w:tcPr>
            <w:tcW w:w="1384" w:type="dxa"/>
            <w:vAlign w:val="center"/>
          </w:tcPr>
          <w:p w14:paraId="7549FE07">
            <w:pPr>
              <w:jc w:val="right"/>
            </w:pPr>
            <w:r>
              <w:rPr>
                <w:rFonts w:hint="eastAsia"/>
              </w:rPr>
              <w:t>-</w:t>
            </w:r>
          </w:p>
        </w:tc>
      </w:tr>
      <w:tr w14:paraId="44B3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370EEB">
            <w:r>
              <w:rPr>
                <w:rFonts w:hint="eastAsia"/>
              </w:rPr>
              <w:t>衍生金融负债</w:t>
            </w:r>
          </w:p>
        </w:tc>
        <w:tc>
          <w:tcPr>
            <w:tcW w:w="1384" w:type="dxa"/>
            <w:vAlign w:val="center"/>
          </w:tcPr>
          <w:p w14:paraId="0E05307A">
            <w:pPr>
              <w:jc w:val="right"/>
            </w:pPr>
            <w:r>
              <w:rPr>
                <w:rFonts w:hint="eastAsia"/>
              </w:rPr>
              <w:t>-</w:t>
            </w:r>
          </w:p>
        </w:tc>
        <w:tc>
          <w:tcPr>
            <w:tcW w:w="1384" w:type="dxa"/>
            <w:vAlign w:val="center"/>
          </w:tcPr>
          <w:p w14:paraId="0599531D">
            <w:pPr>
              <w:jc w:val="right"/>
            </w:pPr>
            <w:r>
              <w:rPr>
                <w:rFonts w:hint="eastAsia"/>
              </w:rPr>
              <w:t>-</w:t>
            </w:r>
          </w:p>
        </w:tc>
        <w:tc>
          <w:tcPr>
            <w:tcW w:w="1384" w:type="dxa"/>
            <w:vAlign w:val="center"/>
          </w:tcPr>
          <w:p w14:paraId="11C7BA14">
            <w:pPr>
              <w:jc w:val="right"/>
            </w:pPr>
            <w:r>
              <w:rPr>
                <w:rFonts w:hint="eastAsia"/>
              </w:rPr>
              <w:t>-</w:t>
            </w:r>
          </w:p>
        </w:tc>
        <w:tc>
          <w:tcPr>
            <w:tcW w:w="1384" w:type="dxa"/>
            <w:vAlign w:val="center"/>
          </w:tcPr>
          <w:p w14:paraId="5AC08EBF">
            <w:pPr>
              <w:jc w:val="right"/>
            </w:pPr>
            <w:r>
              <w:rPr>
                <w:rFonts w:hint="eastAsia"/>
              </w:rPr>
              <w:t>-</w:t>
            </w:r>
          </w:p>
        </w:tc>
        <w:tc>
          <w:tcPr>
            <w:tcW w:w="1384" w:type="dxa"/>
            <w:vAlign w:val="center"/>
          </w:tcPr>
          <w:p w14:paraId="64160D90">
            <w:pPr>
              <w:jc w:val="right"/>
            </w:pPr>
            <w:r>
              <w:rPr>
                <w:rFonts w:hint="eastAsia"/>
              </w:rPr>
              <w:t>-</w:t>
            </w:r>
          </w:p>
        </w:tc>
      </w:tr>
      <w:tr w14:paraId="6EE7B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BEBC0">
            <w:r>
              <w:rPr>
                <w:rFonts w:hint="eastAsia"/>
              </w:rPr>
              <w:t>卖出回购金融资产款</w:t>
            </w:r>
          </w:p>
        </w:tc>
        <w:tc>
          <w:tcPr>
            <w:tcW w:w="1384" w:type="dxa"/>
            <w:vAlign w:val="center"/>
          </w:tcPr>
          <w:p w14:paraId="00F7E9BA">
            <w:pPr>
              <w:jc w:val="right"/>
            </w:pPr>
            <w:r>
              <w:rPr>
                <w:rFonts w:hint="eastAsia"/>
              </w:rPr>
              <w:t>-</w:t>
            </w:r>
          </w:p>
        </w:tc>
        <w:tc>
          <w:tcPr>
            <w:tcW w:w="1384" w:type="dxa"/>
            <w:vAlign w:val="center"/>
          </w:tcPr>
          <w:p w14:paraId="03FDB316">
            <w:pPr>
              <w:jc w:val="right"/>
            </w:pPr>
            <w:r>
              <w:rPr>
                <w:rFonts w:hint="eastAsia"/>
              </w:rPr>
              <w:t>-</w:t>
            </w:r>
          </w:p>
        </w:tc>
        <w:tc>
          <w:tcPr>
            <w:tcW w:w="1384" w:type="dxa"/>
            <w:vAlign w:val="center"/>
          </w:tcPr>
          <w:p w14:paraId="0B8EE055">
            <w:pPr>
              <w:jc w:val="right"/>
            </w:pPr>
            <w:r>
              <w:rPr>
                <w:rFonts w:hint="eastAsia"/>
              </w:rPr>
              <w:t>-</w:t>
            </w:r>
          </w:p>
        </w:tc>
        <w:tc>
          <w:tcPr>
            <w:tcW w:w="1384" w:type="dxa"/>
            <w:vAlign w:val="center"/>
          </w:tcPr>
          <w:p w14:paraId="66A37248">
            <w:pPr>
              <w:jc w:val="right"/>
            </w:pPr>
            <w:r>
              <w:rPr>
                <w:rFonts w:hint="eastAsia"/>
              </w:rPr>
              <w:t>-</w:t>
            </w:r>
          </w:p>
        </w:tc>
        <w:tc>
          <w:tcPr>
            <w:tcW w:w="1384" w:type="dxa"/>
            <w:vAlign w:val="center"/>
          </w:tcPr>
          <w:p w14:paraId="727CD838">
            <w:pPr>
              <w:jc w:val="right"/>
            </w:pPr>
            <w:r>
              <w:rPr>
                <w:rFonts w:hint="eastAsia"/>
              </w:rPr>
              <w:t>-</w:t>
            </w:r>
          </w:p>
        </w:tc>
      </w:tr>
      <w:tr w14:paraId="19E64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C6AA38">
            <w:r>
              <w:rPr>
                <w:rFonts w:hint="eastAsia"/>
              </w:rPr>
              <w:t>应付清算款</w:t>
            </w:r>
          </w:p>
        </w:tc>
        <w:tc>
          <w:tcPr>
            <w:tcW w:w="1384" w:type="dxa"/>
            <w:vAlign w:val="center"/>
          </w:tcPr>
          <w:p w14:paraId="6EA16F86">
            <w:pPr>
              <w:jc w:val="right"/>
            </w:pPr>
            <w:r>
              <w:rPr>
                <w:rFonts w:hint="eastAsia"/>
              </w:rPr>
              <w:t>-</w:t>
            </w:r>
          </w:p>
        </w:tc>
        <w:tc>
          <w:tcPr>
            <w:tcW w:w="1384" w:type="dxa"/>
            <w:vAlign w:val="center"/>
          </w:tcPr>
          <w:p w14:paraId="1F7067CE">
            <w:pPr>
              <w:jc w:val="right"/>
            </w:pPr>
            <w:r>
              <w:rPr>
                <w:rFonts w:hint="eastAsia"/>
              </w:rPr>
              <w:t>-</w:t>
            </w:r>
          </w:p>
        </w:tc>
        <w:tc>
          <w:tcPr>
            <w:tcW w:w="1384" w:type="dxa"/>
            <w:vAlign w:val="center"/>
          </w:tcPr>
          <w:p w14:paraId="52717148">
            <w:pPr>
              <w:jc w:val="right"/>
            </w:pPr>
            <w:r>
              <w:rPr>
                <w:rFonts w:hint="eastAsia"/>
              </w:rPr>
              <w:t>-</w:t>
            </w:r>
          </w:p>
        </w:tc>
        <w:tc>
          <w:tcPr>
            <w:tcW w:w="1384" w:type="dxa"/>
            <w:vAlign w:val="center"/>
          </w:tcPr>
          <w:p w14:paraId="7D8D77A9">
            <w:pPr>
              <w:jc w:val="right"/>
            </w:pPr>
            <w:r>
              <w:rPr>
                <w:rFonts w:hint="eastAsia"/>
              </w:rPr>
              <w:t>-</w:t>
            </w:r>
          </w:p>
        </w:tc>
        <w:tc>
          <w:tcPr>
            <w:tcW w:w="1384" w:type="dxa"/>
            <w:vAlign w:val="center"/>
          </w:tcPr>
          <w:p w14:paraId="3BB5CBE3">
            <w:pPr>
              <w:jc w:val="right"/>
            </w:pPr>
            <w:r>
              <w:rPr>
                <w:rFonts w:hint="eastAsia"/>
              </w:rPr>
              <w:t>-</w:t>
            </w:r>
          </w:p>
        </w:tc>
      </w:tr>
      <w:tr w14:paraId="100D7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A29A0E">
            <w:r>
              <w:rPr>
                <w:rFonts w:hint="eastAsia"/>
              </w:rPr>
              <w:t>应付赎回款</w:t>
            </w:r>
          </w:p>
        </w:tc>
        <w:tc>
          <w:tcPr>
            <w:tcW w:w="1384" w:type="dxa"/>
            <w:vAlign w:val="center"/>
          </w:tcPr>
          <w:p w14:paraId="01DF872E">
            <w:pPr>
              <w:jc w:val="right"/>
            </w:pPr>
            <w:r>
              <w:rPr>
                <w:rFonts w:hint="eastAsia"/>
              </w:rPr>
              <w:t>-</w:t>
            </w:r>
          </w:p>
        </w:tc>
        <w:tc>
          <w:tcPr>
            <w:tcW w:w="1384" w:type="dxa"/>
            <w:vAlign w:val="center"/>
          </w:tcPr>
          <w:p w14:paraId="54961F73">
            <w:pPr>
              <w:jc w:val="right"/>
            </w:pPr>
            <w:r>
              <w:rPr>
                <w:rFonts w:hint="eastAsia"/>
              </w:rPr>
              <w:t>-</w:t>
            </w:r>
          </w:p>
        </w:tc>
        <w:tc>
          <w:tcPr>
            <w:tcW w:w="1384" w:type="dxa"/>
            <w:vAlign w:val="center"/>
          </w:tcPr>
          <w:p w14:paraId="53117DC5">
            <w:pPr>
              <w:jc w:val="right"/>
            </w:pPr>
            <w:r>
              <w:rPr>
                <w:rFonts w:hint="eastAsia"/>
              </w:rPr>
              <w:t>-</w:t>
            </w:r>
          </w:p>
        </w:tc>
        <w:tc>
          <w:tcPr>
            <w:tcW w:w="1384" w:type="dxa"/>
            <w:vAlign w:val="center"/>
          </w:tcPr>
          <w:p w14:paraId="3C175901">
            <w:pPr>
              <w:jc w:val="right"/>
            </w:pPr>
            <w:r>
              <w:rPr>
                <w:rFonts w:hint="eastAsia"/>
              </w:rPr>
              <w:t>18,653,649.02</w:t>
            </w:r>
          </w:p>
        </w:tc>
        <w:tc>
          <w:tcPr>
            <w:tcW w:w="1384" w:type="dxa"/>
            <w:vAlign w:val="center"/>
          </w:tcPr>
          <w:p w14:paraId="4343281C">
            <w:pPr>
              <w:jc w:val="right"/>
            </w:pPr>
            <w:r>
              <w:rPr>
                <w:rFonts w:hint="eastAsia"/>
              </w:rPr>
              <w:t>18,653,649.02</w:t>
            </w:r>
          </w:p>
        </w:tc>
      </w:tr>
      <w:tr w14:paraId="041D0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EEEAA8">
            <w:r>
              <w:rPr>
                <w:rFonts w:hint="eastAsia"/>
              </w:rPr>
              <w:t>应付管理人报酬</w:t>
            </w:r>
          </w:p>
        </w:tc>
        <w:tc>
          <w:tcPr>
            <w:tcW w:w="1384" w:type="dxa"/>
            <w:vAlign w:val="center"/>
          </w:tcPr>
          <w:p w14:paraId="437A245E">
            <w:pPr>
              <w:jc w:val="right"/>
            </w:pPr>
            <w:r>
              <w:rPr>
                <w:rFonts w:hint="eastAsia"/>
              </w:rPr>
              <w:t>-</w:t>
            </w:r>
          </w:p>
        </w:tc>
        <w:tc>
          <w:tcPr>
            <w:tcW w:w="1384" w:type="dxa"/>
            <w:vAlign w:val="center"/>
          </w:tcPr>
          <w:p w14:paraId="5E7D1D09">
            <w:pPr>
              <w:jc w:val="right"/>
            </w:pPr>
            <w:r>
              <w:rPr>
                <w:rFonts w:hint="eastAsia"/>
              </w:rPr>
              <w:t>-</w:t>
            </w:r>
          </w:p>
        </w:tc>
        <w:tc>
          <w:tcPr>
            <w:tcW w:w="1384" w:type="dxa"/>
            <w:vAlign w:val="center"/>
          </w:tcPr>
          <w:p w14:paraId="7C455469">
            <w:pPr>
              <w:jc w:val="right"/>
            </w:pPr>
            <w:r>
              <w:rPr>
                <w:rFonts w:hint="eastAsia"/>
              </w:rPr>
              <w:t>-</w:t>
            </w:r>
          </w:p>
        </w:tc>
        <w:tc>
          <w:tcPr>
            <w:tcW w:w="1384" w:type="dxa"/>
            <w:vAlign w:val="center"/>
          </w:tcPr>
          <w:p w14:paraId="123CEB42">
            <w:pPr>
              <w:jc w:val="right"/>
            </w:pPr>
            <w:r>
              <w:rPr>
                <w:rFonts w:hint="eastAsia"/>
              </w:rPr>
              <w:t>2,859.46</w:t>
            </w:r>
          </w:p>
        </w:tc>
        <w:tc>
          <w:tcPr>
            <w:tcW w:w="1384" w:type="dxa"/>
            <w:vAlign w:val="center"/>
          </w:tcPr>
          <w:p w14:paraId="5C020AF2">
            <w:pPr>
              <w:jc w:val="right"/>
            </w:pPr>
            <w:r>
              <w:rPr>
                <w:rFonts w:hint="eastAsia"/>
              </w:rPr>
              <w:t>2,859.46</w:t>
            </w:r>
          </w:p>
        </w:tc>
      </w:tr>
      <w:tr w14:paraId="6C43D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DEBC0">
            <w:r>
              <w:rPr>
                <w:rFonts w:hint="eastAsia"/>
              </w:rPr>
              <w:t>应付托管费</w:t>
            </w:r>
          </w:p>
        </w:tc>
        <w:tc>
          <w:tcPr>
            <w:tcW w:w="1384" w:type="dxa"/>
            <w:vAlign w:val="center"/>
          </w:tcPr>
          <w:p w14:paraId="7677BEA1">
            <w:pPr>
              <w:jc w:val="right"/>
            </w:pPr>
            <w:r>
              <w:rPr>
                <w:rFonts w:hint="eastAsia"/>
              </w:rPr>
              <w:t>-</w:t>
            </w:r>
          </w:p>
        </w:tc>
        <w:tc>
          <w:tcPr>
            <w:tcW w:w="1384" w:type="dxa"/>
            <w:vAlign w:val="center"/>
          </w:tcPr>
          <w:p w14:paraId="7955D178">
            <w:pPr>
              <w:jc w:val="right"/>
            </w:pPr>
            <w:r>
              <w:rPr>
                <w:rFonts w:hint="eastAsia"/>
              </w:rPr>
              <w:t>-</w:t>
            </w:r>
          </w:p>
        </w:tc>
        <w:tc>
          <w:tcPr>
            <w:tcW w:w="1384" w:type="dxa"/>
            <w:vAlign w:val="center"/>
          </w:tcPr>
          <w:p w14:paraId="1C0037C9">
            <w:pPr>
              <w:jc w:val="right"/>
            </w:pPr>
            <w:r>
              <w:rPr>
                <w:rFonts w:hint="eastAsia"/>
              </w:rPr>
              <w:t>-</w:t>
            </w:r>
          </w:p>
        </w:tc>
        <w:tc>
          <w:tcPr>
            <w:tcW w:w="1384" w:type="dxa"/>
            <w:vAlign w:val="center"/>
          </w:tcPr>
          <w:p w14:paraId="01C44EEE">
            <w:pPr>
              <w:jc w:val="right"/>
            </w:pPr>
            <w:r>
              <w:rPr>
                <w:rFonts w:hint="eastAsia"/>
              </w:rPr>
              <w:t>714.87</w:t>
            </w:r>
          </w:p>
        </w:tc>
        <w:tc>
          <w:tcPr>
            <w:tcW w:w="1384" w:type="dxa"/>
            <w:vAlign w:val="center"/>
          </w:tcPr>
          <w:p w14:paraId="7F0EA628">
            <w:pPr>
              <w:jc w:val="right"/>
            </w:pPr>
            <w:r>
              <w:rPr>
                <w:rFonts w:hint="eastAsia"/>
              </w:rPr>
              <w:t>714.87</w:t>
            </w:r>
          </w:p>
        </w:tc>
      </w:tr>
      <w:tr w14:paraId="202D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60FE8E">
            <w:r>
              <w:rPr>
                <w:rFonts w:hint="eastAsia"/>
              </w:rPr>
              <w:t>应付销售服务费</w:t>
            </w:r>
          </w:p>
        </w:tc>
        <w:tc>
          <w:tcPr>
            <w:tcW w:w="1384" w:type="dxa"/>
            <w:vAlign w:val="center"/>
          </w:tcPr>
          <w:p w14:paraId="3BD3BC06">
            <w:pPr>
              <w:jc w:val="right"/>
            </w:pPr>
            <w:r>
              <w:rPr>
                <w:rFonts w:hint="eastAsia"/>
              </w:rPr>
              <w:t>-</w:t>
            </w:r>
          </w:p>
        </w:tc>
        <w:tc>
          <w:tcPr>
            <w:tcW w:w="1384" w:type="dxa"/>
            <w:vAlign w:val="center"/>
          </w:tcPr>
          <w:p w14:paraId="14A559AB">
            <w:pPr>
              <w:jc w:val="right"/>
            </w:pPr>
            <w:r>
              <w:rPr>
                <w:rFonts w:hint="eastAsia"/>
              </w:rPr>
              <w:t>-</w:t>
            </w:r>
          </w:p>
        </w:tc>
        <w:tc>
          <w:tcPr>
            <w:tcW w:w="1384" w:type="dxa"/>
            <w:vAlign w:val="center"/>
          </w:tcPr>
          <w:p w14:paraId="09BF1991">
            <w:pPr>
              <w:jc w:val="right"/>
            </w:pPr>
            <w:r>
              <w:rPr>
                <w:rFonts w:hint="eastAsia"/>
              </w:rPr>
              <w:t>-</w:t>
            </w:r>
          </w:p>
        </w:tc>
        <w:tc>
          <w:tcPr>
            <w:tcW w:w="1384" w:type="dxa"/>
            <w:vAlign w:val="center"/>
          </w:tcPr>
          <w:p w14:paraId="22995B68">
            <w:pPr>
              <w:jc w:val="right"/>
            </w:pPr>
            <w:r>
              <w:rPr>
                <w:rFonts w:hint="eastAsia"/>
              </w:rPr>
              <w:t>37,036.64</w:t>
            </w:r>
          </w:p>
        </w:tc>
        <w:tc>
          <w:tcPr>
            <w:tcW w:w="1384" w:type="dxa"/>
            <w:vAlign w:val="center"/>
          </w:tcPr>
          <w:p w14:paraId="04BDA439">
            <w:pPr>
              <w:jc w:val="right"/>
            </w:pPr>
            <w:r>
              <w:rPr>
                <w:rFonts w:hint="eastAsia"/>
              </w:rPr>
              <w:t>37,036.64</w:t>
            </w:r>
          </w:p>
        </w:tc>
      </w:tr>
      <w:tr w14:paraId="0A30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74D12E">
            <w:r>
              <w:rPr>
                <w:rFonts w:hint="eastAsia"/>
              </w:rPr>
              <w:t>应付投资顾问费</w:t>
            </w:r>
          </w:p>
        </w:tc>
        <w:tc>
          <w:tcPr>
            <w:tcW w:w="1384" w:type="dxa"/>
            <w:vAlign w:val="center"/>
          </w:tcPr>
          <w:p w14:paraId="62F41FA6">
            <w:pPr>
              <w:jc w:val="right"/>
            </w:pPr>
            <w:r>
              <w:rPr>
                <w:rFonts w:hint="eastAsia"/>
              </w:rPr>
              <w:t>-</w:t>
            </w:r>
          </w:p>
        </w:tc>
        <w:tc>
          <w:tcPr>
            <w:tcW w:w="1384" w:type="dxa"/>
            <w:vAlign w:val="center"/>
          </w:tcPr>
          <w:p w14:paraId="1B1F2B33">
            <w:pPr>
              <w:jc w:val="right"/>
            </w:pPr>
            <w:r>
              <w:rPr>
                <w:rFonts w:hint="eastAsia"/>
              </w:rPr>
              <w:t>-</w:t>
            </w:r>
          </w:p>
        </w:tc>
        <w:tc>
          <w:tcPr>
            <w:tcW w:w="1384" w:type="dxa"/>
            <w:vAlign w:val="center"/>
          </w:tcPr>
          <w:p w14:paraId="5F3254DF">
            <w:pPr>
              <w:jc w:val="right"/>
            </w:pPr>
            <w:r>
              <w:rPr>
                <w:rFonts w:hint="eastAsia"/>
              </w:rPr>
              <w:t>-</w:t>
            </w:r>
          </w:p>
        </w:tc>
        <w:tc>
          <w:tcPr>
            <w:tcW w:w="1384" w:type="dxa"/>
            <w:vAlign w:val="center"/>
          </w:tcPr>
          <w:p w14:paraId="1559E541">
            <w:pPr>
              <w:jc w:val="right"/>
            </w:pPr>
            <w:r>
              <w:rPr>
                <w:rFonts w:hint="eastAsia"/>
              </w:rPr>
              <w:t>-</w:t>
            </w:r>
          </w:p>
        </w:tc>
        <w:tc>
          <w:tcPr>
            <w:tcW w:w="1384" w:type="dxa"/>
            <w:vAlign w:val="center"/>
          </w:tcPr>
          <w:p w14:paraId="6B6B9168">
            <w:pPr>
              <w:jc w:val="right"/>
            </w:pPr>
            <w:r>
              <w:rPr>
                <w:rFonts w:hint="eastAsia"/>
              </w:rPr>
              <w:t>-</w:t>
            </w:r>
          </w:p>
        </w:tc>
      </w:tr>
      <w:tr w14:paraId="52F8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1C1FB">
            <w:r>
              <w:rPr>
                <w:rFonts w:hint="eastAsia"/>
              </w:rPr>
              <w:t>应交税费</w:t>
            </w:r>
          </w:p>
        </w:tc>
        <w:tc>
          <w:tcPr>
            <w:tcW w:w="1384" w:type="dxa"/>
            <w:vAlign w:val="center"/>
          </w:tcPr>
          <w:p w14:paraId="498C719C">
            <w:pPr>
              <w:jc w:val="right"/>
            </w:pPr>
            <w:r>
              <w:rPr>
                <w:rFonts w:hint="eastAsia"/>
              </w:rPr>
              <w:t>-</w:t>
            </w:r>
          </w:p>
        </w:tc>
        <w:tc>
          <w:tcPr>
            <w:tcW w:w="1384" w:type="dxa"/>
            <w:vAlign w:val="center"/>
          </w:tcPr>
          <w:p w14:paraId="3BA612CE">
            <w:pPr>
              <w:jc w:val="right"/>
            </w:pPr>
            <w:r>
              <w:rPr>
                <w:rFonts w:hint="eastAsia"/>
              </w:rPr>
              <w:t>-</w:t>
            </w:r>
          </w:p>
        </w:tc>
        <w:tc>
          <w:tcPr>
            <w:tcW w:w="1384" w:type="dxa"/>
            <w:vAlign w:val="center"/>
          </w:tcPr>
          <w:p w14:paraId="53AC0C2E">
            <w:pPr>
              <w:jc w:val="right"/>
            </w:pPr>
            <w:r>
              <w:rPr>
                <w:rFonts w:hint="eastAsia"/>
              </w:rPr>
              <w:t>-</w:t>
            </w:r>
          </w:p>
        </w:tc>
        <w:tc>
          <w:tcPr>
            <w:tcW w:w="1384" w:type="dxa"/>
            <w:vAlign w:val="center"/>
          </w:tcPr>
          <w:p w14:paraId="5D5DBF9F">
            <w:pPr>
              <w:jc w:val="right"/>
            </w:pPr>
            <w:r>
              <w:rPr>
                <w:rFonts w:hint="eastAsia"/>
              </w:rPr>
              <w:t>19,370.29</w:t>
            </w:r>
          </w:p>
        </w:tc>
        <w:tc>
          <w:tcPr>
            <w:tcW w:w="1384" w:type="dxa"/>
            <w:vAlign w:val="center"/>
          </w:tcPr>
          <w:p w14:paraId="5BE38480">
            <w:pPr>
              <w:jc w:val="right"/>
            </w:pPr>
            <w:r>
              <w:rPr>
                <w:rFonts w:hint="eastAsia"/>
              </w:rPr>
              <w:t>19,370.29</w:t>
            </w:r>
          </w:p>
        </w:tc>
      </w:tr>
      <w:tr w14:paraId="7E18D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8622F6">
            <w:r>
              <w:rPr>
                <w:rFonts w:hint="eastAsia"/>
              </w:rPr>
              <w:t>应付利润</w:t>
            </w:r>
          </w:p>
        </w:tc>
        <w:tc>
          <w:tcPr>
            <w:tcW w:w="1384" w:type="dxa"/>
            <w:vAlign w:val="center"/>
          </w:tcPr>
          <w:p w14:paraId="2964B9EC">
            <w:pPr>
              <w:jc w:val="right"/>
            </w:pPr>
            <w:r>
              <w:rPr>
                <w:rFonts w:hint="eastAsia"/>
              </w:rPr>
              <w:t>-</w:t>
            </w:r>
          </w:p>
        </w:tc>
        <w:tc>
          <w:tcPr>
            <w:tcW w:w="1384" w:type="dxa"/>
            <w:vAlign w:val="center"/>
          </w:tcPr>
          <w:p w14:paraId="5D4A4BDE">
            <w:pPr>
              <w:jc w:val="right"/>
            </w:pPr>
            <w:r>
              <w:rPr>
                <w:rFonts w:hint="eastAsia"/>
              </w:rPr>
              <w:t>-</w:t>
            </w:r>
          </w:p>
        </w:tc>
        <w:tc>
          <w:tcPr>
            <w:tcW w:w="1384" w:type="dxa"/>
            <w:vAlign w:val="center"/>
          </w:tcPr>
          <w:p w14:paraId="3C18EC14">
            <w:pPr>
              <w:jc w:val="right"/>
            </w:pPr>
            <w:r>
              <w:rPr>
                <w:rFonts w:hint="eastAsia"/>
              </w:rPr>
              <w:t>-</w:t>
            </w:r>
          </w:p>
        </w:tc>
        <w:tc>
          <w:tcPr>
            <w:tcW w:w="1384" w:type="dxa"/>
            <w:vAlign w:val="center"/>
          </w:tcPr>
          <w:p w14:paraId="1CA41741">
            <w:pPr>
              <w:jc w:val="right"/>
            </w:pPr>
            <w:r>
              <w:rPr>
                <w:rFonts w:hint="eastAsia"/>
              </w:rPr>
              <w:t>-</w:t>
            </w:r>
          </w:p>
        </w:tc>
        <w:tc>
          <w:tcPr>
            <w:tcW w:w="1384" w:type="dxa"/>
            <w:vAlign w:val="center"/>
          </w:tcPr>
          <w:p w14:paraId="18254058">
            <w:pPr>
              <w:jc w:val="right"/>
            </w:pPr>
            <w:r>
              <w:rPr>
                <w:rFonts w:hint="eastAsia"/>
              </w:rPr>
              <w:t>-</w:t>
            </w:r>
          </w:p>
        </w:tc>
      </w:tr>
      <w:tr w14:paraId="5CDE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EAD4F">
            <w:r>
              <w:rPr>
                <w:rFonts w:hint="eastAsia"/>
              </w:rPr>
              <w:t>递延所得税负债</w:t>
            </w:r>
          </w:p>
        </w:tc>
        <w:tc>
          <w:tcPr>
            <w:tcW w:w="1384" w:type="dxa"/>
            <w:vAlign w:val="center"/>
          </w:tcPr>
          <w:p w14:paraId="2A704C5C">
            <w:pPr>
              <w:jc w:val="right"/>
            </w:pPr>
            <w:r>
              <w:rPr>
                <w:rFonts w:hint="eastAsia"/>
              </w:rPr>
              <w:t>-</w:t>
            </w:r>
          </w:p>
        </w:tc>
        <w:tc>
          <w:tcPr>
            <w:tcW w:w="1384" w:type="dxa"/>
            <w:vAlign w:val="center"/>
          </w:tcPr>
          <w:p w14:paraId="2455B75A">
            <w:pPr>
              <w:jc w:val="right"/>
            </w:pPr>
            <w:r>
              <w:rPr>
                <w:rFonts w:hint="eastAsia"/>
              </w:rPr>
              <w:t>-</w:t>
            </w:r>
          </w:p>
        </w:tc>
        <w:tc>
          <w:tcPr>
            <w:tcW w:w="1384" w:type="dxa"/>
            <w:vAlign w:val="center"/>
          </w:tcPr>
          <w:p w14:paraId="4A633350">
            <w:pPr>
              <w:jc w:val="right"/>
            </w:pPr>
            <w:r>
              <w:rPr>
                <w:rFonts w:hint="eastAsia"/>
              </w:rPr>
              <w:t>-</w:t>
            </w:r>
          </w:p>
        </w:tc>
        <w:tc>
          <w:tcPr>
            <w:tcW w:w="1384" w:type="dxa"/>
            <w:vAlign w:val="center"/>
          </w:tcPr>
          <w:p w14:paraId="1924C8D7">
            <w:pPr>
              <w:jc w:val="right"/>
            </w:pPr>
            <w:r>
              <w:rPr>
                <w:rFonts w:hint="eastAsia"/>
              </w:rPr>
              <w:t>-</w:t>
            </w:r>
          </w:p>
        </w:tc>
        <w:tc>
          <w:tcPr>
            <w:tcW w:w="1384" w:type="dxa"/>
            <w:vAlign w:val="center"/>
          </w:tcPr>
          <w:p w14:paraId="052B5782">
            <w:pPr>
              <w:jc w:val="right"/>
            </w:pPr>
            <w:r>
              <w:rPr>
                <w:rFonts w:hint="eastAsia"/>
              </w:rPr>
              <w:t>-</w:t>
            </w:r>
          </w:p>
        </w:tc>
      </w:tr>
      <w:tr w14:paraId="25165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A1915D">
            <w:r>
              <w:rPr>
                <w:rFonts w:hint="eastAsia"/>
              </w:rPr>
              <w:t>其他负债</w:t>
            </w:r>
          </w:p>
        </w:tc>
        <w:tc>
          <w:tcPr>
            <w:tcW w:w="1384" w:type="dxa"/>
            <w:vAlign w:val="center"/>
          </w:tcPr>
          <w:p w14:paraId="738F2DEB">
            <w:pPr>
              <w:jc w:val="right"/>
            </w:pPr>
            <w:r>
              <w:rPr>
                <w:rFonts w:hint="eastAsia"/>
              </w:rPr>
              <w:t>-</w:t>
            </w:r>
          </w:p>
        </w:tc>
        <w:tc>
          <w:tcPr>
            <w:tcW w:w="1384" w:type="dxa"/>
            <w:vAlign w:val="center"/>
          </w:tcPr>
          <w:p w14:paraId="29A1B8AE">
            <w:pPr>
              <w:jc w:val="right"/>
            </w:pPr>
            <w:r>
              <w:rPr>
                <w:rFonts w:hint="eastAsia"/>
              </w:rPr>
              <w:t>-</w:t>
            </w:r>
          </w:p>
        </w:tc>
        <w:tc>
          <w:tcPr>
            <w:tcW w:w="1384" w:type="dxa"/>
            <w:vAlign w:val="center"/>
          </w:tcPr>
          <w:p w14:paraId="6D7F16F1">
            <w:pPr>
              <w:jc w:val="right"/>
            </w:pPr>
            <w:r>
              <w:rPr>
                <w:rFonts w:hint="eastAsia"/>
              </w:rPr>
              <w:t>-</w:t>
            </w:r>
          </w:p>
        </w:tc>
        <w:tc>
          <w:tcPr>
            <w:tcW w:w="1384" w:type="dxa"/>
            <w:vAlign w:val="center"/>
          </w:tcPr>
          <w:p w14:paraId="302E1047">
            <w:pPr>
              <w:jc w:val="right"/>
            </w:pPr>
            <w:r>
              <w:rPr>
                <w:rFonts w:hint="eastAsia"/>
              </w:rPr>
              <w:t>130,000.00</w:t>
            </w:r>
          </w:p>
        </w:tc>
        <w:tc>
          <w:tcPr>
            <w:tcW w:w="1384" w:type="dxa"/>
            <w:vAlign w:val="center"/>
          </w:tcPr>
          <w:p w14:paraId="734A483D">
            <w:pPr>
              <w:jc w:val="right"/>
            </w:pPr>
            <w:r>
              <w:rPr>
                <w:rFonts w:hint="eastAsia"/>
              </w:rPr>
              <w:t>130,000.00</w:t>
            </w:r>
          </w:p>
        </w:tc>
      </w:tr>
      <w:tr w14:paraId="2D351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6DE719">
            <w:r>
              <w:rPr>
                <w:rFonts w:hint="eastAsia"/>
              </w:rPr>
              <w:t>负债总计</w:t>
            </w:r>
          </w:p>
        </w:tc>
        <w:tc>
          <w:tcPr>
            <w:tcW w:w="1384" w:type="dxa"/>
            <w:vAlign w:val="center"/>
          </w:tcPr>
          <w:p w14:paraId="5F89B977">
            <w:pPr>
              <w:jc w:val="right"/>
            </w:pPr>
            <w:r>
              <w:rPr>
                <w:rFonts w:hint="eastAsia"/>
              </w:rPr>
              <w:t>-</w:t>
            </w:r>
          </w:p>
        </w:tc>
        <w:tc>
          <w:tcPr>
            <w:tcW w:w="1384" w:type="dxa"/>
            <w:vAlign w:val="center"/>
          </w:tcPr>
          <w:p w14:paraId="09C7CB3C">
            <w:pPr>
              <w:jc w:val="right"/>
            </w:pPr>
            <w:r>
              <w:rPr>
                <w:rFonts w:hint="eastAsia"/>
              </w:rPr>
              <w:t>-</w:t>
            </w:r>
          </w:p>
        </w:tc>
        <w:tc>
          <w:tcPr>
            <w:tcW w:w="1384" w:type="dxa"/>
            <w:vAlign w:val="center"/>
          </w:tcPr>
          <w:p w14:paraId="429E44DC">
            <w:pPr>
              <w:jc w:val="right"/>
            </w:pPr>
            <w:r>
              <w:rPr>
                <w:rFonts w:hint="eastAsia"/>
              </w:rPr>
              <w:t>-</w:t>
            </w:r>
          </w:p>
        </w:tc>
        <w:tc>
          <w:tcPr>
            <w:tcW w:w="1384" w:type="dxa"/>
            <w:vAlign w:val="center"/>
          </w:tcPr>
          <w:p w14:paraId="608CCDB9">
            <w:pPr>
              <w:jc w:val="right"/>
            </w:pPr>
            <w:r>
              <w:rPr>
                <w:rFonts w:hint="eastAsia"/>
              </w:rPr>
              <w:t>18,843,630.28</w:t>
            </w:r>
          </w:p>
        </w:tc>
        <w:tc>
          <w:tcPr>
            <w:tcW w:w="1384" w:type="dxa"/>
            <w:vAlign w:val="center"/>
          </w:tcPr>
          <w:p w14:paraId="54D7AC0F">
            <w:pPr>
              <w:jc w:val="right"/>
            </w:pPr>
            <w:r>
              <w:rPr>
                <w:rFonts w:hint="eastAsia"/>
              </w:rPr>
              <w:t>18,843,630.28</w:t>
            </w:r>
          </w:p>
        </w:tc>
      </w:tr>
      <w:tr w14:paraId="7CE1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14043A">
            <w:r>
              <w:rPr>
                <w:rFonts w:hint="eastAsia"/>
              </w:rPr>
              <w:t>利率敏感度缺口</w:t>
            </w:r>
          </w:p>
        </w:tc>
        <w:tc>
          <w:tcPr>
            <w:tcW w:w="1384" w:type="dxa"/>
            <w:vAlign w:val="center"/>
          </w:tcPr>
          <w:p w14:paraId="0DF192FF">
            <w:pPr>
              <w:jc w:val="right"/>
            </w:pPr>
            <w:r>
              <w:rPr>
                <w:rFonts w:hint="eastAsia"/>
              </w:rPr>
              <w:t>26,502,314.62</w:t>
            </w:r>
          </w:p>
        </w:tc>
        <w:tc>
          <w:tcPr>
            <w:tcW w:w="1384" w:type="dxa"/>
            <w:vAlign w:val="center"/>
          </w:tcPr>
          <w:p w14:paraId="1EEFB353">
            <w:pPr>
              <w:jc w:val="right"/>
            </w:pPr>
            <w:r>
              <w:rPr>
                <w:rFonts w:hint="eastAsia"/>
              </w:rPr>
              <w:t>-</w:t>
            </w:r>
          </w:p>
        </w:tc>
        <w:tc>
          <w:tcPr>
            <w:tcW w:w="1384" w:type="dxa"/>
            <w:vAlign w:val="center"/>
          </w:tcPr>
          <w:p w14:paraId="5C1BB988">
            <w:pPr>
              <w:jc w:val="right"/>
            </w:pPr>
            <w:r>
              <w:rPr>
                <w:rFonts w:hint="eastAsia"/>
              </w:rPr>
              <w:t>-</w:t>
            </w:r>
          </w:p>
        </w:tc>
        <w:tc>
          <w:tcPr>
            <w:tcW w:w="1384" w:type="dxa"/>
            <w:vAlign w:val="center"/>
          </w:tcPr>
          <w:p w14:paraId="47CAF5BD">
            <w:pPr>
              <w:jc w:val="right"/>
            </w:pPr>
            <w:r>
              <w:rPr>
                <w:rFonts w:hint="eastAsia"/>
              </w:rPr>
              <w:t>243,371,957.81</w:t>
            </w:r>
          </w:p>
        </w:tc>
        <w:tc>
          <w:tcPr>
            <w:tcW w:w="1384" w:type="dxa"/>
            <w:vAlign w:val="center"/>
          </w:tcPr>
          <w:p w14:paraId="4D05B11E">
            <w:pPr>
              <w:jc w:val="right"/>
            </w:pPr>
            <w:r>
              <w:rPr>
                <w:rFonts w:hint="eastAsia"/>
              </w:rPr>
              <w:t>269,874,272.43</w:t>
            </w:r>
          </w:p>
        </w:tc>
      </w:tr>
      <w:tr w14:paraId="19BD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7523AC">
            <w:r>
              <w:rPr>
                <w:rFonts w:hint="eastAsia"/>
              </w:rPr>
              <w:t>上年度末2024年12月31日</w:t>
            </w:r>
          </w:p>
        </w:tc>
        <w:tc>
          <w:tcPr>
            <w:tcW w:w="1384" w:type="dxa"/>
            <w:vAlign w:val="center"/>
          </w:tcPr>
          <w:p w14:paraId="02C3578B">
            <w:r>
              <w:rPr>
                <w:rFonts w:hint="eastAsia"/>
              </w:rPr>
              <w:t>1年以内</w:t>
            </w:r>
          </w:p>
        </w:tc>
        <w:tc>
          <w:tcPr>
            <w:tcW w:w="1384" w:type="dxa"/>
            <w:vAlign w:val="center"/>
          </w:tcPr>
          <w:p w14:paraId="2D637C5B">
            <w:r>
              <w:rPr>
                <w:rFonts w:hint="eastAsia"/>
              </w:rPr>
              <w:t>1-5年</w:t>
            </w:r>
          </w:p>
        </w:tc>
        <w:tc>
          <w:tcPr>
            <w:tcW w:w="1384" w:type="dxa"/>
            <w:vAlign w:val="center"/>
          </w:tcPr>
          <w:p w14:paraId="43C41E2C">
            <w:r>
              <w:rPr>
                <w:rFonts w:hint="eastAsia"/>
              </w:rPr>
              <w:t>5年以上</w:t>
            </w:r>
          </w:p>
        </w:tc>
        <w:tc>
          <w:tcPr>
            <w:tcW w:w="1384" w:type="dxa"/>
            <w:vAlign w:val="center"/>
          </w:tcPr>
          <w:p w14:paraId="2C637769">
            <w:r>
              <w:rPr>
                <w:rFonts w:hint="eastAsia"/>
              </w:rPr>
              <w:t>不计息</w:t>
            </w:r>
          </w:p>
        </w:tc>
        <w:tc>
          <w:tcPr>
            <w:tcW w:w="1384" w:type="dxa"/>
            <w:vAlign w:val="center"/>
          </w:tcPr>
          <w:p w14:paraId="08B6B6F6">
            <w:r>
              <w:rPr>
                <w:rFonts w:hint="eastAsia"/>
              </w:rPr>
              <w:t>合计</w:t>
            </w:r>
          </w:p>
        </w:tc>
      </w:tr>
      <w:tr w14:paraId="7D5B3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33077">
            <w:r>
              <w:rPr>
                <w:rFonts w:hint="eastAsia"/>
              </w:rPr>
              <w:t>资产</w:t>
            </w:r>
          </w:p>
        </w:tc>
        <w:tc>
          <w:tcPr>
            <w:tcW w:w="1384" w:type="dxa"/>
            <w:vAlign w:val="center"/>
          </w:tcPr>
          <w:p w14:paraId="67853F3A"/>
        </w:tc>
        <w:tc>
          <w:tcPr>
            <w:tcW w:w="1384" w:type="dxa"/>
            <w:vAlign w:val="center"/>
          </w:tcPr>
          <w:p w14:paraId="2A3D43D9"/>
        </w:tc>
        <w:tc>
          <w:tcPr>
            <w:tcW w:w="1384" w:type="dxa"/>
            <w:vAlign w:val="center"/>
          </w:tcPr>
          <w:p w14:paraId="0F7148F9"/>
        </w:tc>
        <w:tc>
          <w:tcPr>
            <w:tcW w:w="1384" w:type="dxa"/>
            <w:vAlign w:val="center"/>
          </w:tcPr>
          <w:p w14:paraId="7A684F03"/>
        </w:tc>
        <w:tc>
          <w:tcPr>
            <w:tcW w:w="1384" w:type="dxa"/>
            <w:vAlign w:val="center"/>
          </w:tcPr>
          <w:p w14:paraId="7864AAC5"/>
        </w:tc>
      </w:tr>
      <w:tr w14:paraId="76A7A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0D85B8">
            <w:r>
              <w:rPr>
                <w:rFonts w:hint="eastAsia"/>
              </w:rPr>
              <w:t>货币资金</w:t>
            </w:r>
          </w:p>
        </w:tc>
        <w:tc>
          <w:tcPr>
            <w:tcW w:w="1384" w:type="dxa"/>
            <w:vAlign w:val="center"/>
          </w:tcPr>
          <w:p w14:paraId="160C3B33">
            <w:pPr>
              <w:jc w:val="right"/>
            </w:pPr>
            <w:r>
              <w:rPr>
                <w:rFonts w:hint="eastAsia"/>
              </w:rPr>
              <w:t>4,764,043.82</w:t>
            </w:r>
          </w:p>
        </w:tc>
        <w:tc>
          <w:tcPr>
            <w:tcW w:w="1384" w:type="dxa"/>
            <w:vAlign w:val="center"/>
          </w:tcPr>
          <w:p w14:paraId="1F4D4842">
            <w:pPr>
              <w:jc w:val="right"/>
            </w:pPr>
            <w:r>
              <w:rPr>
                <w:rFonts w:hint="eastAsia"/>
              </w:rPr>
              <w:t>-</w:t>
            </w:r>
          </w:p>
        </w:tc>
        <w:tc>
          <w:tcPr>
            <w:tcW w:w="1384" w:type="dxa"/>
            <w:vAlign w:val="center"/>
          </w:tcPr>
          <w:p w14:paraId="0ED15AAA">
            <w:pPr>
              <w:jc w:val="right"/>
            </w:pPr>
            <w:r>
              <w:rPr>
                <w:rFonts w:hint="eastAsia"/>
              </w:rPr>
              <w:t>-</w:t>
            </w:r>
          </w:p>
        </w:tc>
        <w:tc>
          <w:tcPr>
            <w:tcW w:w="1384" w:type="dxa"/>
            <w:vAlign w:val="center"/>
          </w:tcPr>
          <w:p w14:paraId="1B37F5CE">
            <w:pPr>
              <w:jc w:val="right"/>
            </w:pPr>
            <w:r>
              <w:rPr>
                <w:rFonts w:hint="eastAsia"/>
              </w:rPr>
              <w:t>-</w:t>
            </w:r>
          </w:p>
        </w:tc>
        <w:tc>
          <w:tcPr>
            <w:tcW w:w="1384" w:type="dxa"/>
            <w:vAlign w:val="center"/>
          </w:tcPr>
          <w:p w14:paraId="1AA8E31C">
            <w:pPr>
              <w:jc w:val="right"/>
            </w:pPr>
            <w:r>
              <w:rPr>
                <w:rFonts w:hint="eastAsia"/>
              </w:rPr>
              <w:t>4,764,043.82</w:t>
            </w:r>
          </w:p>
        </w:tc>
      </w:tr>
      <w:tr w14:paraId="5B10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EDABF">
            <w:r>
              <w:rPr>
                <w:rFonts w:hint="eastAsia"/>
              </w:rPr>
              <w:t>结算备付金</w:t>
            </w:r>
          </w:p>
        </w:tc>
        <w:tc>
          <w:tcPr>
            <w:tcW w:w="1384" w:type="dxa"/>
            <w:vAlign w:val="center"/>
          </w:tcPr>
          <w:p w14:paraId="42A743ED">
            <w:pPr>
              <w:jc w:val="right"/>
            </w:pPr>
            <w:r>
              <w:rPr>
                <w:rFonts w:hint="eastAsia"/>
              </w:rPr>
              <w:t>25,575.59</w:t>
            </w:r>
          </w:p>
        </w:tc>
        <w:tc>
          <w:tcPr>
            <w:tcW w:w="1384" w:type="dxa"/>
            <w:vAlign w:val="center"/>
          </w:tcPr>
          <w:p w14:paraId="74581ACA">
            <w:pPr>
              <w:jc w:val="right"/>
            </w:pPr>
            <w:r>
              <w:rPr>
                <w:rFonts w:hint="eastAsia"/>
              </w:rPr>
              <w:t>-</w:t>
            </w:r>
          </w:p>
        </w:tc>
        <w:tc>
          <w:tcPr>
            <w:tcW w:w="1384" w:type="dxa"/>
            <w:vAlign w:val="center"/>
          </w:tcPr>
          <w:p w14:paraId="307AA8BE">
            <w:pPr>
              <w:jc w:val="right"/>
            </w:pPr>
            <w:r>
              <w:rPr>
                <w:rFonts w:hint="eastAsia"/>
              </w:rPr>
              <w:t>-</w:t>
            </w:r>
          </w:p>
        </w:tc>
        <w:tc>
          <w:tcPr>
            <w:tcW w:w="1384" w:type="dxa"/>
            <w:vAlign w:val="center"/>
          </w:tcPr>
          <w:p w14:paraId="4C4D8F77">
            <w:pPr>
              <w:jc w:val="right"/>
            </w:pPr>
            <w:r>
              <w:rPr>
                <w:rFonts w:hint="eastAsia"/>
              </w:rPr>
              <w:t>-</w:t>
            </w:r>
          </w:p>
        </w:tc>
        <w:tc>
          <w:tcPr>
            <w:tcW w:w="1384" w:type="dxa"/>
            <w:vAlign w:val="center"/>
          </w:tcPr>
          <w:p w14:paraId="63D8C44E">
            <w:pPr>
              <w:jc w:val="right"/>
            </w:pPr>
            <w:r>
              <w:rPr>
                <w:rFonts w:hint="eastAsia"/>
              </w:rPr>
              <w:t>25,575.59</w:t>
            </w:r>
          </w:p>
        </w:tc>
      </w:tr>
      <w:tr w14:paraId="42579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51C8D">
            <w:r>
              <w:rPr>
                <w:rFonts w:hint="eastAsia"/>
              </w:rPr>
              <w:t>存出保证金</w:t>
            </w:r>
          </w:p>
        </w:tc>
        <w:tc>
          <w:tcPr>
            <w:tcW w:w="1384" w:type="dxa"/>
            <w:vAlign w:val="center"/>
          </w:tcPr>
          <w:p w14:paraId="3BF51545">
            <w:pPr>
              <w:jc w:val="right"/>
            </w:pPr>
            <w:r>
              <w:rPr>
                <w:rFonts w:hint="eastAsia"/>
              </w:rPr>
              <w:t>10,745.36</w:t>
            </w:r>
          </w:p>
        </w:tc>
        <w:tc>
          <w:tcPr>
            <w:tcW w:w="1384" w:type="dxa"/>
            <w:vAlign w:val="center"/>
          </w:tcPr>
          <w:p w14:paraId="067719EB">
            <w:pPr>
              <w:jc w:val="right"/>
            </w:pPr>
            <w:r>
              <w:rPr>
                <w:rFonts w:hint="eastAsia"/>
              </w:rPr>
              <w:t>-</w:t>
            </w:r>
          </w:p>
        </w:tc>
        <w:tc>
          <w:tcPr>
            <w:tcW w:w="1384" w:type="dxa"/>
            <w:vAlign w:val="center"/>
          </w:tcPr>
          <w:p w14:paraId="71BB8D58">
            <w:pPr>
              <w:jc w:val="right"/>
            </w:pPr>
            <w:r>
              <w:rPr>
                <w:rFonts w:hint="eastAsia"/>
              </w:rPr>
              <w:t>-</w:t>
            </w:r>
          </w:p>
        </w:tc>
        <w:tc>
          <w:tcPr>
            <w:tcW w:w="1384" w:type="dxa"/>
            <w:vAlign w:val="center"/>
          </w:tcPr>
          <w:p w14:paraId="16C2F578">
            <w:pPr>
              <w:jc w:val="right"/>
            </w:pPr>
            <w:r>
              <w:rPr>
                <w:rFonts w:hint="eastAsia"/>
              </w:rPr>
              <w:t>-</w:t>
            </w:r>
          </w:p>
        </w:tc>
        <w:tc>
          <w:tcPr>
            <w:tcW w:w="1384" w:type="dxa"/>
            <w:vAlign w:val="center"/>
          </w:tcPr>
          <w:p w14:paraId="3D719929">
            <w:pPr>
              <w:jc w:val="right"/>
            </w:pPr>
            <w:r>
              <w:rPr>
                <w:rFonts w:hint="eastAsia"/>
              </w:rPr>
              <w:t>10,745.36</w:t>
            </w:r>
          </w:p>
        </w:tc>
      </w:tr>
      <w:tr w14:paraId="154C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B20BA0">
            <w:r>
              <w:rPr>
                <w:rFonts w:hint="eastAsia"/>
              </w:rPr>
              <w:t>交易性金融资产</w:t>
            </w:r>
          </w:p>
        </w:tc>
        <w:tc>
          <w:tcPr>
            <w:tcW w:w="1384" w:type="dxa"/>
            <w:vAlign w:val="center"/>
          </w:tcPr>
          <w:p w14:paraId="67C0F759">
            <w:pPr>
              <w:jc w:val="right"/>
            </w:pPr>
            <w:r>
              <w:rPr>
                <w:rFonts w:hint="eastAsia"/>
              </w:rPr>
              <w:t>1,905,376.10</w:t>
            </w:r>
          </w:p>
        </w:tc>
        <w:tc>
          <w:tcPr>
            <w:tcW w:w="1384" w:type="dxa"/>
            <w:vAlign w:val="center"/>
          </w:tcPr>
          <w:p w14:paraId="4C97D167">
            <w:pPr>
              <w:jc w:val="right"/>
            </w:pPr>
            <w:r>
              <w:rPr>
                <w:rFonts w:hint="eastAsia"/>
              </w:rPr>
              <w:t>-</w:t>
            </w:r>
          </w:p>
        </w:tc>
        <w:tc>
          <w:tcPr>
            <w:tcW w:w="1384" w:type="dxa"/>
            <w:vAlign w:val="center"/>
          </w:tcPr>
          <w:p w14:paraId="1EDC8079">
            <w:pPr>
              <w:jc w:val="right"/>
            </w:pPr>
            <w:r>
              <w:rPr>
                <w:rFonts w:hint="eastAsia"/>
              </w:rPr>
              <w:t>-</w:t>
            </w:r>
          </w:p>
        </w:tc>
        <w:tc>
          <w:tcPr>
            <w:tcW w:w="1384" w:type="dxa"/>
            <w:vAlign w:val="center"/>
          </w:tcPr>
          <w:p w14:paraId="3CB453D0">
            <w:pPr>
              <w:jc w:val="right"/>
            </w:pPr>
            <w:r>
              <w:rPr>
                <w:rFonts w:hint="eastAsia"/>
              </w:rPr>
              <w:t>37,664,951.42</w:t>
            </w:r>
          </w:p>
        </w:tc>
        <w:tc>
          <w:tcPr>
            <w:tcW w:w="1384" w:type="dxa"/>
            <w:vAlign w:val="center"/>
          </w:tcPr>
          <w:p w14:paraId="793C217A">
            <w:pPr>
              <w:jc w:val="right"/>
            </w:pPr>
            <w:r>
              <w:rPr>
                <w:rFonts w:hint="eastAsia"/>
              </w:rPr>
              <w:t>39,570,327.52</w:t>
            </w:r>
          </w:p>
        </w:tc>
      </w:tr>
      <w:tr w14:paraId="2315B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9E2C13">
            <w:r>
              <w:rPr>
                <w:rFonts w:hint="eastAsia"/>
              </w:rPr>
              <w:t>衍生金融资产</w:t>
            </w:r>
          </w:p>
        </w:tc>
        <w:tc>
          <w:tcPr>
            <w:tcW w:w="1384" w:type="dxa"/>
            <w:vAlign w:val="center"/>
          </w:tcPr>
          <w:p w14:paraId="40D6FA2C">
            <w:pPr>
              <w:jc w:val="right"/>
            </w:pPr>
            <w:r>
              <w:rPr>
                <w:rFonts w:hint="eastAsia"/>
              </w:rPr>
              <w:t>-</w:t>
            </w:r>
          </w:p>
        </w:tc>
        <w:tc>
          <w:tcPr>
            <w:tcW w:w="1384" w:type="dxa"/>
            <w:vAlign w:val="center"/>
          </w:tcPr>
          <w:p w14:paraId="79920B93">
            <w:pPr>
              <w:jc w:val="right"/>
            </w:pPr>
            <w:r>
              <w:rPr>
                <w:rFonts w:hint="eastAsia"/>
              </w:rPr>
              <w:t>-</w:t>
            </w:r>
          </w:p>
        </w:tc>
        <w:tc>
          <w:tcPr>
            <w:tcW w:w="1384" w:type="dxa"/>
            <w:vAlign w:val="center"/>
          </w:tcPr>
          <w:p w14:paraId="71BD877B">
            <w:pPr>
              <w:jc w:val="right"/>
            </w:pPr>
            <w:r>
              <w:rPr>
                <w:rFonts w:hint="eastAsia"/>
              </w:rPr>
              <w:t>-</w:t>
            </w:r>
          </w:p>
        </w:tc>
        <w:tc>
          <w:tcPr>
            <w:tcW w:w="1384" w:type="dxa"/>
            <w:vAlign w:val="center"/>
          </w:tcPr>
          <w:p w14:paraId="3C51EB44">
            <w:pPr>
              <w:jc w:val="right"/>
            </w:pPr>
            <w:r>
              <w:rPr>
                <w:rFonts w:hint="eastAsia"/>
              </w:rPr>
              <w:t>-</w:t>
            </w:r>
          </w:p>
        </w:tc>
        <w:tc>
          <w:tcPr>
            <w:tcW w:w="1384" w:type="dxa"/>
            <w:vAlign w:val="center"/>
          </w:tcPr>
          <w:p w14:paraId="123E25E4">
            <w:pPr>
              <w:jc w:val="right"/>
            </w:pPr>
            <w:r>
              <w:rPr>
                <w:rFonts w:hint="eastAsia"/>
              </w:rPr>
              <w:t>-</w:t>
            </w:r>
          </w:p>
        </w:tc>
      </w:tr>
      <w:tr w14:paraId="7D91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BFB413">
            <w:r>
              <w:rPr>
                <w:rFonts w:hint="eastAsia"/>
              </w:rPr>
              <w:t>买入返售金融资产</w:t>
            </w:r>
          </w:p>
        </w:tc>
        <w:tc>
          <w:tcPr>
            <w:tcW w:w="1384" w:type="dxa"/>
            <w:vAlign w:val="center"/>
          </w:tcPr>
          <w:p w14:paraId="7F6A10F7">
            <w:pPr>
              <w:jc w:val="right"/>
            </w:pPr>
            <w:r>
              <w:rPr>
                <w:rFonts w:hint="eastAsia"/>
              </w:rPr>
              <w:t>-</w:t>
            </w:r>
          </w:p>
        </w:tc>
        <w:tc>
          <w:tcPr>
            <w:tcW w:w="1384" w:type="dxa"/>
            <w:vAlign w:val="center"/>
          </w:tcPr>
          <w:p w14:paraId="4AD2F879">
            <w:pPr>
              <w:jc w:val="right"/>
            </w:pPr>
            <w:r>
              <w:rPr>
                <w:rFonts w:hint="eastAsia"/>
              </w:rPr>
              <w:t>-</w:t>
            </w:r>
          </w:p>
        </w:tc>
        <w:tc>
          <w:tcPr>
            <w:tcW w:w="1384" w:type="dxa"/>
            <w:vAlign w:val="center"/>
          </w:tcPr>
          <w:p w14:paraId="088884C0">
            <w:pPr>
              <w:jc w:val="right"/>
            </w:pPr>
            <w:r>
              <w:rPr>
                <w:rFonts w:hint="eastAsia"/>
              </w:rPr>
              <w:t>-</w:t>
            </w:r>
          </w:p>
        </w:tc>
        <w:tc>
          <w:tcPr>
            <w:tcW w:w="1384" w:type="dxa"/>
            <w:vAlign w:val="center"/>
          </w:tcPr>
          <w:p w14:paraId="4F09710A">
            <w:pPr>
              <w:jc w:val="right"/>
            </w:pPr>
            <w:r>
              <w:rPr>
                <w:rFonts w:hint="eastAsia"/>
              </w:rPr>
              <w:t>-</w:t>
            </w:r>
          </w:p>
        </w:tc>
        <w:tc>
          <w:tcPr>
            <w:tcW w:w="1384" w:type="dxa"/>
            <w:vAlign w:val="center"/>
          </w:tcPr>
          <w:p w14:paraId="1D12355A">
            <w:pPr>
              <w:jc w:val="right"/>
            </w:pPr>
            <w:r>
              <w:rPr>
                <w:rFonts w:hint="eastAsia"/>
              </w:rPr>
              <w:t>-</w:t>
            </w:r>
          </w:p>
        </w:tc>
      </w:tr>
      <w:tr w14:paraId="1EF9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F3B498">
            <w:r>
              <w:rPr>
                <w:rFonts w:hint="eastAsia"/>
              </w:rPr>
              <w:t>债权投资</w:t>
            </w:r>
          </w:p>
        </w:tc>
        <w:tc>
          <w:tcPr>
            <w:tcW w:w="1384" w:type="dxa"/>
            <w:vAlign w:val="center"/>
          </w:tcPr>
          <w:p w14:paraId="19BE76B3">
            <w:pPr>
              <w:jc w:val="right"/>
            </w:pPr>
            <w:r>
              <w:rPr>
                <w:rFonts w:hint="eastAsia"/>
              </w:rPr>
              <w:t>-</w:t>
            </w:r>
          </w:p>
        </w:tc>
        <w:tc>
          <w:tcPr>
            <w:tcW w:w="1384" w:type="dxa"/>
            <w:vAlign w:val="center"/>
          </w:tcPr>
          <w:p w14:paraId="52D8184E">
            <w:pPr>
              <w:jc w:val="right"/>
            </w:pPr>
            <w:r>
              <w:rPr>
                <w:rFonts w:hint="eastAsia"/>
              </w:rPr>
              <w:t>-</w:t>
            </w:r>
          </w:p>
        </w:tc>
        <w:tc>
          <w:tcPr>
            <w:tcW w:w="1384" w:type="dxa"/>
            <w:vAlign w:val="center"/>
          </w:tcPr>
          <w:p w14:paraId="0935B683">
            <w:pPr>
              <w:jc w:val="right"/>
            </w:pPr>
            <w:r>
              <w:rPr>
                <w:rFonts w:hint="eastAsia"/>
              </w:rPr>
              <w:t>-</w:t>
            </w:r>
          </w:p>
        </w:tc>
        <w:tc>
          <w:tcPr>
            <w:tcW w:w="1384" w:type="dxa"/>
            <w:vAlign w:val="center"/>
          </w:tcPr>
          <w:p w14:paraId="7A6F6950">
            <w:pPr>
              <w:jc w:val="right"/>
            </w:pPr>
            <w:r>
              <w:rPr>
                <w:rFonts w:hint="eastAsia"/>
              </w:rPr>
              <w:t>-</w:t>
            </w:r>
          </w:p>
        </w:tc>
        <w:tc>
          <w:tcPr>
            <w:tcW w:w="1384" w:type="dxa"/>
            <w:vAlign w:val="center"/>
          </w:tcPr>
          <w:p w14:paraId="5F089571">
            <w:pPr>
              <w:jc w:val="right"/>
            </w:pPr>
            <w:r>
              <w:rPr>
                <w:rFonts w:hint="eastAsia"/>
              </w:rPr>
              <w:t>-</w:t>
            </w:r>
          </w:p>
        </w:tc>
      </w:tr>
      <w:tr w14:paraId="0000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251FC">
            <w:r>
              <w:rPr>
                <w:rFonts w:hint="eastAsia"/>
              </w:rPr>
              <w:t>其他债权投资</w:t>
            </w:r>
          </w:p>
        </w:tc>
        <w:tc>
          <w:tcPr>
            <w:tcW w:w="1384" w:type="dxa"/>
            <w:vAlign w:val="center"/>
          </w:tcPr>
          <w:p w14:paraId="6DD870B7">
            <w:pPr>
              <w:jc w:val="right"/>
            </w:pPr>
            <w:r>
              <w:rPr>
                <w:rFonts w:hint="eastAsia"/>
              </w:rPr>
              <w:t>-</w:t>
            </w:r>
          </w:p>
        </w:tc>
        <w:tc>
          <w:tcPr>
            <w:tcW w:w="1384" w:type="dxa"/>
            <w:vAlign w:val="center"/>
          </w:tcPr>
          <w:p w14:paraId="73F36CDD">
            <w:pPr>
              <w:jc w:val="right"/>
            </w:pPr>
            <w:r>
              <w:rPr>
                <w:rFonts w:hint="eastAsia"/>
              </w:rPr>
              <w:t>-</w:t>
            </w:r>
          </w:p>
        </w:tc>
        <w:tc>
          <w:tcPr>
            <w:tcW w:w="1384" w:type="dxa"/>
            <w:vAlign w:val="center"/>
          </w:tcPr>
          <w:p w14:paraId="006A513C">
            <w:pPr>
              <w:jc w:val="right"/>
            </w:pPr>
            <w:r>
              <w:rPr>
                <w:rFonts w:hint="eastAsia"/>
              </w:rPr>
              <w:t>-</w:t>
            </w:r>
          </w:p>
        </w:tc>
        <w:tc>
          <w:tcPr>
            <w:tcW w:w="1384" w:type="dxa"/>
            <w:vAlign w:val="center"/>
          </w:tcPr>
          <w:p w14:paraId="43335F4F">
            <w:pPr>
              <w:jc w:val="right"/>
            </w:pPr>
            <w:r>
              <w:rPr>
                <w:rFonts w:hint="eastAsia"/>
              </w:rPr>
              <w:t>-</w:t>
            </w:r>
          </w:p>
        </w:tc>
        <w:tc>
          <w:tcPr>
            <w:tcW w:w="1384" w:type="dxa"/>
            <w:vAlign w:val="center"/>
          </w:tcPr>
          <w:p w14:paraId="02650400">
            <w:pPr>
              <w:jc w:val="right"/>
            </w:pPr>
            <w:r>
              <w:rPr>
                <w:rFonts w:hint="eastAsia"/>
              </w:rPr>
              <w:t>-</w:t>
            </w:r>
          </w:p>
        </w:tc>
      </w:tr>
      <w:tr w14:paraId="5AA4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567AD">
            <w:r>
              <w:rPr>
                <w:rFonts w:hint="eastAsia"/>
              </w:rPr>
              <w:t>其他权益工具投资</w:t>
            </w:r>
          </w:p>
        </w:tc>
        <w:tc>
          <w:tcPr>
            <w:tcW w:w="1384" w:type="dxa"/>
            <w:vAlign w:val="center"/>
          </w:tcPr>
          <w:p w14:paraId="3239E84D">
            <w:pPr>
              <w:jc w:val="right"/>
            </w:pPr>
            <w:r>
              <w:rPr>
                <w:rFonts w:hint="eastAsia"/>
              </w:rPr>
              <w:t>-</w:t>
            </w:r>
          </w:p>
        </w:tc>
        <w:tc>
          <w:tcPr>
            <w:tcW w:w="1384" w:type="dxa"/>
            <w:vAlign w:val="center"/>
          </w:tcPr>
          <w:p w14:paraId="726F3AFB">
            <w:pPr>
              <w:jc w:val="right"/>
            </w:pPr>
            <w:r>
              <w:rPr>
                <w:rFonts w:hint="eastAsia"/>
              </w:rPr>
              <w:t>-</w:t>
            </w:r>
          </w:p>
        </w:tc>
        <w:tc>
          <w:tcPr>
            <w:tcW w:w="1384" w:type="dxa"/>
            <w:vAlign w:val="center"/>
          </w:tcPr>
          <w:p w14:paraId="44730021">
            <w:pPr>
              <w:jc w:val="right"/>
            </w:pPr>
            <w:r>
              <w:rPr>
                <w:rFonts w:hint="eastAsia"/>
              </w:rPr>
              <w:t>-</w:t>
            </w:r>
          </w:p>
        </w:tc>
        <w:tc>
          <w:tcPr>
            <w:tcW w:w="1384" w:type="dxa"/>
            <w:vAlign w:val="center"/>
          </w:tcPr>
          <w:p w14:paraId="3BC92C4D">
            <w:pPr>
              <w:jc w:val="right"/>
            </w:pPr>
            <w:r>
              <w:rPr>
                <w:rFonts w:hint="eastAsia"/>
              </w:rPr>
              <w:t>-</w:t>
            </w:r>
          </w:p>
        </w:tc>
        <w:tc>
          <w:tcPr>
            <w:tcW w:w="1384" w:type="dxa"/>
            <w:vAlign w:val="center"/>
          </w:tcPr>
          <w:p w14:paraId="38C12D1C">
            <w:pPr>
              <w:jc w:val="right"/>
            </w:pPr>
            <w:r>
              <w:rPr>
                <w:rFonts w:hint="eastAsia"/>
              </w:rPr>
              <w:t>-</w:t>
            </w:r>
          </w:p>
        </w:tc>
      </w:tr>
      <w:tr w14:paraId="3C91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4A8BB">
            <w:r>
              <w:rPr>
                <w:rFonts w:hint="eastAsia"/>
              </w:rPr>
              <w:t>应收清算款</w:t>
            </w:r>
          </w:p>
        </w:tc>
        <w:tc>
          <w:tcPr>
            <w:tcW w:w="1384" w:type="dxa"/>
            <w:vAlign w:val="center"/>
          </w:tcPr>
          <w:p w14:paraId="40FA52EF">
            <w:pPr>
              <w:jc w:val="right"/>
            </w:pPr>
            <w:r>
              <w:rPr>
                <w:rFonts w:hint="eastAsia"/>
              </w:rPr>
              <w:t>-</w:t>
            </w:r>
          </w:p>
        </w:tc>
        <w:tc>
          <w:tcPr>
            <w:tcW w:w="1384" w:type="dxa"/>
            <w:vAlign w:val="center"/>
          </w:tcPr>
          <w:p w14:paraId="1CAEB20F">
            <w:pPr>
              <w:jc w:val="right"/>
            </w:pPr>
            <w:r>
              <w:rPr>
                <w:rFonts w:hint="eastAsia"/>
              </w:rPr>
              <w:t>-</w:t>
            </w:r>
          </w:p>
        </w:tc>
        <w:tc>
          <w:tcPr>
            <w:tcW w:w="1384" w:type="dxa"/>
            <w:vAlign w:val="center"/>
          </w:tcPr>
          <w:p w14:paraId="5F3CEE26">
            <w:pPr>
              <w:jc w:val="right"/>
            </w:pPr>
            <w:r>
              <w:rPr>
                <w:rFonts w:hint="eastAsia"/>
              </w:rPr>
              <w:t>-</w:t>
            </w:r>
          </w:p>
        </w:tc>
        <w:tc>
          <w:tcPr>
            <w:tcW w:w="1384" w:type="dxa"/>
            <w:vAlign w:val="center"/>
          </w:tcPr>
          <w:p w14:paraId="7C6F5F68">
            <w:pPr>
              <w:jc w:val="right"/>
            </w:pPr>
            <w:r>
              <w:rPr>
                <w:rFonts w:hint="eastAsia"/>
              </w:rPr>
              <w:t>-</w:t>
            </w:r>
          </w:p>
        </w:tc>
        <w:tc>
          <w:tcPr>
            <w:tcW w:w="1384" w:type="dxa"/>
            <w:vAlign w:val="center"/>
          </w:tcPr>
          <w:p w14:paraId="6AF88864">
            <w:pPr>
              <w:jc w:val="right"/>
            </w:pPr>
            <w:r>
              <w:rPr>
                <w:rFonts w:hint="eastAsia"/>
              </w:rPr>
              <w:t>-</w:t>
            </w:r>
          </w:p>
        </w:tc>
      </w:tr>
      <w:tr w14:paraId="196D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7DA67D">
            <w:r>
              <w:rPr>
                <w:rFonts w:hint="eastAsia"/>
              </w:rPr>
              <w:t>应收股利</w:t>
            </w:r>
          </w:p>
        </w:tc>
        <w:tc>
          <w:tcPr>
            <w:tcW w:w="1384" w:type="dxa"/>
            <w:vAlign w:val="center"/>
          </w:tcPr>
          <w:p w14:paraId="359E533A">
            <w:pPr>
              <w:jc w:val="right"/>
            </w:pPr>
            <w:r>
              <w:rPr>
                <w:rFonts w:hint="eastAsia"/>
              </w:rPr>
              <w:t>-</w:t>
            </w:r>
          </w:p>
        </w:tc>
        <w:tc>
          <w:tcPr>
            <w:tcW w:w="1384" w:type="dxa"/>
            <w:vAlign w:val="center"/>
          </w:tcPr>
          <w:p w14:paraId="264678C9">
            <w:pPr>
              <w:jc w:val="right"/>
            </w:pPr>
            <w:r>
              <w:rPr>
                <w:rFonts w:hint="eastAsia"/>
              </w:rPr>
              <w:t>-</w:t>
            </w:r>
          </w:p>
        </w:tc>
        <w:tc>
          <w:tcPr>
            <w:tcW w:w="1384" w:type="dxa"/>
            <w:vAlign w:val="center"/>
          </w:tcPr>
          <w:p w14:paraId="236BF6D5">
            <w:pPr>
              <w:jc w:val="right"/>
            </w:pPr>
            <w:r>
              <w:rPr>
                <w:rFonts w:hint="eastAsia"/>
              </w:rPr>
              <w:t>-</w:t>
            </w:r>
          </w:p>
        </w:tc>
        <w:tc>
          <w:tcPr>
            <w:tcW w:w="1384" w:type="dxa"/>
            <w:vAlign w:val="center"/>
          </w:tcPr>
          <w:p w14:paraId="759419C1">
            <w:pPr>
              <w:jc w:val="right"/>
            </w:pPr>
            <w:r>
              <w:rPr>
                <w:rFonts w:hint="eastAsia"/>
              </w:rPr>
              <w:t>-</w:t>
            </w:r>
          </w:p>
        </w:tc>
        <w:tc>
          <w:tcPr>
            <w:tcW w:w="1384" w:type="dxa"/>
            <w:vAlign w:val="center"/>
          </w:tcPr>
          <w:p w14:paraId="29629226">
            <w:pPr>
              <w:jc w:val="right"/>
            </w:pPr>
            <w:r>
              <w:rPr>
                <w:rFonts w:hint="eastAsia"/>
              </w:rPr>
              <w:t>-</w:t>
            </w:r>
          </w:p>
        </w:tc>
      </w:tr>
      <w:tr w14:paraId="29341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916EDF">
            <w:r>
              <w:rPr>
                <w:rFonts w:hint="eastAsia"/>
              </w:rPr>
              <w:t>应收申购款</w:t>
            </w:r>
          </w:p>
        </w:tc>
        <w:tc>
          <w:tcPr>
            <w:tcW w:w="1384" w:type="dxa"/>
            <w:vAlign w:val="center"/>
          </w:tcPr>
          <w:p w14:paraId="3CFF345B">
            <w:pPr>
              <w:jc w:val="right"/>
            </w:pPr>
            <w:r>
              <w:rPr>
                <w:rFonts w:hint="eastAsia"/>
              </w:rPr>
              <w:t>1,071.00</w:t>
            </w:r>
          </w:p>
        </w:tc>
        <w:tc>
          <w:tcPr>
            <w:tcW w:w="1384" w:type="dxa"/>
            <w:vAlign w:val="center"/>
          </w:tcPr>
          <w:p w14:paraId="6A0BD5F8">
            <w:pPr>
              <w:jc w:val="right"/>
            </w:pPr>
            <w:r>
              <w:rPr>
                <w:rFonts w:hint="eastAsia"/>
              </w:rPr>
              <w:t>-</w:t>
            </w:r>
          </w:p>
        </w:tc>
        <w:tc>
          <w:tcPr>
            <w:tcW w:w="1384" w:type="dxa"/>
            <w:vAlign w:val="center"/>
          </w:tcPr>
          <w:p w14:paraId="336841E5">
            <w:pPr>
              <w:jc w:val="right"/>
            </w:pPr>
            <w:r>
              <w:rPr>
                <w:rFonts w:hint="eastAsia"/>
              </w:rPr>
              <w:t>-</w:t>
            </w:r>
          </w:p>
        </w:tc>
        <w:tc>
          <w:tcPr>
            <w:tcW w:w="1384" w:type="dxa"/>
            <w:vAlign w:val="center"/>
          </w:tcPr>
          <w:p w14:paraId="400A560E">
            <w:pPr>
              <w:jc w:val="right"/>
            </w:pPr>
            <w:r>
              <w:rPr>
                <w:rFonts w:hint="eastAsia"/>
              </w:rPr>
              <w:t>619,411.49</w:t>
            </w:r>
          </w:p>
        </w:tc>
        <w:tc>
          <w:tcPr>
            <w:tcW w:w="1384" w:type="dxa"/>
            <w:vAlign w:val="center"/>
          </w:tcPr>
          <w:p w14:paraId="7C9CB915">
            <w:pPr>
              <w:jc w:val="right"/>
            </w:pPr>
            <w:r>
              <w:rPr>
                <w:rFonts w:hint="eastAsia"/>
              </w:rPr>
              <w:t>620,482.49</w:t>
            </w:r>
          </w:p>
        </w:tc>
      </w:tr>
      <w:tr w14:paraId="007D6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5B839A">
            <w:r>
              <w:rPr>
                <w:rFonts w:hint="eastAsia"/>
              </w:rPr>
              <w:t>递延所得税资产</w:t>
            </w:r>
          </w:p>
        </w:tc>
        <w:tc>
          <w:tcPr>
            <w:tcW w:w="1384" w:type="dxa"/>
            <w:vAlign w:val="center"/>
          </w:tcPr>
          <w:p w14:paraId="670D4CD4">
            <w:pPr>
              <w:jc w:val="right"/>
            </w:pPr>
            <w:r>
              <w:rPr>
                <w:rFonts w:hint="eastAsia"/>
              </w:rPr>
              <w:t>-</w:t>
            </w:r>
          </w:p>
        </w:tc>
        <w:tc>
          <w:tcPr>
            <w:tcW w:w="1384" w:type="dxa"/>
            <w:vAlign w:val="center"/>
          </w:tcPr>
          <w:p w14:paraId="23D387BC">
            <w:pPr>
              <w:jc w:val="right"/>
            </w:pPr>
            <w:r>
              <w:rPr>
                <w:rFonts w:hint="eastAsia"/>
              </w:rPr>
              <w:t>-</w:t>
            </w:r>
          </w:p>
        </w:tc>
        <w:tc>
          <w:tcPr>
            <w:tcW w:w="1384" w:type="dxa"/>
            <w:vAlign w:val="center"/>
          </w:tcPr>
          <w:p w14:paraId="2B30098B">
            <w:pPr>
              <w:jc w:val="right"/>
            </w:pPr>
            <w:r>
              <w:rPr>
                <w:rFonts w:hint="eastAsia"/>
              </w:rPr>
              <w:t>-</w:t>
            </w:r>
          </w:p>
        </w:tc>
        <w:tc>
          <w:tcPr>
            <w:tcW w:w="1384" w:type="dxa"/>
            <w:vAlign w:val="center"/>
          </w:tcPr>
          <w:p w14:paraId="7FB10697">
            <w:pPr>
              <w:jc w:val="right"/>
            </w:pPr>
            <w:r>
              <w:rPr>
                <w:rFonts w:hint="eastAsia"/>
              </w:rPr>
              <w:t>-</w:t>
            </w:r>
          </w:p>
        </w:tc>
        <w:tc>
          <w:tcPr>
            <w:tcW w:w="1384" w:type="dxa"/>
            <w:vAlign w:val="center"/>
          </w:tcPr>
          <w:p w14:paraId="63C30711">
            <w:pPr>
              <w:jc w:val="right"/>
            </w:pPr>
            <w:r>
              <w:rPr>
                <w:rFonts w:hint="eastAsia"/>
              </w:rPr>
              <w:t>-</w:t>
            </w:r>
          </w:p>
        </w:tc>
      </w:tr>
      <w:tr w14:paraId="025E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1AC03">
            <w:r>
              <w:rPr>
                <w:rFonts w:hint="eastAsia"/>
              </w:rPr>
              <w:t>其他资产</w:t>
            </w:r>
          </w:p>
        </w:tc>
        <w:tc>
          <w:tcPr>
            <w:tcW w:w="1384" w:type="dxa"/>
            <w:vAlign w:val="center"/>
          </w:tcPr>
          <w:p w14:paraId="380B5442">
            <w:pPr>
              <w:jc w:val="right"/>
            </w:pPr>
            <w:r>
              <w:rPr>
                <w:rFonts w:hint="eastAsia"/>
              </w:rPr>
              <w:t>-</w:t>
            </w:r>
          </w:p>
        </w:tc>
        <w:tc>
          <w:tcPr>
            <w:tcW w:w="1384" w:type="dxa"/>
            <w:vAlign w:val="center"/>
          </w:tcPr>
          <w:p w14:paraId="4BADDD6C">
            <w:pPr>
              <w:jc w:val="right"/>
            </w:pPr>
            <w:r>
              <w:rPr>
                <w:rFonts w:hint="eastAsia"/>
              </w:rPr>
              <w:t>-</w:t>
            </w:r>
          </w:p>
        </w:tc>
        <w:tc>
          <w:tcPr>
            <w:tcW w:w="1384" w:type="dxa"/>
            <w:vAlign w:val="center"/>
          </w:tcPr>
          <w:p w14:paraId="06DE15D8">
            <w:pPr>
              <w:jc w:val="right"/>
            </w:pPr>
            <w:r>
              <w:rPr>
                <w:rFonts w:hint="eastAsia"/>
              </w:rPr>
              <w:t>-</w:t>
            </w:r>
          </w:p>
        </w:tc>
        <w:tc>
          <w:tcPr>
            <w:tcW w:w="1384" w:type="dxa"/>
            <w:vAlign w:val="center"/>
          </w:tcPr>
          <w:p w14:paraId="59327E1D">
            <w:pPr>
              <w:jc w:val="right"/>
            </w:pPr>
            <w:r>
              <w:rPr>
                <w:rFonts w:hint="eastAsia"/>
              </w:rPr>
              <w:t>-</w:t>
            </w:r>
          </w:p>
        </w:tc>
        <w:tc>
          <w:tcPr>
            <w:tcW w:w="1384" w:type="dxa"/>
            <w:vAlign w:val="center"/>
          </w:tcPr>
          <w:p w14:paraId="061D61BB">
            <w:pPr>
              <w:jc w:val="right"/>
            </w:pPr>
            <w:r>
              <w:rPr>
                <w:rFonts w:hint="eastAsia"/>
              </w:rPr>
              <w:t>-</w:t>
            </w:r>
          </w:p>
        </w:tc>
      </w:tr>
      <w:tr w14:paraId="01A5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68B0A5">
            <w:r>
              <w:rPr>
                <w:rFonts w:hint="eastAsia"/>
              </w:rPr>
              <w:t>资产总计</w:t>
            </w:r>
          </w:p>
        </w:tc>
        <w:tc>
          <w:tcPr>
            <w:tcW w:w="1384" w:type="dxa"/>
            <w:vAlign w:val="center"/>
          </w:tcPr>
          <w:p w14:paraId="70F9B240">
            <w:pPr>
              <w:jc w:val="right"/>
            </w:pPr>
            <w:r>
              <w:rPr>
                <w:rFonts w:hint="eastAsia"/>
              </w:rPr>
              <w:t>6,706,811.87</w:t>
            </w:r>
          </w:p>
        </w:tc>
        <w:tc>
          <w:tcPr>
            <w:tcW w:w="1384" w:type="dxa"/>
            <w:vAlign w:val="center"/>
          </w:tcPr>
          <w:p w14:paraId="6F6761C3">
            <w:pPr>
              <w:jc w:val="right"/>
            </w:pPr>
            <w:r>
              <w:rPr>
                <w:rFonts w:hint="eastAsia"/>
              </w:rPr>
              <w:t>-</w:t>
            </w:r>
          </w:p>
        </w:tc>
        <w:tc>
          <w:tcPr>
            <w:tcW w:w="1384" w:type="dxa"/>
            <w:vAlign w:val="center"/>
          </w:tcPr>
          <w:p w14:paraId="14650A58">
            <w:pPr>
              <w:jc w:val="right"/>
            </w:pPr>
            <w:r>
              <w:rPr>
                <w:rFonts w:hint="eastAsia"/>
              </w:rPr>
              <w:t>-</w:t>
            </w:r>
          </w:p>
        </w:tc>
        <w:tc>
          <w:tcPr>
            <w:tcW w:w="1384" w:type="dxa"/>
            <w:vAlign w:val="center"/>
          </w:tcPr>
          <w:p w14:paraId="35B3C046">
            <w:pPr>
              <w:jc w:val="right"/>
            </w:pPr>
            <w:r>
              <w:rPr>
                <w:rFonts w:hint="eastAsia"/>
              </w:rPr>
              <w:t>38,284,362.91</w:t>
            </w:r>
          </w:p>
        </w:tc>
        <w:tc>
          <w:tcPr>
            <w:tcW w:w="1384" w:type="dxa"/>
            <w:vAlign w:val="center"/>
          </w:tcPr>
          <w:p w14:paraId="092F0FC0">
            <w:pPr>
              <w:jc w:val="right"/>
            </w:pPr>
            <w:r>
              <w:rPr>
                <w:rFonts w:hint="eastAsia"/>
              </w:rPr>
              <w:t>44,991,174.78</w:t>
            </w:r>
          </w:p>
        </w:tc>
      </w:tr>
      <w:tr w14:paraId="58FE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9D8A49">
            <w:r>
              <w:rPr>
                <w:rFonts w:hint="eastAsia"/>
              </w:rPr>
              <w:t>负债</w:t>
            </w:r>
          </w:p>
        </w:tc>
        <w:tc>
          <w:tcPr>
            <w:tcW w:w="1384" w:type="dxa"/>
            <w:vAlign w:val="center"/>
          </w:tcPr>
          <w:p w14:paraId="6217DBCD"/>
        </w:tc>
        <w:tc>
          <w:tcPr>
            <w:tcW w:w="1384" w:type="dxa"/>
            <w:vAlign w:val="center"/>
          </w:tcPr>
          <w:p w14:paraId="2217BA0A"/>
        </w:tc>
        <w:tc>
          <w:tcPr>
            <w:tcW w:w="1384" w:type="dxa"/>
            <w:vAlign w:val="center"/>
          </w:tcPr>
          <w:p w14:paraId="316D4EAC"/>
        </w:tc>
        <w:tc>
          <w:tcPr>
            <w:tcW w:w="1384" w:type="dxa"/>
            <w:vAlign w:val="center"/>
          </w:tcPr>
          <w:p w14:paraId="2E28AE7D"/>
        </w:tc>
        <w:tc>
          <w:tcPr>
            <w:tcW w:w="1384" w:type="dxa"/>
            <w:vAlign w:val="center"/>
          </w:tcPr>
          <w:p w14:paraId="2ED461E8"/>
        </w:tc>
      </w:tr>
      <w:tr w14:paraId="1A72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D5219">
            <w:r>
              <w:rPr>
                <w:rFonts w:hint="eastAsia"/>
              </w:rPr>
              <w:t>短期借款</w:t>
            </w:r>
          </w:p>
        </w:tc>
        <w:tc>
          <w:tcPr>
            <w:tcW w:w="1384" w:type="dxa"/>
            <w:vAlign w:val="center"/>
          </w:tcPr>
          <w:p w14:paraId="195C34DD">
            <w:pPr>
              <w:jc w:val="right"/>
            </w:pPr>
            <w:r>
              <w:rPr>
                <w:rFonts w:hint="eastAsia"/>
              </w:rPr>
              <w:t>-</w:t>
            </w:r>
          </w:p>
        </w:tc>
        <w:tc>
          <w:tcPr>
            <w:tcW w:w="1384" w:type="dxa"/>
            <w:vAlign w:val="center"/>
          </w:tcPr>
          <w:p w14:paraId="4A767AE8">
            <w:pPr>
              <w:jc w:val="right"/>
            </w:pPr>
            <w:r>
              <w:rPr>
                <w:rFonts w:hint="eastAsia"/>
              </w:rPr>
              <w:t>-</w:t>
            </w:r>
          </w:p>
        </w:tc>
        <w:tc>
          <w:tcPr>
            <w:tcW w:w="1384" w:type="dxa"/>
            <w:vAlign w:val="center"/>
          </w:tcPr>
          <w:p w14:paraId="4C0A590A">
            <w:pPr>
              <w:jc w:val="right"/>
            </w:pPr>
            <w:r>
              <w:rPr>
                <w:rFonts w:hint="eastAsia"/>
              </w:rPr>
              <w:t>-</w:t>
            </w:r>
          </w:p>
        </w:tc>
        <w:tc>
          <w:tcPr>
            <w:tcW w:w="1384" w:type="dxa"/>
            <w:vAlign w:val="center"/>
          </w:tcPr>
          <w:p w14:paraId="6E47215A">
            <w:pPr>
              <w:jc w:val="right"/>
            </w:pPr>
            <w:r>
              <w:rPr>
                <w:rFonts w:hint="eastAsia"/>
              </w:rPr>
              <w:t>-</w:t>
            </w:r>
          </w:p>
        </w:tc>
        <w:tc>
          <w:tcPr>
            <w:tcW w:w="1384" w:type="dxa"/>
            <w:vAlign w:val="center"/>
          </w:tcPr>
          <w:p w14:paraId="3DAD1C18">
            <w:pPr>
              <w:jc w:val="right"/>
            </w:pPr>
            <w:r>
              <w:rPr>
                <w:rFonts w:hint="eastAsia"/>
              </w:rPr>
              <w:t>-</w:t>
            </w:r>
          </w:p>
        </w:tc>
      </w:tr>
      <w:tr w14:paraId="2362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622498">
            <w:r>
              <w:rPr>
                <w:rFonts w:hint="eastAsia"/>
              </w:rPr>
              <w:t>交易性金融负债</w:t>
            </w:r>
          </w:p>
        </w:tc>
        <w:tc>
          <w:tcPr>
            <w:tcW w:w="1384" w:type="dxa"/>
            <w:vAlign w:val="center"/>
          </w:tcPr>
          <w:p w14:paraId="4C4CBA6B">
            <w:pPr>
              <w:jc w:val="right"/>
            </w:pPr>
            <w:r>
              <w:rPr>
                <w:rFonts w:hint="eastAsia"/>
              </w:rPr>
              <w:t>-</w:t>
            </w:r>
          </w:p>
        </w:tc>
        <w:tc>
          <w:tcPr>
            <w:tcW w:w="1384" w:type="dxa"/>
            <w:vAlign w:val="center"/>
          </w:tcPr>
          <w:p w14:paraId="3ADC3EB2">
            <w:pPr>
              <w:jc w:val="right"/>
            </w:pPr>
            <w:r>
              <w:rPr>
                <w:rFonts w:hint="eastAsia"/>
              </w:rPr>
              <w:t>-</w:t>
            </w:r>
          </w:p>
        </w:tc>
        <w:tc>
          <w:tcPr>
            <w:tcW w:w="1384" w:type="dxa"/>
            <w:vAlign w:val="center"/>
          </w:tcPr>
          <w:p w14:paraId="1DA14DEF">
            <w:pPr>
              <w:jc w:val="right"/>
            </w:pPr>
            <w:r>
              <w:rPr>
                <w:rFonts w:hint="eastAsia"/>
              </w:rPr>
              <w:t>-</w:t>
            </w:r>
          </w:p>
        </w:tc>
        <w:tc>
          <w:tcPr>
            <w:tcW w:w="1384" w:type="dxa"/>
            <w:vAlign w:val="center"/>
          </w:tcPr>
          <w:p w14:paraId="4D618E37">
            <w:pPr>
              <w:jc w:val="right"/>
            </w:pPr>
            <w:r>
              <w:rPr>
                <w:rFonts w:hint="eastAsia"/>
              </w:rPr>
              <w:t>-</w:t>
            </w:r>
          </w:p>
        </w:tc>
        <w:tc>
          <w:tcPr>
            <w:tcW w:w="1384" w:type="dxa"/>
            <w:vAlign w:val="center"/>
          </w:tcPr>
          <w:p w14:paraId="0C336F9A">
            <w:pPr>
              <w:jc w:val="right"/>
            </w:pPr>
            <w:r>
              <w:rPr>
                <w:rFonts w:hint="eastAsia"/>
              </w:rPr>
              <w:t>-</w:t>
            </w:r>
          </w:p>
        </w:tc>
      </w:tr>
      <w:tr w14:paraId="25BC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64AB0">
            <w:r>
              <w:rPr>
                <w:rFonts w:hint="eastAsia"/>
              </w:rPr>
              <w:t>衍生金融负债</w:t>
            </w:r>
          </w:p>
        </w:tc>
        <w:tc>
          <w:tcPr>
            <w:tcW w:w="1384" w:type="dxa"/>
            <w:vAlign w:val="center"/>
          </w:tcPr>
          <w:p w14:paraId="3257F40D">
            <w:pPr>
              <w:jc w:val="right"/>
            </w:pPr>
            <w:r>
              <w:rPr>
                <w:rFonts w:hint="eastAsia"/>
              </w:rPr>
              <w:t>-</w:t>
            </w:r>
          </w:p>
        </w:tc>
        <w:tc>
          <w:tcPr>
            <w:tcW w:w="1384" w:type="dxa"/>
            <w:vAlign w:val="center"/>
          </w:tcPr>
          <w:p w14:paraId="1A923820">
            <w:pPr>
              <w:jc w:val="right"/>
            </w:pPr>
            <w:r>
              <w:rPr>
                <w:rFonts w:hint="eastAsia"/>
              </w:rPr>
              <w:t>-</w:t>
            </w:r>
          </w:p>
        </w:tc>
        <w:tc>
          <w:tcPr>
            <w:tcW w:w="1384" w:type="dxa"/>
            <w:vAlign w:val="center"/>
          </w:tcPr>
          <w:p w14:paraId="2A533007">
            <w:pPr>
              <w:jc w:val="right"/>
            </w:pPr>
            <w:r>
              <w:rPr>
                <w:rFonts w:hint="eastAsia"/>
              </w:rPr>
              <w:t>-</w:t>
            </w:r>
          </w:p>
        </w:tc>
        <w:tc>
          <w:tcPr>
            <w:tcW w:w="1384" w:type="dxa"/>
            <w:vAlign w:val="center"/>
          </w:tcPr>
          <w:p w14:paraId="5869244B">
            <w:pPr>
              <w:jc w:val="right"/>
            </w:pPr>
            <w:r>
              <w:rPr>
                <w:rFonts w:hint="eastAsia"/>
              </w:rPr>
              <w:t>-</w:t>
            </w:r>
          </w:p>
        </w:tc>
        <w:tc>
          <w:tcPr>
            <w:tcW w:w="1384" w:type="dxa"/>
            <w:vAlign w:val="center"/>
          </w:tcPr>
          <w:p w14:paraId="1FD86797">
            <w:pPr>
              <w:jc w:val="right"/>
            </w:pPr>
            <w:r>
              <w:rPr>
                <w:rFonts w:hint="eastAsia"/>
              </w:rPr>
              <w:t>-</w:t>
            </w:r>
          </w:p>
        </w:tc>
      </w:tr>
      <w:tr w14:paraId="6102C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2CD1FF">
            <w:r>
              <w:rPr>
                <w:rFonts w:hint="eastAsia"/>
              </w:rPr>
              <w:t>卖出回购金融资产款</w:t>
            </w:r>
          </w:p>
        </w:tc>
        <w:tc>
          <w:tcPr>
            <w:tcW w:w="1384" w:type="dxa"/>
            <w:vAlign w:val="center"/>
          </w:tcPr>
          <w:p w14:paraId="080B83E0">
            <w:pPr>
              <w:jc w:val="right"/>
            </w:pPr>
            <w:r>
              <w:rPr>
                <w:rFonts w:hint="eastAsia"/>
              </w:rPr>
              <w:t>500,365.95</w:t>
            </w:r>
          </w:p>
        </w:tc>
        <w:tc>
          <w:tcPr>
            <w:tcW w:w="1384" w:type="dxa"/>
            <w:vAlign w:val="center"/>
          </w:tcPr>
          <w:p w14:paraId="5901DAF6">
            <w:pPr>
              <w:jc w:val="right"/>
            </w:pPr>
            <w:r>
              <w:rPr>
                <w:rFonts w:hint="eastAsia"/>
              </w:rPr>
              <w:t>-</w:t>
            </w:r>
          </w:p>
        </w:tc>
        <w:tc>
          <w:tcPr>
            <w:tcW w:w="1384" w:type="dxa"/>
            <w:vAlign w:val="center"/>
          </w:tcPr>
          <w:p w14:paraId="687F1681">
            <w:pPr>
              <w:jc w:val="right"/>
            </w:pPr>
            <w:r>
              <w:rPr>
                <w:rFonts w:hint="eastAsia"/>
              </w:rPr>
              <w:t>-</w:t>
            </w:r>
          </w:p>
        </w:tc>
        <w:tc>
          <w:tcPr>
            <w:tcW w:w="1384" w:type="dxa"/>
            <w:vAlign w:val="center"/>
          </w:tcPr>
          <w:p w14:paraId="5BF93896">
            <w:pPr>
              <w:jc w:val="right"/>
            </w:pPr>
            <w:r>
              <w:rPr>
                <w:rFonts w:hint="eastAsia"/>
              </w:rPr>
              <w:t>-</w:t>
            </w:r>
          </w:p>
        </w:tc>
        <w:tc>
          <w:tcPr>
            <w:tcW w:w="1384" w:type="dxa"/>
            <w:vAlign w:val="center"/>
          </w:tcPr>
          <w:p w14:paraId="38BCC4EC">
            <w:pPr>
              <w:jc w:val="right"/>
            </w:pPr>
            <w:r>
              <w:rPr>
                <w:rFonts w:hint="eastAsia"/>
              </w:rPr>
              <w:t>500,365.95</w:t>
            </w:r>
          </w:p>
        </w:tc>
      </w:tr>
      <w:tr w14:paraId="5A3CD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BA983">
            <w:r>
              <w:rPr>
                <w:rFonts w:hint="eastAsia"/>
              </w:rPr>
              <w:t>应付清算款</w:t>
            </w:r>
          </w:p>
        </w:tc>
        <w:tc>
          <w:tcPr>
            <w:tcW w:w="1384" w:type="dxa"/>
            <w:vAlign w:val="center"/>
          </w:tcPr>
          <w:p w14:paraId="4CEB43A6">
            <w:pPr>
              <w:jc w:val="right"/>
            </w:pPr>
            <w:r>
              <w:rPr>
                <w:rFonts w:hint="eastAsia"/>
              </w:rPr>
              <w:t>-</w:t>
            </w:r>
          </w:p>
        </w:tc>
        <w:tc>
          <w:tcPr>
            <w:tcW w:w="1384" w:type="dxa"/>
            <w:vAlign w:val="center"/>
          </w:tcPr>
          <w:p w14:paraId="47FA2CC7">
            <w:pPr>
              <w:jc w:val="right"/>
            </w:pPr>
            <w:r>
              <w:rPr>
                <w:rFonts w:hint="eastAsia"/>
              </w:rPr>
              <w:t>-</w:t>
            </w:r>
          </w:p>
        </w:tc>
        <w:tc>
          <w:tcPr>
            <w:tcW w:w="1384" w:type="dxa"/>
            <w:vAlign w:val="center"/>
          </w:tcPr>
          <w:p w14:paraId="01C7B259">
            <w:pPr>
              <w:jc w:val="right"/>
            </w:pPr>
            <w:r>
              <w:rPr>
                <w:rFonts w:hint="eastAsia"/>
              </w:rPr>
              <w:t>-</w:t>
            </w:r>
          </w:p>
        </w:tc>
        <w:tc>
          <w:tcPr>
            <w:tcW w:w="1384" w:type="dxa"/>
            <w:vAlign w:val="center"/>
          </w:tcPr>
          <w:p w14:paraId="5E1ECFF2">
            <w:pPr>
              <w:jc w:val="right"/>
            </w:pPr>
            <w:r>
              <w:rPr>
                <w:rFonts w:hint="eastAsia"/>
              </w:rPr>
              <w:t>-</w:t>
            </w:r>
          </w:p>
        </w:tc>
        <w:tc>
          <w:tcPr>
            <w:tcW w:w="1384" w:type="dxa"/>
            <w:vAlign w:val="center"/>
          </w:tcPr>
          <w:p w14:paraId="7DA1C705">
            <w:pPr>
              <w:jc w:val="right"/>
            </w:pPr>
            <w:r>
              <w:rPr>
                <w:rFonts w:hint="eastAsia"/>
              </w:rPr>
              <w:t>-</w:t>
            </w:r>
          </w:p>
        </w:tc>
      </w:tr>
      <w:tr w14:paraId="64B0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2474D">
            <w:r>
              <w:rPr>
                <w:rFonts w:hint="eastAsia"/>
              </w:rPr>
              <w:t>应付赎回款</w:t>
            </w:r>
          </w:p>
        </w:tc>
        <w:tc>
          <w:tcPr>
            <w:tcW w:w="1384" w:type="dxa"/>
            <w:vAlign w:val="center"/>
          </w:tcPr>
          <w:p w14:paraId="5C2DB29D">
            <w:pPr>
              <w:jc w:val="right"/>
            </w:pPr>
            <w:r>
              <w:rPr>
                <w:rFonts w:hint="eastAsia"/>
              </w:rPr>
              <w:t>-</w:t>
            </w:r>
          </w:p>
        </w:tc>
        <w:tc>
          <w:tcPr>
            <w:tcW w:w="1384" w:type="dxa"/>
            <w:vAlign w:val="center"/>
          </w:tcPr>
          <w:p w14:paraId="0B55BC9E">
            <w:pPr>
              <w:jc w:val="right"/>
            </w:pPr>
            <w:r>
              <w:rPr>
                <w:rFonts w:hint="eastAsia"/>
              </w:rPr>
              <w:t>-</w:t>
            </w:r>
          </w:p>
        </w:tc>
        <w:tc>
          <w:tcPr>
            <w:tcW w:w="1384" w:type="dxa"/>
            <w:vAlign w:val="center"/>
          </w:tcPr>
          <w:p w14:paraId="65AE0D26">
            <w:pPr>
              <w:jc w:val="right"/>
            </w:pPr>
            <w:r>
              <w:rPr>
                <w:rFonts w:hint="eastAsia"/>
              </w:rPr>
              <w:t>-</w:t>
            </w:r>
          </w:p>
        </w:tc>
        <w:tc>
          <w:tcPr>
            <w:tcW w:w="1384" w:type="dxa"/>
            <w:vAlign w:val="center"/>
          </w:tcPr>
          <w:p w14:paraId="7F0E2415">
            <w:pPr>
              <w:jc w:val="right"/>
            </w:pPr>
            <w:r>
              <w:rPr>
                <w:rFonts w:hint="eastAsia"/>
              </w:rPr>
              <w:t>4,731,501.53</w:t>
            </w:r>
          </w:p>
        </w:tc>
        <w:tc>
          <w:tcPr>
            <w:tcW w:w="1384" w:type="dxa"/>
            <w:vAlign w:val="center"/>
          </w:tcPr>
          <w:p w14:paraId="6E30376E">
            <w:pPr>
              <w:jc w:val="right"/>
            </w:pPr>
            <w:r>
              <w:rPr>
                <w:rFonts w:hint="eastAsia"/>
              </w:rPr>
              <w:t>4,731,501.53</w:t>
            </w:r>
          </w:p>
        </w:tc>
      </w:tr>
      <w:tr w14:paraId="7F28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DDAEF0">
            <w:r>
              <w:rPr>
                <w:rFonts w:hint="eastAsia"/>
              </w:rPr>
              <w:t>应付管理人报酬</w:t>
            </w:r>
          </w:p>
        </w:tc>
        <w:tc>
          <w:tcPr>
            <w:tcW w:w="1384" w:type="dxa"/>
            <w:vAlign w:val="center"/>
          </w:tcPr>
          <w:p w14:paraId="1D14FC43">
            <w:pPr>
              <w:jc w:val="right"/>
            </w:pPr>
            <w:r>
              <w:rPr>
                <w:rFonts w:hint="eastAsia"/>
              </w:rPr>
              <w:t>-</w:t>
            </w:r>
          </w:p>
        </w:tc>
        <w:tc>
          <w:tcPr>
            <w:tcW w:w="1384" w:type="dxa"/>
            <w:vAlign w:val="center"/>
          </w:tcPr>
          <w:p w14:paraId="50263CFB">
            <w:pPr>
              <w:jc w:val="right"/>
            </w:pPr>
            <w:r>
              <w:rPr>
                <w:rFonts w:hint="eastAsia"/>
              </w:rPr>
              <w:t>-</w:t>
            </w:r>
          </w:p>
        </w:tc>
        <w:tc>
          <w:tcPr>
            <w:tcW w:w="1384" w:type="dxa"/>
            <w:vAlign w:val="center"/>
          </w:tcPr>
          <w:p w14:paraId="5F7F6DD1">
            <w:pPr>
              <w:jc w:val="right"/>
            </w:pPr>
            <w:r>
              <w:rPr>
                <w:rFonts w:hint="eastAsia"/>
              </w:rPr>
              <w:t>-</w:t>
            </w:r>
          </w:p>
        </w:tc>
        <w:tc>
          <w:tcPr>
            <w:tcW w:w="1384" w:type="dxa"/>
            <w:vAlign w:val="center"/>
          </w:tcPr>
          <w:p w14:paraId="290CE046">
            <w:pPr>
              <w:jc w:val="right"/>
            </w:pPr>
            <w:r>
              <w:rPr>
                <w:rFonts w:hint="eastAsia"/>
              </w:rPr>
              <w:t>357.74</w:t>
            </w:r>
          </w:p>
        </w:tc>
        <w:tc>
          <w:tcPr>
            <w:tcW w:w="1384" w:type="dxa"/>
            <w:vAlign w:val="center"/>
          </w:tcPr>
          <w:p w14:paraId="75F83745">
            <w:pPr>
              <w:jc w:val="right"/>
            </w:pPr>
            <w:r>
              <w:rPr>
                <w:rFonts w:hint="eastAsia"/>
              </w:rPr>
              <w:t>357.74</w:t>
            </w:r>
          </w:p>
        </w:tc>
      </w:tr>
      <w:tr w14:paraId="55A83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5D5A8E">
            <w:r>
              <w:rPr>
                <w:rFonts w:hint="eastAsia"/>
              </w:rPr>
              <w:t>应付托管费</w:t>
            </w:r>
          </w:p>
        </w:tc>
        <w:tc>
          <w:tcPr>
            <w:tcW w:w="1384" w:type="dxa"/>
            <w:vAlign w:val="center"/>
          </w:tcPr>
          <w:p w14:paraId="19185E4D">
            <w:pPr>
              <w:jc w:val="right"/>
            </w:pPr>
            <w:r>
              <w:rPr>
                <w:rFonts w:hint="eastAsia"/>
              </w:rPr>
              <w:t>-</w:t>
            </w:r>
          </w:p>
        </w:tc>
        <w:tc>
          <w:tcPr>
            <w:tcW w:w="1384" w:type="dxa"/>
            <w:vAlign w:val="center"/>
          </w:tcPr>
          <w:p w14:paraId="718A9497">
            <w:pPr>
              <w:jc w:val="right"/>
            </w:pPr>
            <w:r>
              <w:rPr>
                <w:rFonts w:hint="eastAsia"/>
              </w:rPr>
              <w:t>-</w:t>
            </w:r>
          </w:p>
        </w:tc>
        <w:tc>
          <w:tcPr>
            <w:tcW w:w="1384" w:type="dxa"/>
            <w:vAlign w:val="center"/>
          </w:tcPr>
          <w:p w14:paraId="5F57F2B1">
            <w:pPr>
              <w:jc w:val="right"/>
            </w:pPr>
            <w:r>
              <w:rPr>
                <w:rFonts w:hint="eastAsia"/>
              </w:rPr>
              <w:t>-</w:t>
            </w:r>
          </w:p>
        </w:tc>
        <w:tc>
          <w:tcPr>
            <w:tcW w:w="1384" w:type="dxa"/>
            <w:vAlign w:val="center"/>
          </w:tcPr>
          <w:p w14:paraId="3D41F86F">
            <w:pPr>
              <w:jc w:val="right"/>
            </w:pPr>
            <w:r>
              <w:rPr>
                <w:rFonts w:hint="eastAsia"/>
              </w:rPr>
              <w:t>89.47</w:t>
            </w:r>
          </w:p>
        </w:tc>
        <w:tc>
          <w:tcPr>
            <w:tcW w:w="1384" w:type="dxa"/>
            <w:vAlign w:val="center"/>
          </w:tcPr>
          <w:p w14:paraId="492F5476">
            <w:pPr>
              <w:jc w:val="right"/>
            </w:pPr>
            <w:r>
              <w:rPr>
                <w:rFonts w:hint="eastAsia"/>
              </w:rPr>
              <w:t>89.47</w:t>
            </w:r>
          </w:p>
        </w:tc>
      </w:tr>
      <w:tr w14:paraId="7AEA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46FE8">
            <w:r>
              <w:rPr>
                <w:rFonts w:hint="eastAsia"/>
              </w:rPr>
              <w:t>应付销售服务费</w:t>
            </w:r>
          </w:p>
        </w:tc>
        <w:tc>
          <w:tcPr>
            <w:tcW w:w="1384" w:type="dxa"/>
            <w:vAlign w:val="center"/>
          </w:tcPr>
          <w:p w14:paraId="2C21C6AF">
            <w:pPr>
              <w:jc w:val="right"/>
            </w:pPr>
            <w:r>
              <w:rPr>
                <w:rFonts w:hint="eastAsia"/>
              </w:rPr>
              <w:t>-</w:t>
            </w:r>
          </w:p>
        </w:tc>
        <w:tc>
          <w:tcPr>
            <w:tcW w:w="1384" w:type="dxa"/>
            <w:vAlign w:val="center"/>
          </w:tcPr>
          <w:p w14:paraId="195FCE91">
            <w:pPr>
              <w:jc w:val="right"/>
            </w:pPr>
            <w:r>
              <w:rPr>
                <w:rFonts w:hint="eastAsia"/>
              </w:rPr>
              <w:t>-</w:t>
            </w:r>
          </w:p>
        </w:tc>
        <w:tc>
          <w:tcPr>
            <w:tcW w:w="1384" w:type="dxa"/>
            <w:vAlign w:val="center"/>
          </w:tcPr>
          <w:p w14:paraId="10162A8A">
            <w:pPr>
              <w:jc w:val="right"/>
            </w:pPr>
            <w:r>
              <w:rPr>
                <w:rFonts w:hint="eastAsia"/>
              </w:rPr>
              <w:t>-</w:t>
            </w:r>
          </w:p>
        </w:tc>
        <w:tc>
          <w:tcPr>
            <w:tcW w:w="1384" w:type="dxa"/>
            <w:vAlign w:val="center"/>
          </w:tcPr>
          <w:p w14:paraId="686D076A">
            <w:pPr>
              <w:jc w:val="right"/>
            </w:pPr>
            <w:r>
              <w:rPr>
                <w:rFonts w:hint="eastAsia"/>
              </w:rPr>
              <w:t>3,301.47</w:t>
            </w:r>
          </w:p>
        </w:tc>
        <w:tc>
          <w:tcPr>
            <w:tcW w:w="1384" w:type="dxa"/>
            <w:vAlign w:val="center"/>
          </w:tcPr>
          <w:p w14:paraId="27484738">
            <w:pPr>
              <w:jc w:val="right"/>
            </w:pPr>
            <w:r>
              <w:rPr>
                <w:rFonts w:hint="eastAsia"/>
              </w:rPr>
              <w:t>3,301.47</w:t>
            </w:r>
          </w:p>
        </w:tc>
      </w:tr>
      <w:tr w14:paraId="04C87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1108B">
            <w:r>
              <w:rPr>
                <w:rFonts w:hint="eastAsia"/>
              </w:rPr>
              <w:t>应付投资顾问费</w:t>
            </w:r>
          </w:p>
        </w:tc>
        <w:tc>
          <w:tcPr>
            <w:tcW w:w="1384" w:type="dxa"/>
            <w:vAlign w:val="center"/>
          </w:tcPr>
          <w:p w14:paraId="0F2D3394">
            <w:pPr>
              <w:jc w:val="right"/>
            </w:pPr>
            <w:r>
              <w:rPr>
                <w:rFonts w:hint="eastAsia"/>
              </w:rPr>
              <w:t>-</w:t>
            </w:r>
          </w:p>
        </w:tc>
        <w:tc>
          <w:tcPr>
            <w:tcW w:w="1384" w:type="dxa"/>
            <w:vAlign w:val="center"/>
          </w:tcPr>
          <w:p w14:paraId="7FB5DBBE">
            <w:pPr>
              <w:jc w:val="right"/>
            </w:pPr>
            <w:r>
              <w:rPr>
                <w:rFonts w:hint="eastAsia"/>
              </w:rPr>
              <w:t>-</w:t>
            </w:r>
          </w:p>
        </w:tc>
        <w:tc>
          <w:tcPr>
            <w:tcW w:w="1384" w:type="dxa"/>
            <w:vAlign w:val="center"/>
          </w:tcPr>
          <w:p w14:paraId="44830A95">
            <w:pPr>
              <w:jc w:val="right"/>
            </w:pPr>
            <w:r>
              <w:rPr>
                <w:rFonts w:hint="eastAsia"/>
              </w:rPr>
              <w:t>-</w:t>
            </w:r>
          </w:p>
        </w:tc>
        <w:tc>
          <w:tcPr>
            <w:tcW w:w="1384" w:type="dxa"/>
            <w:vAlign w:val="center"/>
          </w:tcPr>
          <w:p w14:paraId="759A510D">
            <w:pPr>
              <w:jc w:val="right"/>
            </w:pPr>
            <w:r>
              <w:rPr>
                <w:rFonts w:hint="eastAsia"/>
              </w:rPr>
              <w:t>-</w:t>
            </w:r>
          </w:p>
        </w:tc>
        <w:tc>
          <w:tcPr>
            <w:tcW w:w="1384" w:type="dxa"/>
            <w:vAlign w:val="center"/>
          </w:tcPr>
          <w:p w14:paraId="22CE7E2C">
            <w:pPr>
              <w:jc w:val="right"/>
            </w:pPr>
            <w:r>
              <w:rPr>
                <w:rFonts w:hint="eastAsia"/>
              </w:rPr>
              <w:t>-</w:t>
            </w:r>
          </w:p>
        </w:tc>
      </w:tr>
      <w:tr w14:paraId="24BB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1A5AEF">
            <w:r>
              <w:rPr>
                <w:rFonts w:hint="eastAsia"/>
              </w:rPr>
              <w:t>应交税费</w:t>
            </w:r>
          </w:p>
        </w:tc>
        <w:tc>
          <w:tcPr>
            <w:tcW w:w="1384" w:type="dxa"/>
            <w:vAlign w:val="center"/>
          </w:tcPr>
          <w:p w14:paraId="17A3C4E9">
            <w:pPr>
              <w:jc w:val="right"/>
            </w:pPr>
            <w:r>
              <w:rPr>
                <w:rFonts w:hint="eastAsia"/>
              </w:rPr>
              <w:t>-</w:t>
            </w:r>
          </w:p>
        </w:tc>
        <w:tc>
          <w:tcPr>
            <w:tcW w:w="1384" w:type="dxa"/>
            <w:vAlign w:val="center"/>
          </w:tcPr>
          <w:p w14:paraId="2A091B84">
            <w:pPr>
              <w:jc w:val="right"/>
            </w:pPr>
            <w:r>
              <w:rPr>
                <w:rFonts w:hint="eastAsia"/>
              </w:rPr>
              <w:t>-</w:t>
            </w:r>
          </w:p>
        </w:tc>
        <w:tc>
          <w:tcPr>
            <w:tcW w:w="1384" w:type="dxa"/>
            <w:vAlign w:val="center"/>
          </w:tcPr>
          <w:p w14:paraId="16FF0DC2">
            <w:pPr>
              <w:jc w:val="right"/>
            </w:pPr>
            <w:r>
              <w:rPr>
                <w:rFonts w:hint="eastAsia"/>
              </w:rPr>
              <w:t>-</w:t>
            </w:r>
          </w:p>
        </w:tc>
        <w:tc>
          <w:tcPr>
            <w:tcW w:w="1384" w:type="dxa"/>
            <w:vAlign w:val="center"/>
          </w:tcPr>
          <w:p w14:paraId="75F344CC">
            <w:pPr>
              <w:jc w:val="right"/>
            </w:pPr>
            <w:r>
              <w:rPr>
                <w:rFonts w:hint="eastAsia"/>
              </w:rPr>
              <w:t>3,690.50</w:t>
            </w:r>
          </w:p>
        </w:tc>
        <w:tc>
          <w:tcPr>
            <w:tcW w:w="1384" w:type="dxa"/>
            <w:vAlign w:val="center"/>
          </w:tcPr>
          <w:p w14:paraId="49610861">
            <w:pPr>
              <w:jc w:val="right"/>
            </w:pPr>
            <w:r>
              <w:rPr>
                <w:rFonts w:hint="eastAsia"/>
              </w:rPr>
              <w:t>3,690.50</w:t>
            </w:r>
          </w:p>
        </w:tc>
      </w:tr>
      <w:tr w14:paraId="3826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690A63">
            <w:r>
              <w:rPr>
                <w:rFonts w:hint="eastAsia"/>
              </w:rPr>
              <w:t>应付利润</w:t>
            </w:r>
          </w:p>
        </w:tc>
        <w:tc>
          <w:tcPr>
            <w:tcW w:w="1384" w:type="dxa"/>
            <w:vAlign w:val="center"/>
          </w:tcPr>
          <w:p w14:paraId="582C1987">
            <w:pPr>
              <w:jc w:val="right"/>
            </w:pPr>
            <w:r>
              <w:rPr>
                <w:rFonts w:hint="eastAsia"/>
              </w:rPr>
              <w:t>-</w:t>
            </w:r>
          </w:p>
        </w:tc>
        <w:tc>
          <w:tcPr>
            <w:tcW w:w="1384" w:type="dxa"/>
            <w:vAlign w:val="center"/>
          </w:tcPr>
          <w:p w14:paraId="3605550B">
            <w:pPr>
              <w:jc w:val="right"/>
            </w:pPr>
            <w:r>
              <w:rPr>
                <w:rFonts w:hint="eastAsia"/>
              </w:rPr>
              <w:t>-</w:t>
            </w:r>
          </w:p>
        </w:tc>
        <w:tc>
          <w:tcPr>
            <w:tcW w:w="1384" w:type="dxa"/>
            <w:vAlign w:val="center"/>
          </w:tcPr>
          <w:p w14:paraId="68B39BD1">
            <w:pPr>
              <w:jc w:val="right"/>
            </w:pPr>
            <w:r>
              <w:rPr>
                <w:rFonts w:hint="eastAsia"/>
              </w:rPr>
              <w:t>-</w:t>
            </w:r>
          </w:p>
        </w:tc>
        <w:tc>
          <w:tcPr>
            <w:tcW w:w="1384" w:type="dxa"/>
            <w:vAlign w:val="center"/>
          </w:tcPr>
          <w:p w14:paraId="311F4587">
            <w:pPr>
              <w:jc w:val="right"/>
            </w:pPr>
            <w:r>
              <w:rPr>
                <w:rFonts w:hint="eastAsia"/>
              </w:rPr>
              <w:t>-</w:t>
            </w:r>
          </w:p>
        </w:tc>
        <w:tc>
          <w:tcPr>
            <w:tcW w:w="1384" w:type="dxa"/>
            <w:vAlign w:val="center"/>
          </w:tcPr>
          <w:p w14:paraId="3C8042F3">
            <w:pPr>
              <w:jc w:val="right"/>
            </w:pPr>
            <w:r>
              <w:rPr>
                <w:rFonts w:hint="eastAsia"/>
              </w:rPr>
              <w:t>-</w:t>
            </w:r>
          </w:p>
        </w:tc>
      </w:tr>
      <w:tr w14:paraId="5AF4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FA3FE9">
            <w:r>
              <w:rPr>
                <w:rFonts w:hint="eastAsia"/>
              </w:rPr>
              <w:t>递延所得税负债</w:t>
            </w:r>
          </w:p>
        </w:tc>
        <w:tc>
          <w:tcPr>
            <w:tcW w:w="1384" w:type="dxa"/>
            <w:vAlign w:val="center"/>
          </w:tcPr>
          <w:p w14:paraId="67419419">
            <w:pPr>
              <w:jc w:val="right"/>
            </w:pPr>
            <w:r>
              <w:rPr>
                <w:rFonts w:hint="eastAsia"/>
              </w:rPr>
              <w:t>-</w:t>
            </w:r>
          </w:p>
        </w:tc>
        <w:tc>
          <w:tcPr>
            <w:tcW w:w="1384" w:type="dxa"/>
            <w:vAlign w:val="center"/>
          </w:tcPr>
          <w:p w14:paraId="28B7A4A9">
            <w:pPr>
              <w:jc w:val="right"/>
            </w:pPr>
            <w:r>
              <w:rPr>
                <w:rFonts w:hint="eastAsia"/>
              </w:rPr>
              <w:t>-</w:t>
            </w:r>
          </w:p>
        </w:tc>
        <w:tc>
          <w:tcPr>
            <w:tcW w:w="1384" w:type="dxa"/>
            <w:vAlign w:val="center"/>
          </w:tcPr>
          <w:p w14:paraId="349270F3">
            <w:pPr>
              <w:jc w:val="right"/>
            </w:pPr>
            <w:r>
              <w:rPr>
                <w:rFonts w:hint="eastAsia"/>
              </w:rPr>
              <w:t>-</w:t>
            </w:r>
          </w:p>
        </w:tc>
        <w:tc>
          <w:tcPr>
            <w:tcW w:w="1384" w:type="dxa"/>
            <w:vAlign w:val="center"/>
          </w:tcPr>
          <w:p w14:paraId="7EA5A6F9">
            <w:pPr>
              <w:jc w:val="right"/>
            </w:pPr>
            <w:r>
              <w:rPr>
                <w:rFonts w:hint="eastAsia"/>
              </w:rPr>
              <w:t>-</w:t>
            </w:r>
          </w:p>
        </w:tc>
        <w:tc>
          <w:tcPr>
            <w:tcW w:w="1384" w:type="dxa"/>
            <w:vAlign w:val="center"/>
          </w:tcPr>
          <w:p w14:paraId="342E2C1E">
            <w:pPr>
              <w:jc w:val="right"/>
            </w:pPr>
            <w:r>
              <w:rPr>
                <w:rFonts w:hint="eastAsia"/>
              </w:rPr>
              <w:t>-</w:t>
            </w:r>
          </w:p>
        </w:tc>
      </w:tr>
      <w:tr w14:paraId="33A5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CC9408">
            <w:r>
              <w:rPr>
                <w:rFonts w:hint="eastAsia"/>
              </w:rPr>
              <w:t>其他负债</w:t>
            </w:r>
          </w:p>
        </w:tc>
        <w:tc>
          <w:tcPr>
            <w:tcW w:w="1384" w:type="dxa"/>
            <w:vAlign w:val="center"/>
          </w:tcPr>
          <w:p w14:paraId="4A5EF007">
            <w:pPr>
              <w:jc w:val="right"/>
            </w:pPr>
            <w:r>
              <w:rPr>
                <w:rFonts w:hint="eastAsia"/>
              </w:rPr>
              <w:t>-</w:t>
            </w:r>
          </w:p>
        </w:tc>
        <w:tc>
          <w:tcPr>
            <w:tcW w:w="1384" w:type="dxa"/>
            <w:vAlign w:val="center"/>
          </w:tcPr>
          <w:p w14:paraId="2190F423">
            <w:pPr>
              <w:jc w:val="right"/>
            </w:pPr>
            <w:r>
              <w:rPr>
                <w:rFonts w:hint="eastAsia"/>
              </w:rPr>
              <w:t>-</w:t>
            </w:r>
          </w:p>
        </w:tc>
        <w:tc>
          <w:tcPr>
            <w:tcW w:w="1384" w:type="dxa"/>
            <w:vAlign w:val="center"/>
          </w:tcPr>
          <w:p w14:paraId="6787E9DD">
            <w:pPr>
              <w:jc w:val="right"/>
            </w:pPr>
            <w:r>
              <w:rPr>
                <w:rFonts w:hint="eastAsia"/>
              </w:rPr>
              <w:t>-</w:t>
            </w:r>
          </w:p>
        </w:tc>
        <w:tc>
          <w:tcPr>
            <w:tcW w:w="1384" w:type="dxa"/>
            <w:vAlign w:val="center"/>
          </w:tcPr>
          <w:p w14:paraId="0C484D50">
            <w:pPr>
              <w:jc w:val="right"/>
            </w:pPr>
            <w:r>
              <w:rPr>
                <w:rFonts w:hint="eastAsia"/>
              </w:rPr>
              <w:t>4,000.00</w:t>
            </w:r>
          </w:p>
        </w:tc>
        <w:tc>
          <w:tcPr>
            <w:tcW w:w="1384" w:type="dxa"/>
            <w:vAlign w:val="center"/>
          </w:tcPr>
          <w:p w14:paraId="63B05313">
            <w:pPr>
              <w:jc w:val="right"/>
            </w:pPr>
            <w:r>
              <w:rPr>
                <w:rFonts w:hint="eastAsia"/>
              </w:rPr>
              <w:t>4,000.00</w:t>
            </w:r>
          </w:p>
        </w:tc>
      </w:tr>
      <w:tr w14:paraId="1342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D6101">
            <w:r>
              <w:rPr>
                <w:rFonts w:hint="eastAsia"/>
              </w:rPr>
              <w:t>负债总计</w:t>
            </w:r>
          </w:p>
        </w:tc>
        <w:tc>
          <w:tcPr>
            <w:tcW w:w="1384" w:type="dxa"/>
            <w:vAlign w:val="center"/>
          </w:tcPr>
          <w:p w14:paraId="1DF63FB7">
            <w:pPr>
              <w:jc w:val="right"/>
            </w:pPr>
            <w:r>
              <w:rPr>
                <w:rFonts w:hint="eastAsia"/>
              </w:rPr>
              <w:t>500,365.95</w:t>
            </w:r>
          </w:p>
        </w:tc>
        <w:tc>
          <w:tcPr>
            <w:tcW w:w="1384" w:type="dxa"/>
            <w:vAlign w:val="center"/>
          </w:tcPr>
          <w:p w14:paraId="68DC933F">
            <w:pPr>
              <w:jc w:val="right"/>
            </w:pPr>
            <w:r>
              <w:rPr>
                <w:rFonts w:hint="eastAsia"/>
              </w:rPr>
              <w:t>-</w:t>
            </w:r>
          </w:p>
        </w:tc>
        <w:tc>
          <w:tcPr>
            <w:tcW w:w="1384" w:type="dxa"/>
            <w:vAlign w:val="center"/>
          </w:tcPr>
          <w:p w14:paraId="55F8315C">
            <w:pPr>
              <w:jc w:val="right"/>
            </w:pPr>
            <w:r>
              <w:rPr>
                <w:rFonts w:hint="eastAsia"/>
              </w:rPr>
              <w:t>-</w:t>
            </w:r>
          </w:p>
        </w:tc>
        <w:tc>
          <w:tcPr>
            <w:tcW w:w="1384" w:type="dxa"/>
            <w:vAlign w:val="center"/>
          </w:tcPr>
          <w:p w14:paraId="132196DB">
            <w:pPr>
              <w:jc w:val="right"/>
            </w:pPr>
            <w:r>
              <w:rPr>
                <w:rFonts w:hint="eastAsia"/>
              </w:rPr>
              <w:t>4,742,940.71</w:t>
            </w:r>
          </w:p>
        </w:tc>
        <w:tc>
          <w:tcPr>
            <w:tcW w:w="1384" w:type="dxa"/>
            <w:vAlign w:val="center"/>
          </w:tcPr>
          <w:p w14:paraId="1022EFD0">
            <w:pPr>
              <w:jc w:val="right"/>
            </w:pPr>
            <w:r>
              <w:rPr>
                <w:rFonts w:hint="eastAsia"/>
              </w:rPr>
              <w:t>5,243,306.66</w:t>
            </w:r>
          </w:p>
        </w:tc>
      </w:tr>
      <w:tr w14:paraId="1CB3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CFF35">
            <w:r>
              <w:rPr>
                <w:rFonts w:hint="eastAsia"/>
              </w:rPr>
              <w:t>利率敏感度缺口</w:t>
            </w:r>
          </w:p>
        </w:tc>
        <w:tc>
          <w:tcPr>
            <w:tcW w:w="1384" w:type="dxa"/>
            <w:vAlign w:val="center"/>
          </w:tcPr>
          <w:p w14:paraId="6EDE4FDE">
            <w:pPr>
              <w:jc w:val="right"/>
            </w:pPr>
            <w:r>
              <w:rPr>
                <w:rFonts w:hint="eastAsia"/>
              </w:rPr>
              <w:t>6,206,445.92</w:t>
            </w:r>
          </w:p>
        </w:tc>
        <w:tc>
          <w:tcPr>
            <w:tcW w:w="1384" w:type="dxa"/>
            <w:vAlign w:val="center"/>
          </w:tcPr>
          <w:p w14:paraId="5FFE743C">
            <w:pPr>
              <w:jc w:val="right"/>
            </w:pPr>
            <w:r>
              <w:rPr>
                <w:rFonts w:hint="eastAsia"/>
              </w:rPr>
              <w:t>-</w:t>
            </w:r>
          </w:p>
        </w:tc>
        <w:tc>
          <w:tcPr>
            <w:tcW w:w="1384" w:type="dxa"/>
            <w:vAlign w:val="center"/>
          </w:tcPr>
          <w:p w14:paraId="4BEC1F50">
            <w:pPr>
              <w:jc w:val="right"/>
            </w:pPr>
            <w:r>
              <w:rPr>
                <w:rFonts w:hint="eastAsia"/>
              </w:rPr>
              <w:t>-</w:t>
            </w:r>
          </w:p>
        </w:tc>
        <w:tc>
          <w:tcPr>
            <w:tcW w:w="1384" w:type="dxa"/>
            <w:vAlign w:val="center"/>
          </w:tcPr>
          <w:p w14:paraId="47CF12E9">
            <w:pPr>
              <w:jc w:val="right"/>
            </w:pPr>
            <w:r>
              <w:rPr>
                <w:rFonts w:hint="eastAsia"/>
              </w:rPr>
              <w:t>33,541,422.20</w:t>
            </w:r>
          </w:p>
        </w:tc>
        <w:tc>
          <w:tcPr>
            <w:tcW w:w="1384" w:type="dxa"/>
            <w:vAlign w:val="center"/>
          </w:tcPr>
          <w:p w14:paraId="05480D33">
            <w:pPr>
              <w:jc w:val="right"/>
            </w:pPr>
            <w:r>
              <w:rPr>
                <w:rFonts w:hint="eastAsia"/>
              </w:rPr>
              <w:t>39,747,868.12</w:t>
            </w:r>
          </w:p>
        </w:tc>
      </w:tr>
    </w:tbl>
    <w:p w14:paraId="26395EC3">
      <w:pPr>
        <w:pStyle w:val="47"/>
        <w:rPr>
          <w:rFonts w:hint="eastAsia"/>
        </w:rPr>
      </w:pPr>
      <w:r>
        <w:rPr>
          <w:rFonts w:hint="eastAsia"/>
        </w:rPr>
        <w:t>注：表中所示为本基金资产及负债的账面价值，并按照合约规定的利率重新定价日或到期日孰早者予以分类。</w:t>
      </w:r>
    </w:p>
    <w:p w14:paraId="3A032A06">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6886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2309097">
            <w:r>
              <w:rPr>
                <w:rFonts w:hint="eastAsia"/>
              </w:rPr>
              <w:t>假设</w:t>
            </w:r>
          </w:p>
        </w:tc>
        <w:tc>
          <w:tcPr>
            <w:tcW w:w="3267" w:type="dxa"/>
            <w:gridSpan w:val="3"/>
            <w:vAlign w:val="center"/>
          </w:tcPr>
          <w:p w14:paraId="4AED622A">
            <w:r>
              <w:rPr>
                <w:rFonts w:hint="eastAsia"/>
              </w:rPr>
              <w:t>除市场利率以外的其他市场变量保持不变</w:t>
            </w:r>
          </w:p>
        </w:tc>
      </w:tr>
      <w:tr w14:paraId="663E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3001A8B">
            <w:r>
              <w:rPr>
                <w:rFonts w:hint="eastAsia"/>
              </w:rPr>
              <w:t>分析</w:t>
            </w:r>
          </w:p>
        </w:tc>
        <w:tc>
          <w:tcPr>
            <w:tcW w:w="3267" w:type="dxa"/>
            <w:vMerge w:val="restart"/>
            <w:vAlign w:val="center"/>
          </w:tcPr>
          <w:p w14:paraId="430E2051">
            <w:r>
              <w:rPr>
                <w:rFonts w:hint="eastAsia"/>
              </w:rPr>
              <w:t>相关风险变量的变动</w:t>
            </w:r>
          </w:p>
        </w:tc>
        <w:tc>
          <w:tcPr>
            <w:tcW w:w="2159" w:type="dxa"/>
            <w:gridSpan w:val="2"/>
            <w:vAlign w:val="center"/>
          </w:tcPr>
          <w:p w14:paraId="22D87151">
            <w:r>
              <w:rPr>
                <w:rFonts w:hint="eastAsia"/>
              </w:rPr>
              <w:t>对资产负债表日基金资产净值的影响金额（单位：人民币元）</w:t>
            </w:r>
          </w:p>
        </w:tc>
      </w:tr>
      <w:tr w14:paraId="70902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CD993C9"/>
        </w:tc>
        <w:tc>
          <w:tcPr>
            <w:tcW w:w="3267" w:type="dxa"/>
            <w:vMerge w:val="continue"/>
            <w:vAlign w:val="center"/>
          </w:tcPr>
          <w:p w14:paraId="73584244"/>
        </w:tc>
        <w:tc>
          <w:tcPr>
            <w:tcW w:w="2159" w:type="dxa"/>
            <w:vAlign w:val="center"/>
          </w:tcPr>
          <w:p w14:paraId="7196D9CA">
            <w:r>
              <w:rPr>
                <w:rFonts w:hint="eastAsia"/>
              </w:rPr>
              <w:t>本期末（ 2025年12月31日 ）</w:t>
            </w:r>
          </w:p>
        </w:tc>
        <w:tc>
          <w:tcPr>
            <w:tcW w:w="2159" w:type="dxa"/>
            <w:vAlign w:val="center"/>
          </w:tcPr>
          <w:p w14:paraId="71380726">
            <w:r>
              <w:rPr>
                <w:rFonts w:hint="eastAsia"/>
              </w:rPr>
              <w:t>上年度末（ 2024年12月31日 ）</w:t>
            </w:r>
          </w:p>
        </w:tc>
      </w:tr>
      <w:tr w14:paraId="673C5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823C436"/>
        </w:tc>
        <w:tc>
          <w:tcPr>
            <w:tcW w:w="3267" w:type="dxa"/>
            <w:vAlign w:val="center"/>
          </w:tcPr>
          <w:p w14:paraId="57105CFD">
            <w:r>
              <w:rPr>
                <w:rFonts w:hint="eastAsia"/>
              </w:rPr>
              <w:t>1.市场利率平行上升25个基点</w:t>
            </w:r>
          </w:p>
        </w:tc>
        <w:tc>
          <w:tcPr>
            <w:tcW w:w="2159" w:type="dxa"/>
            <w:vAlign w:val="center"/>
          </w:tcPr>
          <w:p w14:paraId="73337F17">
            <w:pPr>
              <w:jc w:val="right"/>
            </w:pPr>
            <w:r>
              <w:rPr>
                <w:rFonts w:hint="eastAsia"/>
              </w:rPr>
              <w:t>0.00</w:t>
            </w:r>
          </w:p>
        </w:tc>
        <w:tc>
          <w:tcPr>
            <w:tcW w:w="2159" w:type="dxa"/>
            <w:vAlign w:val="center"/>
          </w:tcPr>
          <w:p w14:paraId="5822B365">
            <w:pPr>
              <w:jc w:val="right"/>
            </w:pPr>
            <w:r>
              <w:rPr>
                <w:rFonts w:hint="eastAsia"/>
              </w:rPr>
              <w:t>-2,167.75</w:t>
            </w:r>
          </w:p>
        </w:tc>
      </w:tr>
      <w:tr w14:paraId="6BAB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55440DD"/>
        </w:tc>
        <w:tc>
          <w:tcPr>
            <w:tcW w:w="3267" w:type="dxa"/>
            <w:vAlign w:val="center"/>
          </w:tcPr>
          <w:p w14:paraId="3F199AE8">
            <w:r>
              <w:rPr>
                <w:rFonts w:hint="eastAsia"/>
              </w:rPr>
              <w:t>2.市场利率平行下降25个基点</w:t>
            </w:r>
          </w:p>
        </w:tc>
        <w:tc>
          <w:tcPr>
            <w:tcW w:w="2159" w:type="dxa"/>
            <w:vAlign w:val="center"/>
          </w:tcPr>
          <w:p w14:paraId="7099422E">
            <w:pPr>
              <w:jc w:val="right"/>
            </w:pPr>
            <w:r>
              <w:rPr>
                <w:rFonts w:hint="eastAsia"/>
              </w:rPr>
              <w:t>0.00</w:t>
            </w:r>
          </w:p>
        </w:tc>
        <w:tc>
          <w:tcPr>
            <w:tcW w:w="2159" w:type="dxa"/>
            <w:vAlign w:val="center"/>
          </w:tcPr>
          <w:p w14:paraId="33BA512B">
            <w:pPr>
              <w:jc w:val="right"/>
            </w:pPr>
            <w:r>
              <w:rPr>
                <w:rFonts w:hint="eastAsia"/>
              </w:rPr>
              <w:t>2,172.70</w:t>
            </w:r>
          </w:p>
        </w:tc>
      </w:tr>
    </w:tbl>
    <w:p w14:paraId="4CB8FBA8">
      <w:pPr>
        <w:pStyle w:val="36"/>
      </w:pPr>
      <w:bookmarkStart w:id="147" w:name="_Toc147"/>
      <w:r>
        <w:t>外汇风险</w:t>
      </w:r>
      <w:bookmarkEnd w:id="147"/>
    </w:p>
    <w:p w14:paraId="4D99501F">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148AB1D3">
      <w:pPr>
        <w:pStyle w:val="36"/>
      </w:pPr>
      <w:bookmarkStart w:id="148" w:name="_Toc148"/>
      <w:r>
        <w:t>其他价格风险</w:t>
      </w:r>
      <w:bookmarkEnd w:id="148"/>
    </w:p>
    <w:p w14:paraId="5DCBB32D">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541051B2">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4329E94D">
      <w:pPr>
        <w:pStyle w:val="37"/>
      </w:pPr>
      <w:bookmarkStart w:id="149" w:name="_Toc149"/>
      <w:r>
        <w:t>其他价格风险敞口</w:t>
      </w:r>
      <w:bookmarkEnd w:id="149"/>
    </w:p>
    <w:p w14:paraId="66E7D2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FA22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53C4014">
            <w:pPr>
              <w:jc w:val="center"/>
            </w:pPr>
            <w:r>
              <w:rPr>
                <w:rFonts w:hint="eastAsia"/>
                <w:b/>
              </w:rPr>
              <w:t>项目</w:t>
            </w:r>
          </w:p>
        </w:tc>
        <w:tc>
          <w:tcPr>
            <w:tcW w:w="1827" w:type="dxa"/>
            <w:gridSpan w:val="2"/>
            <w:shd w:val="clear" w:color="auto" w:fill="BFBFBF"/>
            <w:vAlign w:val="center"/>
          </w:tcPr>
          <w:p w14:paraId="77AAF157">
            <w:pPr>
              <w:jc w:val="center"/>
            </w:pPr>
            <w:r>
              <w:rPr>
                <w:rFonts w:hint="eastAsia"/>
                <w:b/>
              </w:rPr>
              <w:t>本期末2025年12月31日</w:t>
            </w:r>
          </w:p>
        </w:tc>
        <w:tc>
          <w:tcPr>
            <w:tcW w:w="1827" w:type="dxa"/>
            <w:gridSpan w:val="2"/>
            <w:shd w:val="clear" w:color="auto" w:fill="BFBFBF"/>
            <w:vAlign w:val="center"/>
          </w:tcPr>
          <w:p w14:paraId="1E01D7F6">
            <w:pPr>
              <w:jc w:val="center"/>
            </w:pPr>
            <w:r>
              <w:rPr>
                <w:rFonts w:hint="eastAsia"/>
                <w:b/>
              </w:rPr>
              <w:t>上年度末2024年12月31日</w:t>
            </w:r>
          </w:p>
        </w:tc>
      </w:tr>
      <w:tr w14:paraId="7B07D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51D3D87"/>
        </w:tc>
        <w:tc>
          <w:tcPr>
            <w:tcW w:w="1827" w:type="dxa"/>
            <w:shd w:val="clear" w:color="auto" w:fill="BFBFBF"/>
            <w:vAlign w:val="center"/>
          </w:tcPr>
          <w:p w14:paraId="53F20487">
            <w:pPr>
              <w:jc w:val="center"/>
            </w:pPr>
            <w:r>
              <w:rPr>
                <w:rFonts w:hint="eastAsia"/>
                <w:b/>
              </w:rPr>
              <w:t>公允价值</w:t>
            </w:r>
          </w:p>
        </w:tc>
        <w:tc>
          <w:tcPr>
            <w:tcW w:w="1356" w:type="dxa"/>
            <w:shd w:val="clear" w:color="auto" w:fill="BFBFBF"/>
            <w:vAlign w:val="center"/>
          </w:tcPr>
          <w:p w14:paraId="1CB9F4A6">
            <w:pPr>
              <w:jc w:val="center"/>
            </w:pPr>
            <w:r>
              <w:rPr>
                <w:rFonts w:hint="eastAsia"/>
                <w:b/>
              </w:rPr>
              <w:t>占基金资产净值比例（%）</w:t>
            </w:r>
          </w:p>
        </w:tc>
        <w:tc>
          <w:tcPr>
            <w:tcW w:w="1827" w:type="dxa"/>
            <w:shd w:val="clear" w:color="auto" w:fill="BFBFBF"/>
            <w:vAlign w:val="center"/>
          </w:tcPr>
          <w:p w14:paraId="79A29B53">
            <w:pPr>
              <w:jc w:val="center"/>
            </w:pPr>
            <w:r>
              <w:rPr>
                <w:rFonts w:hint="eastAsia"/>
                <w:b/>
              </w:rPr>
              <w:t>公允价值</w:t>
            </w:r>
          </w:p>
        </w:tc>
        <w:tc>
          <w:tcPr>
            <w:tcW w:w="1439" w:type="dxa"/>
            <w:shd w:val="clear" w:color="auto" w:fill="BFBFBF"/>
            <w:vAlign w:val="center"/>
          </w:tcPr>
          <w:p w14:paraId="1BF1B332">
            <w:pPr>
              <w:jc w:val="center"/>
            </w:pPr>
            <w:r>
              <w:rPr>
                <w:rFonts w:hint="eastAsia"/>
                <w:b/>
              </w:rPr>
              <w:t>占基金资产净值比例（%）</w:t>
            </w:r>
          </w:p>
        </w:tc>
      </w:tr>
      <w:tr w14:paraId="28C4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C59B8A1">
            <w:r>
              <w:rPr>
                <w:rFonts w:hint="eastAsia"/>
              </w:rPr>
              <w:t>交易性金融资产-股票投资</w:t>
            </w:r>
          </w:p>
        </w:tc>
        <w:tc>
          <w:tcPr>
            <w:tcW w:w="1827" w:type="dxa"/>
            <w:vAlign w:val="center"/>
          </w:tcPr>
          <w:p w14:paraId="3E359509">
            <w:pPr>
              <w:jc w:val="right"/>
            </w:pPr>
            <w:r>
              <w:rPr>
                <w:rFonts w:hint="eastAsia"/>
              </w:rPr>
              <w:t>-</w:t>
            </w:r>
          </w:p>
        </w:tc>
        <w:tc>
          <w:tcPr>
            <w:tcW w:w="1356" w:type="dxa"/>
            <w:vAlign w:val="center"/>
          </w:tcPr>
          <w:p w14:paraId="1FFB14C3">
            <w:pPr>
              <w:jc w:val="right"/>
            </w:pPr>
            <w:r>
              <w:rPr>
                <w:rFonts w:hint="eastAsia"/>
              </w:rPr>
              <w:t>-</w:t>
            </w:r>
          </w:p>
        </w:tc>
        <w:tc>
          <w:tcPr>
            <w:tcW w:w="1827" w:type="dxa"/>
            <w:vAlign w:val="center"/>
          </w:tcPr>
          <w:p w14:paraId="7A20DB15">
            <w:pPr>
              <w:jc w:val="right"/>
            </w:pPr>
            <w:r>
              <w:rPr>
                <w:rFonts w:hint="eastAsia"/>
              </w:rPr>
              <w:t>-</w:t>
            </w:r>
          </w:p>
        </w:tc>
        <w:tc>
          <w:tcPr>
            <w:tcW w:w="1439" w:type="dxa"/>
            <w:vAlign w:val="center"/>
          </w:tcPr>
          <w:p w14:paraId="75C92141">
            <w:pPr>
              <w:jc w:val="right"/>
            </w:pPr>
            <w:r>
              <w:rPr>
                <w:rFonts w:hint="eastAsia"/>
              </w:rPr>
              <w:t>-</w:t>
            </w:r>
          </w:p>
        </w:tc>
      </w:tr>
      <w:tr w14:paraId="5715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01EA6D0">
            <w:r>
              <w:rPr>
                <w:rFonts w:hint="eastAsia"/>
              </w:rPr>
              <w:t>交易性金融资产-基金投资</w:t>
            </w:r>
          </w:p>
        </w:tc>
        <w:tc>
          <w:tcPr>
            <w:tcW w:w="1827" w:type="dxa"/>
            <w:vAlign w:val="center"/>
          </w:tcPr>
          <w:p w14:paraId="5A1EA20F">
            <w:pPr>
              <w:jc w:val="right"/>
            </w:pPr>
            <w:r>
              <w:rPr>
                <w:rFonts w:hint="eastAsia"/>
              </w:rPr>
              <w:t>254,249,873.66</w:t>
            </w:r>
          </w:p>
        </w:tc>
        <w:tc>
          <w:tcPr>
            <w:tcW w:w="1356" w:type="dxa"/>
            <w:vAlign w:val="center"/>
          </w:tcPr>
          <w:p w14:paraId="07456F74">
            <w:pPr>
              <w:jc w:val="right"/>
            </w:pPr>
            <w:r>
              <w:rPr>
                <w:rFonts w:hint="eastAsia"/>
              </w:rPr>
              <w:t>94.21</w:t>
            </w:r>
          </w:p>
        </w:tc>
        <w:tc>
          <w:tcPr>
            <w:tcW w:w="1827" w:type="dxa"/>
            <w:vAlign w:val="center"/>
          </w:tcPr>
          <w:p w14:paraId="2211C93F">
            <w:pPr>
              <w:jc w:val="right"/>
            </w:pPr>
            <w:r>
              <w:rPr>
                <w:rFonts w:hint="eastAsia"/>
              </w:rPr>
              <w:t>37,664,951.42</w:t>
            </w:r>
          </w:p>
        </w:tc>
        <w:tc>
          <w:tcPr>
            <w:tcW w:w="1439" w:type="dxa"/>
            <w:vAlign w:val="center"/>
          </w:tcPr>
          <w:p w14:paraId="257C52A4">
            <w:pPr>
              <w:jc w:val="right"/>
            </w:pPr>
            <w:r>
              <w:rPr>
                <w:rFonts w:hint="eastAsia"/>
              </w:rPr>
              <w:t>94.76</w:t>
            </w:r>
          </w:p>
        </w:tc>
      </w:tr>
      <w:tr w14:paraId="70BD8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E2D84AA">
            <w:r>
              <w:rPr>
                <w:rFonts w:hint="eastAsia"/>
              </w:rPr>
              <w:t>交易性金融资产-贵金属投资</w:t>
            </w:r>
          </w:p>
        </w:tc>
        <w:tc>
          <w:tcPr>
            <w:tcW w:w="1827" w:type="dxa"/>
            <w:vAlign w:val="center"/>
          </w:tcPr>
          <w:p w14:paraId="73F64997">
            <w:pPr>
              <w:jc w:val="right"/>
            </w:pPr>
            <w:r>
              <w:rPr>
                <w:rFonts w:hint="eastAsia"/>
              </w:rPr>
              <w:t>-</w:t>
            </w:r>
          </w:p>
        </w:tc>
        <w:tc>
          <w:tcPr>
            <w:tcW w:w="1356" w:type="dxa"/>
            <w:vAlign w:val="center"/>
          </w:tcPr>
          <w:p w14:paraId="1087574F">
            <w:pPr>
              <w:jc w:val="right"/>
            </w:pPr>
            <w:r>
              <w:rPr>
                <w:rFonts w:hint="eastAsia"/>
              </w:rPr>
              <w:t>-</w:t>
            </w:r>
          </w:p>
        </w:tc>
        <w:tc>
          <w:tcPr>
            <w:tcW w:w="1827" w:type="dxa"/>
            <w:vAlign w:val="center"/>
          </w:tcPr>
          <w:p w14:paraId="1CA89B09">
            <w:pPr>
              <w:jc w:val="right"/>
            </w:pPr>
            <w:r>
              <w:rPr>
                <w:rFonts w:hint="eastAsia"/>
              </w:rPr>
              <w:t>-</w:t>
            </w:r>
          </w:p>
        </w:tc>
        <w:tc>
          <w:tcPr>
            <w:tcW w:w="1439" w:type="dxa"/>
            <w:vAlign w:val="center"/>
          </w:tcPr>
          <w:p w14:paraId="559A6C9A">
            <w:pPr>
              <w:jc w:val="right"/>
            </w:pPr>
            <w:r>
              <w:rPr>
                <w:rFonts w:hint="eastAsia"/>
              </w:rPr>
              <w:t>-</w:t>
            </w:r>
          </w:p>
        </w:tc>
      </w:tr>
      <w:tr w14:paraId="18FE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3060EDF">
            <w:r>
              <w:rPr>
                <w:rFonts w:hint="eastAsia"/>
              </w:rPr>
              <w:t>衍生金融资产-权证投资</w:t>
            </w:r>
          </w:p>
        </w:tc>
        <w:tc>
          <w:tcPr>
            <w:tcW w:w="1827" w:type="dxa"/>
            <w:vAlign w:val="center"/>
          </w:tcPr>
          <w:p w14:paraId="367EF457">
            <w:pPr>
              <w:jc w:val="right"/>
            </w:pPr>
            <w:r>
              <w:rPr>
                <w:rFonts w:hint="eastAsia"/>
              </w:rPr>
              <w:t>-</w:t>
            </w:r>
          </w:p>
        </w:tc>
        <w:tc>
          <w:tcPr>
            <w:tcW w:w="1356" w:type="dxa"/>
            <w:vAlign w:val="center"/>
          </w:tcPr>
          <w:p w14:paraId="10CC1B0D">
            <w:pPr>
              <w:jc w:val="right"/>
            </w:pPr>
            <w:r>
              <w:rPr>
                <w:rFonts w:hint="eastAsia"/>
              </w:rPr>
              <w:t>-</w:t>
            </w:r>
          </w:p>
        </w:tc>
        <w:tc>
          <w:tcPr>
            <w:tcW w:w="1827" w:type="dxa"/>
            <w:vAlign w:val="center"/>
          </w:tcPr>
          <w:p w14:paraId="0C3D5F0F">
            <w:pPr>
              <w:jc w:val="right"/>
            </w:pPr>
            <w:r>
              <w:rPr>
                <w:rFonts w:hint="eastAsia"/>
              </w:rPr>
              <w:t>-</w:t>
            </w:r>
          </w:p>
        </w:tc>
        <w:tc>
          <w:tcPr>
            <w:tcW w:w="1439" w:type="dxa"/>
            <w:vAlign w:val="center"/>
          </w:tcPr>
          <w:p w14:paraId="6F7F9607">
            <w:pPr>
              <w:jc w:val="right"/>
            </w:pPr>
            <w:r>
              <w:rPr>
                <w:rFonts w:hint="eastAsia"/>
              </w:rPr>
              <w:t>-</w:t>
            </w:r>
          </w:p>
        </w:tc>
      </w:tr>
      <w:tr w14:paraId="40CA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E8E62B9">
            <w:r>
              <w:rPr>
                <w:rFonts w:hint="eastAsia"/>
              </w:rPr>
              <w:t>其他</w:t>
            </w:r>
          </w:p>
        </w:tc>
        <w:tc>
          <w:tcPr>
            <w:tcW w:w="1827" w:type="dxa"/>
            <w:vAlign w:val="center"/>
          </w:tcPr>
          <w:p w14:paraId="633BA04F">
            <w:pPr>
              <w:jc w:val="right"/>
            </w:pPr>
            <w:r>
              <w:rPr>
                <w:rFonts w:hint="eastAsia"/>
              </w:rPr>
              <w:t>-</w:t>
            </w:r>
          </w:p>
        </w:tc>
        <w:tc>
          <w:tcPr>
            <w:tcW w:w="1356" w:type="dxa"/>
            <w:vAlign w:val="center"/>
          </w:tcPr>
          <w:p w14:paraId="4B3004E7">
            <w:pPr>
              <w:jc w:val="right"/>
            </w:pPr>
            <w:r>
              <w:rPr>
                <w:rFonts w:hint="eastAsia"/>
              </w:rPr>
              <w:t>-</w:t>
            </w:r>
          </w:p>
        </w:tc>
        <w:tc>
          <w:tcPr>
            <w:tcW w:w="1827" w:type="dxa"/>
            <w:vAlign w:val="center"/>
          </w:tcPr>
          <w:p w14:paraId="6CD9134A">
            <w:pPr>
              <w:jc w:val="right"/>
            </w:pPr>
            <w:r>
              <w:rPr>
                <w:rFonts w:hint="eastAsia"/>
              </w:rPr>
              <w:t>-</w:t>
            </w:r>
          </w:p>
        </w:tc>
        <w:tc>
          <w:tcPr>
            <w:tcW w:w="1439" w:type="dxa"/>
            <w:vAlign w:val="center"/>
          </w:tcPr>
          <w:p w14:paraId="02F883AE">
            <w:pPr>
              <w:jc w:val="right"/>
            </w:pPr>
            <w:r>
              <w:rPr>
                <w:rFonts w:hint="eastAsia"/>
              </w:rPr>
              <w:t>-</w:t>
            </w:r>
          </w:p>
        </w:tc>
      </w:tr>
      <w:tr w14:paraId="4F40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E1F3FD6">
            <w:r>
              <w:rPr>
                <w:rFonts w:hint="eastAsia"/>
              </w:rPr>
              <w:t>合计</w:t>
            </w:r>
          </w:p>
        </w:tc>
        <w:tc>
          <w:tcPr>
            <w:tcW w:w="1827" w:type="dxa"/>
            <w:vAlign w:val="center"/>
          </w:tcPr>
          <w:p w14:paraId="5895436E">
            <w:pPr>
              <w:jc w:val="right"/>
            </w:pPr>
            <w:r>
              <w:rPr>
                <w:rFonts w:hint="eastAsia"/>
              </w:rPr>
              <w:t>254,249,873.66</w:t>
            </w:r>
          </w:p>
        </w:tc>
        <w:tc>
          <w:tcPr>
            <w:tcW w:w="1356" w:type="dxa"/>
            <w:vAlign w:val="center"/>
          </w:tcPr>
          <w:p w14:paraId="47218D1D">
            <w:pPr>
              <w:jc w:val="right"/>
            </w:pPr>
            <w:r>
              <w:rPr>
                <w:rFonts w:hint="eastAsia"/>
              </w:rPr>
              <w:t>94.21</w:t>
            </w:r>
          </w:p>
        </w:tc>
        <w:tc>
          <w:tcPr>
            <w:tcW w:w="1827" w:type="dxa"/>
            <w:vAlign w:val="center"/>
          </w:tcPr>
          <w:p w14:paraId="161EB7F4">
            <w:pPr>
              <w:jc w:val="right"/>
            </w:pPr>
            <w:r>
              <w:rPr>
                <w:rFonts w:hint="eastAsia"/>
              </w:rPr>
              <w:t>37,664,951.42</w:t>
            </w:r>
          </w:p>
        </w:tc>
        <w:tc>
          <w:tcPr>
            <w:tcW w:w="1439" w:type="dxa"/>
            <w:vAlign w:val="center"/>
          </w:tcPr>
          <w:p w14:paraId="7691600E">
            <w:pPr>
              <w:jc w:val="right"/>
            </w:pPr>
            <w:r>
              <w:rPr>
                <w:rFonts w:hint="eastAsia"/>
              </w:rPr>
              <w:t>94.76</w:t>
            </w:r>
          </w:p>
        </w:tc>
      </w:tr>
    </w:tbl>
    <w:p w14:paraId="563B8BED">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D7BA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AD81DEB">
            <w:r>
              <w:rPr>
                <w:rFonts w:hint="eastAsia"/>
              </w:rPr>
              <w:t>假设</w:t>
            </w:r>
          </w:p>
        </w:tc>
        <w:tc>
          <w:tcPr>
            <w:tcW w:w="3267" w:type="dxa"/>
            <w:gridSpan w:val="3"/>
            <w:vAlign w:val="center"/>
          </w:tcPr>
          <w:p w14:paraId="462CE706">
            <w:r>
              <w:rPr>
                <w:rFonts w:hint="eastAsia"/>
              </w:rPr>
              <w:t>除业绩比较基准以外的其他市场变量保持不变</w:t>
            </w:r>
          </w:p>
        </w:tc>
      </w:tr>
      <w:tr w14:paraId="37847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4BEA2B0">
            <w:r>
              <w:rPr>
                <w:rFonts w:hint="eastAsia"/>
              </w:rPr>
              <w:t>分析</w:t>
            </w:r>
          </w:p>
        </w:tc>
        <w:tc>
          <w:tcPr>
            <w:tcW w:w="3267" w:type="dxa"/>
            <w:vMerge w:val="restart"/>
            <w:vAlign w:val="center"/>
          </w:tcPr>
          <w:p w14:paraId="2292B632">
            <w:r>
              <w:rPr>
                <w:rFonts w:hint="eastAsia"/>
              </w:rPr>
              <w:t>相关风险变量的变动</w:t>
            </w:r>
          </w:p>
        </w:tc>
        <w:tc>
          <w:tcPr>
            <w:tcW w:w="2159" w:type="dxa"/>
            <w:gridSpan w:val="2"/>
            <w:vAlign w:val="center"/>
          </w:tcPr>
          <w:p w14:paraId="2853B415">
            <w:r>
              <w:rPr>
                <w:rFonts w:hint="eastAsia"/>
              </w:rPr>
              <w:t>对资产负债表日基金资产净值的影响金额（单位：人民币元）</w:t>
            </w:r>
          </w:p>
        </w:tc>
      </w:tr>
      <w:tr w14:paraId="5C1E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1447C0D"/>
        </w:tc>
        <w:tc>
          <w:tcPr>
            <w:tcW w:w="3267" w:type="dxa"/>
            <w:vMerge w:val="continue"/>
            <w:vAlign w:val="center"/>
          </w:tcPr>
          <w:p w14:paraId="3B857F15"/>
        </w:tc>
        <w:tc>
          <w:tcPr>
            <w:tcW w:w="2159" w:type="dxa"/>
            <w:vAlign w:val="center"/>
          </w:tcPr>
          <w:p w14:paraId="5DA1021B">
            <w:r>
              <w:rPr>
                <w:rFonts w:hint="eastAsia"/>
              </w:rPr>
              <w:t>本期末（ 2025年12月31日 ）</w:t>
            </w:r>
          </w:p>
        </w:tc>
        <w:tc>
          <w:tcPr>
            <w:tcW w:w="2159" w:type="dxa"/>
            <w:vAlign w:val="center"/>
          </w:tcPr>
          <w:p w14:paraId="0C28F0FE">
            <w:r>
              <w:rPr>
                <w:rFonts w:hint="eastAsia"/>
              </w:rPr>
              <w:t>上年度末（ 2024年12月31日 ）</w:t>
            </w:r>
          </w:p>
        </w:tc>
      </w:tr>
      <w:tr w14:paraId="2D2D2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3B66DA1"/>
        </w:tc>
        <w:tc>
          <w:tcPr>
            <w:tcW w:w="3267" w:type="dxa"/>
            <w:vAlign w:val="center"/>
          </w:tcPr>
          <w:p w14:paraId="123D3D92">
            <w:r>
              <w:rPr>
                <w:rFonts w:hint="eastAsia"/>
              </w:rPr>
              <w:t>1.组合自身基准上升 5%</w:t>
            </w:r>
          </w:p>
        </w:tc>
        <w:tc>
          <w:tcPr>
            <w:tcW w:w="2159" w:type="dxa"/>
            <w:vAlign w:val="center"/>
          </w:tcPr>
          <w:p w14:paraId="66F51AF8">
            <w:pPr>
              <w:jc w:val="right"/>
            </w:pPr>
            <w:r>
              <w:rPr>
                <w:rFonts w:hint="eastAsia"/>
              </w:rPr>
              <w:t>11,160,611.22</w:t>
            </w:r>
          </w:p>
        </w:tc>
        <w:tc>
          <w:tcPr>
            <w:tcW w:w="2159" w:type="dxa"/>
            <w:vAlign w:val="center"/>
          </w:tcPr>
          <w:p w14:paraId="0486510C">
            <w:pPr>
              <w:jc w:val="right"/>
            </w:pPr>
            <w:r>
              <w:rPr>
                <w:rFonts w:hint="eastAsia"/>
              </w:rPr>
              <w:t>1,658,304.73</w:t>
            </w:r>
          </w:p>
        </w:tc>
      </w:tr>
      <w:tr w14:paraId="7393B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8230B5F"/>
        </w:tc>
        <w:tc>
          <w:tcPr>
            <w:tcW w:w="3267" w:type="dxa"/>
            <w:vAlign w:val="center"/>
          </w:tcPr>
          <w:p w14:paraId="379ECFDD">
            <w:r>
              <w:rPr>
                <w:rFonts w:hint="eastAsia"/>
              </w:rPr>
              <w:t>2.组合自身基准下降 5%</w:t>
            </w:r>
          </w:p>
        </w:tc>
        <w:tc>
          <w:tcPr>
            <w:tcW w:w="2159" w:type="dxa"/>
            <w:vAlign w:val="center"/>
          </w:tcPr>
          <w:p w14:paraId="4D6796A9">
            <w:pPr>
              <w:jc w:val="right"/>
            </w:pPr>
            <w:r>
              <w:rPr>
                <w:rFonts w:hint="eastAsia"/>
              </w:rPr>
              <w:t>-11,160,611.22</w:t>
            </w:r>
          </w:p>
        </w:tc>
        <w:tc>
          <w:tcPr>
            <w:tcW w:w="2159" w:type="dxa"/>
            <w:vAlign w:val="center"/>
          </w:tcPr>
          <w:p w14:paraId="679EA4DD">
            <w:pPr>
              <w:jc w:val="right"/>
            </w:pPr>
            <w:r>
              <w:rPr>
                <w:rFonts w:hint="eastAsia"/>
              </w:rPr>
              <w:t>-1,658,304.73</w:t>
            </w:r>
          </w:p>
        </w:tc>
      </w:tr>
    </w:tbl>
    <w:p w14:paraId="4E9860B9">
      <w:pPr>
        <w:pStyle w:val="28"/>
      </w:pPr>
      <w:bookmarkStart w:id="151" w:name="_Toc151"/>
      <w:r>
        <w:t>公允价值</w:t>
      </w:r>
      <w:bookmarkEnd w:id="151"/>
    </w:p>
    <w:p w14:paraId="639F2C67">
      <w:pPr>
        <w:pStyle w:val="35"/>
      </w:pPr>
      <w:bookmarkStart w:id="152" w:name="_Toc152"/>
      <w:r>
        <w:t>金融工具公允价值计量的方法</w:t>
      </w:r>
      <w:bookmarkEnd w:id="152"/>
    </w:p>
    <w:p w14:paraId="66C8A71B">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292FE77">
      <w:pPr>
        <w:pStyle w:val="35"/>
      </w:pPr>
      <w:bookmarkStart w:id="153" w:name="_Toc153"/>
      <w:r>
        <w:t>持续的以公允价值计量的金融工具</w:t>
      </w:r>
      <w:bookmarkEnd w:id="153"/>
    </w:p>
    <w:p w14:paraId="6C939D07">
      <w:pPr>
        <w:pStyle w:val="36"/>
      </w:pPr>
      <w:bookmarkStart w:id="154" w:name="_Toc154"/>
      <w:r>
        <w:t>各层次金融工具的公允价值</w:t>
      </w:r>
      <w:bookmarkEnd w:id="154"/>
    </w:p>
    <w:p w14:paraId="5C35112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ABA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ABFBB9">
            <w:pPr>
              <w:jc w:val="center"/>
            </w:pPr>
            <w:r>
              <w:rPr>
                <w:rFonts w:hint="eastAsia"/>
                <w:b/>
              </w:rPr>
              <w:t>公允价值计量结果所属的层次</w:t>
            </w:r>
          </w:p>
        </w:tc>
        <w:tc>
          <w:tcPr>
            <w:tcW w:w="2768" w:type="dxa"/>
            <w:shd w:val="clear" w:color="auto" w:fill="BFBFBF"/>
            <w:vAlign w:val="center"/>
          </w:tcPr>
          <w:p w14:paraId="2424E5E7">
            <w:pPr>
              <w:jc w:val="center"/>
            </w:pPr>
            <w:r>
              <w:rPr>
                <w:rFonts w:hint="eastAsia"/>
                <w:b/>
              </w:rPr>
              <w:t>本期末2025年12月31日</w:t>
            </w:r>
          </w:p>
        </w:tc>
        <w:tc>
          <w:tcPr>
            <w:tcW w:w="2768" w:type="dxa"/>
            <w:shd w:val="clear" w:color="auto" w:fill="BFBFBF"/>
            <w:vAlign w:val="center"/>
          </w:tcPr>
          <w:p w14:paraId="744AC3B1">
            <w:pPr>
              <w:jc w:val="center"/>
            </w:pPr>
            <w:r>
              <w:rPr>
                <w:rFonts w:hint="eastAsia"/>
                <w:b/>
              </w:rPr>
              <w:t>上年度末2024年12月31日</w:t>
            </w:r>
          </w:p>
        </w:tc>
      </w:tr>
      <w:tr w14:paraId="5316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8FBCF3">
            <w:r>
              <w:rPr>
                <w:rFonts w:hint="eastAsia"/>
              </w:rPr>
              <w:t>第一层次</w:t>
            </w:r>
          </w:p>
        </w:tc>
        <w:tc>
          <w:tcPr>
            <w:tcW w:w="2768" w:type="dxa"/>
            <w:vAlign w:val="center"/>
          </w:tcPr>
          <w:p w14:paraId="26C6A16D">
            <w:pPr>
              <w:jc w:val="right"/>
            </w:pPr>
            <w:r>
              <w:rPr>
                <w:rFonts w:hint="eastAsia"/>
              </w:rPr>
              <w:t>254,249,873.66</w:t>
            </w:r>
          </w:p>
        </w:tc>
        <w:tc>
          <w:tcPr>
            <w:tcW w:w="2768" w:type="dxa"/>
            <w:vAlign w:val="center"/>
          </w:tcPr>
          <w:p w14:paraId="2DD09AFE">
            <w:pPr>
              <w:jc w:val="right"/>
            </w:pPr>
            <w:r>
              <w:rPr>
                <w:rFonts w:hint="eastAsia"/>
              </w:rPr>
              <w:t>37,664,951.42</w:t>
            </w:r>
          </w:p>
        </w:tc>
      </w:tr>
      <w:tr w14:paraId="4459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7745B5">
            <w:r>
              <w:rPr>
                <w:rFonts w:hint="eastAsia"/>
              </w:rPr>
              <w:t>第二层次</w:t>
            </w:r>
          </w:p>
        </w:tc>
        <w:tc>
          <w:tcPr>
            <w:tcW w:w="2768" w:type="dxa"/>
            <w:vAlign w:val="center"/>
          </w:tcPr>
          <w:p w14:paraId="715DBEC4">
            <w:pPr>
              <w:jc w:val="right"/>
            </w:pPr>
            <w:r>
              <w:rPr>
                <w:rFonts w:hint="eastAsia"/>
              </w:rPr>
              <w:t>-</w:t>
            </w:r>
          </w:p>
        </w:tc>
        <w:tc>
          <w:tcPr>
            <w:tcW w:w="2768" w:type="dxa"/>
            <w:vAlign w:val="center"/>
          </w:tcPr>
          <w:p w14:paraId="6DCFFE4D">
            <w:pPr>
              <w:jc w:val="right"/>
            </w:pPr>
            <w:r>
              <w:rPr>
                <w:rFonts w:hint="eastAsia"/>
              </w:rPr>
              <w:t>1,905,376.10</w:t>
            </w:r>
          </w:p>
        </w:tc>
      </w:tr>
      <w:tr w14:paraId="7050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E7995A">
            <w:r>
              <w:rPr>
                <w:rFonts w:hint="eastAsia"/>
              </w:rPr>
              <w:t>第三层次</w:t>
            </w:r>
          </w:p>
        </w:tc>
        <w:tc>
          <w:tcPr>
            <w:tcW w:w="2768" w:type="dxa"/>
            <w:vAlign w:val="center"/>
          </w:tcPr>
          <w:p w14:paraId="55746E01">
            <w:pPr>
              <w:jc w:val="right"/>
            </w:pPr>
            <w:r>
              <w:rPr>
                <w:rFonts w:hint="eastAsia"/>
              </w:rPr>
              <w:t>-</w:t>
            </w:r>
          </w:p>
        </w:tc>
        <w:tc>
          <w:tcPr>
            <w:tcW w:w="2768" w:type="dxa"/>
            <w:vAlign w:val="center"/>
          </w:tcPr>
          <w:p w14:paraId="35632CDA">
            <w:pPr>
              <w:jc w:val="right"/>
            </w:pPr>
            <w:r>
              <w:rPr>
                <w:rFonts w:hint="eastAsia"/>
              </w:rPr>
              <w:t>-</w:t>
            </w:r>
          </w:p>
        </w:tc>
      </w:tr>
      <w:tr w14:paraId="6E52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7449E5">
            <w:r>
              <w:rPr>
                <w:rFonts w:hint="eastAsia"/>
              </w:rPr>
              <w:t>合计</w:t>
            </w:r>
          </w:p>
        </w:tc>
        <w:tc>
          <w:tcPr>
            <w:tcW w:w="2768" w:type="dxa"/>
            <w:vAlign w:val="center"/>
          </w:tcPr>
          <w:p w14:paraId="0308976F">
            <w:pPr>
              <w:jc w:val="right"/>
            </w:pPr>
            <w:r>
              <w:rPr>
                <w:rFonts w:hint="eastAsia"/>
              </w:rPr>
              <w:t>254,249,873.66</w:t>
            </w:r>
          </w:p>
        </w:tc>
        <w:tc>
          <w:tcPr>
            <w:tcW w:w="2768" w:type="dxa"/>
            <w:vAlign w:val="center"/>
          </w:tcPr>
          <w:p w14:paraId="51B07B27">
            <w:pPr>
              <w:jc w:val="right"/>
            </w:pPr>
            <w:r>
              <w:rPr>
                <w:rFonts w:hint="eastAsia"/>
              </w:rPr>
              <w:t>39,570,327.52</w:t>
            </w:r>
          </w:p>
        </w:tc>
      </w:tr>
    </w:tbl>
    <w:p w14:paraId="1E1B0147">
      <w:pPr>
        <w:pStyle w:val="36"/>
      </w:pPr>
      <w:bookmarkStart w:id="155" w:name="_Toc155"/>
      <w:r>
        <w:t>公允价值所属层次间的重大变动</w:t>
      </w:r>
      <w:bookmarkEnd w:id="155"/>
    </w:p>
    <w:p w14:paraId="020EA45A">
      <w:pPr>
        <w:pStyle w:val="18"/>
        <w:rPr>
          <w:rFonts w:hint="eastAsia"/>
        </w:rPr>
      </w:pPr>
      <w:r>
        <w:rPr>
          <w:rFonts w:hint="eastAsia"/>
        </w:rPr>
        <w:t>本基金以导致各层次之间转换的事项发生日为确认各层次之间转换的时点。</w:t>
      </w:r>
    </w:p>
    <w:p w14:paraId="7E436887">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6459C65">
      <w:pPr>
        <w:pStyle w:val="35"/>
      </w:pPr>
      <w:bookmarkStart w:id="156" w:name="_Toc156"/>
      <w:r>
        <w:t>非持续的以公允价值计量的金融工具的说明</w:t>
      </w:r>
      <w:bookmarkEnd w:id="156"/>
    </w:p>
    <w:p w14:paraId="6FA01836">
      <w:pPr>
        <w:pStyle w:val="18"/>
        <w:rPr>
          <w:rFonts w:hint="eastAsia"/>
        </w:rPr>
      </w:pPr>
      <w:r>
        <w:rPr>
          <w:rFonts w:hint="eastAsia"/>
        </w:rPr>
        <w:t>于本报告期末，本基金未持有非持续的以公允价值计量的金融资产（上年度末：同）。</w:t>
      </w:r>
    </w:p>
    <w:p w14:paraId="1136CD10">
      <w:pPr>
        <w:pStyle w:val="35"/>
      </w:pPr>
      <w:bookmarkStart w:id="157" w:name="_Toc157"/>
      <w:r>
        <w:t>不以公允价值计量的金融工具的相关说明</w:t>
      </w:r>
      <w:bookmarkEnd w:id="157"/>
    </w:p>
    <w:p w14:paraId="41A02A91">
      <w:pPr>
        <w:pStyle w:val="18"/>
        <w:rPr>
          <w:rFonts w:hint="eastAsia"/>
        </w:rPr>
      </w:pPr>
      <w:r>
        <w:rPr>
          <w:rFonts w:hint="eastAsia"/>
        </w:rPr>
        <w:t>不以公允价值计量的金融资产和负债主要包括应收款项和其他金融负债，其账面价值与公允价值相差很小。</w:t>
      </w:r>
    </w:p>
    <w:p w14:paraId="5DBD5FA7">
      <w:pPr>
        <w:pStyle w:val="28"/>
      </w:pPr>
      <w:bookmarkStart w:id="158" w:name="_Toc158"/>
      <w:r>
        <w:t>有助于理解和分析会计报表需要说明的其他事项</w:t>
      </w:r>
      <w:bookmarkEnd w:id="158"/>
    </w:p>
    <w:p w14:paraId="0AF628AF">
      <w:pPr>
        <w:pStyle w:val="18"/>
        <w:rPr>
          <w:rFonts w:hint="eastAsia"/>
        </w:rPr>
      </w:pPr>
      <w:r>
        <w:rPr>
          <w:rFonts w:hint="eastAsia"/>
        </w:rPr>
        <w:t>截至资产负债表日本基金无需要说明的其他重要事项。</w:t>
      </w:r>
    </w:p>
    <w:p w14:paraId="02C2964B">
      <w:pPr>
        <w:pStyle w:val="26"/>
      </w:pPr>
      <w:bookmarkStart w:id="159" w:name="_Toc6324"/>
      <w:r>
        <w:t>投资组合报告</w:t>
      </w:r>
      <w:bookmarkEnd w:id="159"/>
    </w:p>
    <w:p w14:paraId="72F45E66">
      <w:pPr>
        <w:pStyle w:val="23"/>
      </w:pPr>
      <w:bookmarkStart w:id="160" w:name="_Toc29151"/>
      <w:r>
        <w:t>期末基金资产组合情况</w:t>
      </w:r>
      <w:bookmarkEnd w:id="160"/>
    </w:p>
    <w:p w14:paraId="4772729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4A4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A7F5DAE">
            <w:pPr>
              <w:jc w:val="center"/>
            </w:pPr>
            <w:r>
              <w:rPr>
                <w:rFonts w:hint="eastAsia"/>
                <w:b/>
              </w:rPr>
              <w:t>序号</w:t>
            </w:r>
          </w:p>
        </w:tc>
        <w:tc>
          <w:tcPr>
            <w:tcW w:w="2076" w:type="dxa"/>
            <w:shd w:val="clear" w:color="auto" w:fill="BFBFBF"/>
            <w:vAlign w:val="center"/>
          </w:tcPr>
          <w:p w14:paraId="78E0D557">
            <w:pPr>
              <w:jc w:val="center"/>
            </w:pPr>
            <w:r>
              <w:rPr>
                <w:rFonts w:hint="eastAsia"/>
                <w:b/>
              </w:rPr>
              <w:t>项目</w:t>
            </w:r>
          </w:p>
        </w:tc>
        <w:tc>
          <w:tcPr>
            <w:tcW w:w="2076" w:type="dxa"/>
            <w:shd w:val="clear" w:color="auto" w:fill="BFBFBF"/>
            <w:vAlign w:val="center"/>
          </w:tcPr>
          <w:p w14:paraId="257ECC6E">
            <w:pPr>
              <w:jc w:val="center"/>
            </w:pPr>
            <w:r>
              <w:rPr>
                <w:rFonts w:hint="eastAsia"/>
                <w:b/>
              </w:rPr>
              <w:t>金额</w:t>
            </w:r>
          </w:p>
        </w:tc>
        <w:tc>
          <w:tcPr>
            <w:tcW w:w="2076" w:type="dxa"/>
            <w:shd w:val="clear" w:color="auto" w:fill="BFBFBF"/>
            <w:vAlign w:val="center"/>
          </w:tcPr>
          <w:p w14:paraId="7BE29618">
            <w:pPr>
              <w:jc w:val="center"/>
            </w:pPr>
            <w:r>
              <w:rPr>
                <w:rFonts w:hint="eastAsia"/>
                <w:b/>
              </w:rPr>
              <w:t>占基金总资产的比例（%）</w:t>
            </w:r>
          </w:p>
        </w:tc>
      </w:tr>
      <w:tr w14:paraId="48DD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3A1D74">
            <w:pPr>
              <w:jc w:val="center"/>
            </w:pPr>
            <w:r>
              <w:rPr>
                <w:rFonts w:hint="eastAsia"/>
              </w:rPr>
              <w:t>1</w:t>
            </w:r>
          </w:p>
        </w:tc>
        <w:tc>
          <w:tcPr>
            <w:tcW w:w="2076" w:type="dxa"/>
            <w:vAlign w:val="center"/>
          </w:tcPr>
          <w:p w14:paraId="5524DBF0">
            <w:r>
              <w:rPr>
                <w:rFonts w:hint="eastAsia"/>
              </w:rPr>
              <w:t>权益投资</w:t>
            </w:r>
          </w:p>
        </w:tc>
        <w:tc>
          <w:tcPr>
            <w:tcW w:w="2076" w:type="dxa"/>
            <w:vAlign w:val="center"/>
          </w:tcPr>
          <w:p w14:paraId="3ACEBA78">
            <w:pPr>
              <w:jc w:val="right"/>
            </w:pPr>
            <w:r>
              <w:rPr>
                <w:rFonts w:hint="eastAsia"/>
              </w:rPr>
              <w:t>-</w:t>
            </w:r>
          </w:p>
        </w:tc>
        <w:tc>
          <w:tcPr>
            <w:tcW w:w="2076" w:type="dxa"/>
            <w:vAlign w:val="center"/>
          </w:tcPr>
          <w:p w14:paraId="601D4BDD">
            <w:pPr>
              <w:jc w:val="right"/>
            </w:pPr>
            <w:r>
              <w:rPr>
                <w:rFonts w:hint="eastAsia"/>
              </w:rPr>
              <w:t>-</w:t>
            </w:r>
          </w:p>
        </w:tc>
      </w:tr>
      <w:tr w14:paraId="5553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4F5069">
            <w:pPr>
              <w:jc w:val="center"/>
            </w:pPr>
          </w:p>
        </w:tc>
        <w:tc>
          <w:tcPr>
            <w:tcW w:w="2076" w:type="dxa"/>
            <w:vAlign w:val="center"/>
          </w:tcPr>
          <w:p w14:paraId="17504780">
            <w:r>
              <w:rPr>
                <w:rFonts w:hint="eastAsia"/>
              </w:rPr>
              <w:t>其中：普通股</w:t>
            </w:r>
          </w:p>
        </w:tc>
        <w:tc>
          <w:tcPr>
            <w:tcW w:w="2076" w:type="dxa"/>
            <w:vAlign w:val="center"/>
          </w:tcPr>
          <w:p w14:paraId="36B8485B">
            <w:pPr>
              <w:jc w:val="right"/>
            </w:pPr>
            <w:r>
              <w:rPr>
                <w:rFonts w:hint="eastAsia"/>
              </w:rPr>
              <w:t>-</w:t>
            </w:r>
          </w:p>
        </w:tc>
        <w:tc>
          <w:tcPr>
            <w:tcW w:w="2076" w:type="dxa"/>
            <w:vAlign w:val="center"/>
          </w:tcPr>
          <w:p w14:paraId="4859E849">
            <w:pPr>
              <w:jc w:val="right"/>
            </w:pPr>
            <w:r>
              <w:rPr>
                <w:rFonts w:hint="eastAsia"/>
              </w:rPr>
              <w:t>-</w:t>
            </w:r>
          </w:p>
        </w:tc>
      </w:tr>
      <w:tr w14:paraId="1C67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23C6BA">
            <w:pPr>
              <w:jc w:val="center"/>
            </w:pPr>
          </w:p>
        </w:tc>
        <w:tc>
          <w:tcPr>
            <w:tcW w:w="2076" w:type="dxa"/>
            <w:vAlign w:val="center"/>
          </w:tcPr>
          <w:p w14:paraId="0AA7FC27">
            <w:r>
              <w:rPr>
                <w:rFonts w:hint="eastAsia"/>
              </w:rPr>
              <w:t xml:space="preserve">      存托凭证</w:t>
            </w:r>
          </w:p>
        </w:tc>
        <w:tc>
          <w:tcPr>
            <w:tcW w:w="2076" w:type="dxa"/>
            <w:vAlign w:val="center"/>
          </w:tcPr>
          <w:p w14:paraId="12933CAE">
            <w:pPr>
              <w:jc w:val="right"/>
            </w:pPr>
            <w:r>
              <w:rPr>
                <w:rFonts w:hint="eastAsia"/>
              </w:rPr>
              <w:t>-</w:t>
            </w:r>
          </w:p>
        </w:tc>
        <w:tc>
          <w:tcPr>
            <w:tcW w:w="2076" w:type="dxa"/>
            <w:vAlign w:val="center"/>
          </w:tcPr>
          <w:p w14:paraId="7F342E25">
            <w:pPr>
              <w:jc w:val="right"/>
            </w:pPr>
            <w:r>
              <w:rPr>
                <w:rFonts w:hint="eastAsia"/>
              </w:rPr>
              <w:t>-</w:t>
            </w:r>
          </w:p>
        </w:tc>
      </w:tr>
      <w:tr w14:paraId="208FB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BA5638">
            <w:pPr>
              <w:jc w:val="center"/>
            </w:pPr>
            <w:r>
              <w:rPr>
                <w:rFonts w:hint="eastAsia"/>
              </w:rPr>
              <w:t>2</w:t>
            </w:r>
          </w:p>
        </w:tc>
        <w:tc>
          <w:tcPr>
            <w:tcW w:w="2076" w:type="dxa"/>
            <w:vAlign w:val="center"/>
          </w:tcPr>
          <w:p w14:paraId="754C6E22">
            <w:r>
              <w:rPr>
                <w:rFonts w:hint="eastAsia"/>
              </w:rPr>
              <w:t>基金投资</w:t>
            </w:r>
          </w:p>
        </w:tc>
        <w:tc>
          <w:tcPr>
            <w:tcW w:w="2076" w:type="dxa"/>
            <w:vAlign w:val="center"/>
          </w:tcPr>
          <w:p w14:paraId="556EFF93">
            <w:pPr>
              <w:jc w:val="right"/>
            </w:pPr>
            <w:r>
              <w:rPr>
                <w:rFonts w:hint="eastAsia"/>
              </w:rPr>
              <w:t>254,249,873.66</w:t>
            </w:r>
          </w:p>
        </w:tc>
        <w:tc>
          <w:tcPr>
            <w:tcW w:w="2076" w:type="dxa"/>
            <w:vAlign w:val="center"/>
          </w:tcPr>
          <w:p w14:paraId="664C9D18">
            <w:pPr>
              <w:jc w:val="right"/>
            </w:pPr>
            <w:r>
              <w:rPr>
                <w:rFonts w:hint="eastAsia"/>
              </w:rPr>
              <w:t>88.06</w:t>
            </w:r>
          </w:p>
        </w:tc>
      </w:tr>
      <w:tr w14:paraId="35F7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06D536">
            <w:pPr>
              <w:jc w:val="center"/>
            </w:pPr>
            <w:r>
              <w:rPr>
                <w:rFonts w:hint="eastAsia"/>
              </w:rPr>
              <w:t>3</w:t>
            </w:r>
          </w:p>
        </w:tc>
        <w:tc>
          <w:tcPr>
            <w:tcW w:w="2076" w:type="dxa"/>
            <w:vAlign w:val="center"/>
          </w:tcPr>
          <w:p w14:paraId="21399294">
            <w:r>
              <w:rPr>
                <w:rFonts w:hint="eastAsia"/>
              </w:rPr>
              <w:t>固定收益投资</w:t>
            </w:r>
          </w:p>
        </w:tc>
        <w:tc>
          <w:tcPr>
            <w:tcW w:w="2076" w:type="dxa"/>
            <w:vAlign w:val="center"/>
          </w:tcPr>
          <w:p w14:paraId="0F8F1B46">
            <w:pPr>
              <w:jc w:val="right"/>
            </w:pPr>
            <w:r>
              <w:rPr>
                <w:rFonts w:hint="eastAsia"/>
              </w:rPr>
              <w:t>-</w:t>
            </w:r>
          </w:p>
        </w:tc>
        <w:tc>
          <w:tcPr>
            <w:tcW w:w="2076" w:type="dxa"/>
            <w:vAlign w:val="center"/>
          </w:tcPr>
          <w:p w14:paraId="0F364D67">
            <w:pPr>
              <w:jc w:val="right"/>
            </w:pPr>
            <w:r>
              <w:rPr>
                <w:rFonts w:hint="eastAsia"/>
              </w:rPr>
              <w:t>-</w:t>
            </w:r>
          </w:p>
        </w:tc>
      </w:tr>
      <w:tr w14:paraId="4B15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8B49F6">
            <w:pPr>
              <w:jc w:val="center"/>
            </w:pPr>
          </w:p>
        </w:tc>
        <w:tc>
          <w:tcPr>
            <w:tcW w:w="2076" w:type="dxa"/>
            <w:vAlign w:val="center"/>
          </w:tcPr>
          <w:p w14:paraId="0886091B">
            <w:r>
              <w:rPr>
                <w:rFonts w:hint="eastAsia"/>
              </w:rPr>
              <w:t>其中：债券</w:t>
            </w:r>
          </w:p>
        </w:tc>
        <w:tc>
          <w:tcPr>
            <w:tcW w:w="2076" w:type="dxa"/>
            <w:vAlign w:val="center"/>
          </w:tcPr>
          <w:p w14:paraId="4981DE99">
            <w:pPr>
              <w:jc w:val="right"/>
            </w:pPr>
            <w:r>
              <w:rPr>
                <w:rFonts w:hint="eastAsia"/>
              </w:rPr>
              <w:t>-</w:t>
            </w:r>
          </w:p>
        </w:tc>
        <w:tc>
          <w:tcPr>
            <w:tcW w:w="2076" w:type="dxa"/>
            <w:vAlign w:val="center"/>
          </w:tcPr>
          <w:p w14:paraId="7391FAB4">
            <w:pPr>
              <w:jc w:val="right"/>
            </w:pPr>
            <w:r>
              <w:rPr>
                <w:rFonts w:hint="eastAsia"/>
              </w:rPr>
              <w:t>-</w:t>
            </w:r>
          </w:p>
        </w:tc>
      </w:tr>
      <w:tr w14:paraId="79F37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CC7DFD">
            <w:pPr>
              <w:jc w:val="center"/>
            </w:pPr>
          </w:p>
        </w:tc>
        <w:tc>
          <w:tcPr>
            <w:tcW w:w="2076" w:type="dxa"/>
            <w:vAlign w:val="center"/>
          </w:tcPr>
          <w:p w14:paraId="4E1A2273">
            <w:r>
              <w:rPr>
                <w:rFonts w:hint="eastAsia"/>
              </w:rPr>
              <w:t xml:space="preserve">      资产支持证券</w:t>
            </w:r>
          </w:p>
        </w:tc>
        <w:tc>
          <w:tcPr>
            <w:tcW w:w="2076" w:type="dxa"/>
            <w:vAlign w:val="center"/>
          </w:tcPr>
          <w:p w14:paraId="389C0B59">
            <w:pPr>
              <w:jc w:val="right"/>
            </w:pPr>
            <w:r>
              <w:rPr>
                <w:rFonts w:hint="eastAsia"/>
              </w:rPr>
              <w:t>-</w:t>
            </w:r>
          </w:p>
        </w:tc>
        <w:tc>
          <w:tcPr>
            <w:tcW w:w="2076" w:type="dxa"/>
            <w:vAlign w:val="center"/>
          </w:tcPr>
          <w:p w14:paraId="5D349447">
            <w:pPr>
              <w:jc w:val="right"/>
            </w:pPr>
            <w:r>
              <w:rPr>
                <w:rFonts w:hint="eastAsia"/>
              </w:rPr>
              <w:t>-</w:t>
            </w:r>
          </w:p>
        </w:tc>
      </w:tr>
      <w:tr w14:paraId="556D6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254C84">
            <w:pPr>
              <w:jc w:val="center"/>
            </w:pPr>
            <w:r>
              <w:rPr>
                <w:rFonts w:hint="eastAsia"/>
              </w:rPr>
              <w:t>4</w:t>
            </w:r>
          </w:p>
        </w:tc>
        <w:tc>
          <w:tcPr>
            <w:tcW w:w="2076" w:type="dxa"/>
            <w:vAlign w:val="center"/>
          </w:tcPr>
          <w:p w14:paraId="7F6DCB8F">
            <w:r>
              <w:rPr>
                <w:rFonts w:hint="eastAsia"/>
              </w:rPr>
              <w:t>金融衍生品投资</w:t>
            </w:r>
          </w:p>
        </w:tc>
        <w:tc>
          <w:tcPr>
            <w:tcW w:w="2076" w:type="dxa"/>
            <w:vAlign w:val="center"/>
          </w:tcPr>
          <w:p w14:paraId="20F9A813">
            <w:pPr>
              <w:jc w:val="right"/>
            </w:pPr>
            <w:r>
              <w:rPr>
                <w:rFonts w:hint="eastAsia"/>
              </w:rPr>
              <w:t>-</w:t>
            </w:r>
          </w:p>
        </w:tc>
        <w:tc>
          <w:tcPr>
            <w:tcW w:w="2076" w:type="dxa"/>
            <w:vAlign w:val="center"/>
          </w:tcPr>
          <w:p w14:paraId="0160183C">
            <w:pPr>
              <w:jc w:val="right"/>
            </w:pPr>
            <w:r>
              <w:rPr>
                <w:rFonts w:hint="eastAsia"/>
              </w:rPr>
              <w:t>-</w:t>
            </w:r>
          </w:p>
        </w:tc>
      </w:tr>
      <w:tr w14:paraId="358BA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6CE91F">
            <w:pPr>
              <w:jc w:val="center"/>
            </w:pPr>
          </w:p>
        </w:tc>
        <w:tc>
          <w:tcPr>
            <w:tcW w:w="2076" w:type="dxa"/>
            <w:vAlign w:val="center"/>
          </w:tcPr>
          <w:p w14:paraId="1E4E4831">
            <w:r>
              <w:rPr>
                <w:rFonts w:hint="eastAsia"/>
              </w:rPr>
              <w:t>其中：远期</w:t>
            </w:r>
          </w:p>
        </w:tc>
        <w:tc>
          <w:tcPr>
            <w:tcW w:w="2076" w:type="dxa"/>
            <w:vAlign w:val="center"/>
          </w:tcPr>
          <w:p w14:paraId="32B30B12">
            <w:pPr>
              <w:jc w:val="right"/>
            </w:pPr>
            <w:r>
              <w:rPr>
                <w:rFonts w:hint="eastAsia"/>
              </w:rPr>
              <w:t>-</w:t>
            </w:r>
          </w:p>
        </w:tc>
        <w:tc>
          <w:tcPr>
            <w:tcW w:w="2076" w:type="dxa"/>
            <w:vAlign w:val="center"/>
          </w:tcPr>
          <w:p w14:paraId="6956BF1C">
            <w:pPr>
              <w:jc w:val="right"/>
            </w:pPr>
            <w:r>
              <w:rPr>
                <w:rFonts w:hint="eastAsia"/>
              </w:rPr>
              <w:t>-</w:t>
            </w:r>
          </w:p>
        </w:tc>
      </w:tr>
      <w:tr w14:paraId="3A69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F33623">
            <w:pPr>
              <w:jc w:val="center"/>
            </w:pPr>
          </w:p>
        </w:tc>
        <w:tc>
          <w:tcPr>
            <w:tcW w:w="2076" w:type="dxa"/>
            <w:vAlign w:val="center"/>
          </w:tcPr>
          <w:p w14:paraId="22772D34">
            <w:r>
              <w:rPr>
                <w:rFonts w:hint="eastAsia"/>
              </w:rPr>
              <w:t xml:space="preserve">      期货</w:t>
            </w:r>
          </w:p>
        </w:tc>
        <w:tc>
          <w:tcPr>
            <w:tcW w:w="2076" w:type="dxa"/>
            <w:vAlign w:val="center"/>
          </w:tcPr>
          <w:p w14:paraId="77C63FB8">
            <w:pPr>
              <w:jc w:val="right"/>
            </w:pPr>
            <w:r>
              <w:rPr>
                <w:rFonts w:hint="eastAsia"/>
              </w:rPr>
              <w:t>-</w:t>
            </w:r>
          </w:p>
        </w:tc>
        <w:tc>
          <w:tcPr>
            <w:tcW w:w="2076" w:type="dxa"/>
            <w:vAlign w:val="center"/>
          </w:tcPr>
          <w:p w14:paraId="6CF0F29A">
            <w:pPr>
              <w:jc w:val="right"/>
            </w:pPr>
            <w:r>
              <w:rPr>
                <w:rFonts w:hint="eastAsia"/>
              </w:rPr>
              <w:t>-</w:t>
            </w:r>
          </w:p>
        </w:tc>
      </w:tr>
      <w:tr w14:paraId="4EE5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163084">
            <w:pPr>
              <w:jc w:val="center"/>
            </w:pPr>
          </w:p>
        </w:tc>
        <w:tc>
          <w:tcPr>
            <w:tcW w:w="2076" w:type="dxa"/>
            <w:vAlign w:val="center"/>
          </w:tcPr>
          <w:p w14:paraId="138AC9B3">
            <w:r>
              <w:rPr>
                <w:rFonts w:hint="eastAsia"/>
              </w:rPr>
              <w:t xml:space="preserve">      期权</w:t>
            </w:r>
          </w:p>
        </w:tc>
        <w:tc>
          <w:tcPr>
            <w:tcW w:w="2076" w:type="dxa"/>
            <w:vAlign w:val="center"/>
          </w:tcPr>
          <w:p w14:paraId="14B025AD">
            <w:pPr>
              <w:jc w:val="right"/>
            </w:pPr>
            <w:r>
              <w:rPr>
                <w:rFonts w:hint="eastAsia"/>
              </w:rPr>
              <w:t>-</w:t>
            </w:r>
          </w:p>
        </w:tc>
        <w:tc>
          <w:tcPr>
            <w:tcW w:w="2076" w:type="dxa"/>
            <w:vAlign w:val="center"/>
          </w:tcPr>
          <w:p w14:paraId="451A7F72">
            <w:pPr>
              <w:jc w:val="right"/>
            </w:pPr>
            <w:r>
              <w:rPr>
                <w:rFonts w:hint="eastAsia"/>
              </w:rPr>
              <w:t>-</w:t>
            </w:r>
          </w:p>
        </w:tc>
      </w:tr>
      <w:tr w14:paraId="6A7CB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891778">
            <w:pPr>
              <w:jc w:val="center"/>
            </w:pPr>
          </w:p>
        </w:tc>
        <w:tc>
          <w:tcPr>
            <w:tcW w:w="2076" w:type="dxa"/>
            <w:vAlign w:val="center"/>
          </w:tcPr>
          <w:p w14:paraId="5BB352C0">
            <w:r>
              <w:rPr>
                <w:rFonts w:hint="eastAsia"/>
              </w:rPr>
              <w:t xml:space="preserve">      权证</w:t>
            </w:r>
          </w:p>
        </w:tc>
        <w:tc>
          <w:tcPr>
            <w:tcW w:w="2076" w:type="dxa"/>
            <w:vAlign w:val="center"/>
          </w:tcPr>
          <w:p w14:paraId="70B22CB8">
            <w:pPr>
              <w:jc w:val="right"/>
            </w:pPr>
            <w:r>
              <w:rPr>
                <w:rFonts w:hint="eastAsia"/>
              </w:rPr>
              <w:t>-</w:t>
            </w:r>
          </w:p>
        </w:tc>
        <w:tc>
          <w:tcPr>
            <w:tcW w:w="2076" w:type="dxa"/>
            <w:vAlign w:val="center"/>
          </w:tcPr>
          <w:p w14:paraId="4AC90DAA">
            <w:pPr>
              <w:jc w:val="right"/>
            </w:pPr>
            <w:r>
              <w:rPr>
                <w:rFonts w:hint="eastAsia"/>
              </w:rPr>
              <w:t>-</w:t>
            </w:r>
          </w:p>
        </w:tc>
      </w:tr>
      <w:tr w14:paraId="5DCE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64B1C7">
            <w:pPr>
              <w:jc w:val="center"/>
            </w:pPr>
            <w:r>
              <w:rPr>
                <w:rFonts w:hint="eastAsia"/>
              </w:rPr>
              <w:t>5</w:t>
            </w:r>
          </w:p>
        </w:tc>
        <w:tc>
          <w:tcPr>
            <w:tcW w:w="2076" w:type="dxa"/>
            <w:vAlign w:val="center"/>
          </w:tcPr>
          <w:p w14:paraId="0A03C9F0">
            <w:r>
              <w:rPr>
                <w:rFonts w:hint="eastAsia"/>
              </w:rPr>
              <w:t>买入返售金融资产</w:t>
            </w:r>
          </w:p>
        </w:tc>
        <w:tc>
          <w:tcPr>
            <w:tcW w:w="2076" w:type="dxa"/>
            <w:vAlign w:val="center"/>
          </w:tcPr>
          <w:p w14:paraId="64F11DC1">
            <w:pPr>
              <w:jc w:val="right"/>
            </w:pPr>
            <w:r>
              <w:rPr>
                <w:rFonts w:hint="eastAsia"/>
              </w:rPr>
              <w:t>-</w:t>
            </w:r>
          </w:p>
        </w:tc>
        <w:tc>
          <w:tcPr>
            <w:tcW w:w="2076" w:type="dxa"/>
            <w:vAlign w:val="center"/>
          </w:tcPr>
          <w:p w14:paraId="7AD5FECC">
            <w:pPr>
              <w:jc w:val="right"/>
            </w:pPr>
            <w:r>
              <w:rPr>
                <w:rFonts w:hint="eastAsia"/>
              </w:rPr>
              <w:t>-</w:t>
            </w:r>
          </w:p>
        </w:tc>
      </w:tr>
      <w:tr w14:paraId="13D8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813CA7">
            <w:pPr>
              <w:jc w:val="center"/>
            </w:pPr>
          </w:p>
        </w:tc>
        <w:tc>
          <w:tcPr>
            <w:tcW w:w="2076" w:type="dxa"/>
            <w:vAlign w:val="center"/>
          </w:tcPr>
          <w:p w14:paraId="6B23D102">
            <w:r>
              <w:rPr>
                <w:rFonts w:hint="eastAsia"/>
              </w:rPr>
              <w:t>其中：买断式回购的买入返售金融资产</w:t>
            </w:r>
          </w:p>
        </w:tc>
        <w:tc>
          <w:tcPr>
            <w:tcW w:w="2076" w:type="dxa"/>
            <w:vAlign w:val="center"/>
          </w:tcPr>
          <w:p w14:paraId="6655814F">
            <w:pPr>
              <w:jc w:val="right"/>
            </w:pPr>
            <w:r>
              <w:rPr>
                <w:rFonts w:hint="eastAsia"/>
              </w:rPr>
              <w:t>-</w:t>
            </w:r>
          </w:p>
        </w:tc>
        <w:tc>
          <w:tcPr>
            <w:tcW w:w="2076" w:type="dxa"/>
            <w:vAlign w:val="center"/>
          </w:tcPr>
          <w:p w14:paraId="42A2EF99">
            <w:pPr>
              <w:jc w:val="right"/>
            </w:pPr>
            <w:r>
              <w:rPr>
                <w:rFonts w:hint="eastAsia"/>
              </w:rPr>
              <w:t>-</w:t>
            </w:r>
          </w:p>
        </w:tc>
      </w:tr>
      <w:tr w14:paraId="2136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171A55">
            <w:pPr>
              <w:jc w:val="center"/>
            </w:pPr>
            <w:r>
              <w:rPr>
                <w:rFonts w:hint="eastAsia"/>
              </w:rPr>
              <w:t>6</w:t>
            </w:r>
          </w:p>
        </w:tc>
        <w:tc>
          <w:tcPr>
            <w:tcW w:w="2076" w:type="dxa"/>
            <w:vAlign w:val="center"/>
          </w:tcPr>
          <w:p w14:paraId="5095AE77">
            <w:r>
              <w:rPr>
                <w:rFonts w:hint="eastAsia"/>
              </w:rPr>
              <w:t>货币市场工具</w:t>
            </w:r>
          </w:p>
        </w:tc>
        <w:tc>
          <w:tcPr>
            <w:tcW w:w="2076" w:type="dxa"/>
            <w:vAlign w:val="center"/>
          </w:tcPr>
          <w:p w14:paraId="2B24EE09">
            <w:pPr>
              <w:jc w:val="right"/>
            </w:pPr>
            <w:r>
              <w:rPr>
                <w:rFonts w:hint="eastAsia"/>
              </w:rPr>
              <w:t>-</w:t>
            </w:r>
          </w:p>
        </w:tc>
        <w:tc>
          <w:tcPr>
            <w:tcW w:w="2076" w:type="dxa"/>
            <w:vAlign w:val="center"/>
          </w:tcPr>
          <w:p w14:paraId="49E7AF4F">
            <w:pPr>
              <w:jc w:val="right"/>
            </w:pPr>
            <w:r>
              <w:rPr>
                <w:rFonts w:hint="eastAsia"/>
              </w:rPr>
              <w:t>-</w:t>
            </w:r>
          </w:p>
        </w:tc>
      </w:tr>
      <w:tr w14:paraId="102A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ED088A">
            <w:pPr>
              <w:jc w:val="center"/>
            </w:pPr>
            <w:r>
              <w:rPr>
                <w:rFonts w:hint="eastAsia"/>
              </w:rPr>
              <w:t>7</w:t>
            </w:r>
          </w:p>
        </w:tc>
        <w:tc>
          <w:tcPr>
            <w:tcW w:w="2076" w:type="dxa"/>
            <w:vAlign w:val="center"/>
          </w:tcPr>
          <w:p w14:paraId="24BBAEAC">
            <w:r>
              <w:rPr>
                <w:rFonts w:hint="eastAsia"/>
              </w:rPr>
              <w:t>银行存款和结算备付金合计</w:t>
            </w:r>
          </w:p>
        </w:tc>
        <w:tc>
          <w:tcPr>
            <w:tcW w:w="2076" w:type="dxa"/>
            <w:vAlign w:val="center"/>
          </w:tcPr>
          <w:p w14:paraId="35A2A095">
            <w:pPr>
              <w:jc w:val="right"/>
            </w:pPr>
            <w:r>
              <w:rPr>
                <w:rFonts w:hint="eastAsia"/>
              </w:rPr>
              <w:t>26,271,191.63</w:t>
            </w:r>
          </w:p>
        </w:tc>
        <w:tc>
          <w:tcPr>
            <w:tcW w:w="2076" w:type="dxa"/>
            <w:vAlign w:val="center"/>
          </w:tcPr>
          <w:p w14:paraId="248E0448">
            <w:pPr>
              <w:jc w:val="right"/>
            </w:pPr>
            <w:r>
              <w:rPr>
                <w:rFonts w:hint="eastAsia"/>
              </w:rPr>
              <w:t>9.10</w:t>
            </w:r>
          </w:p>
        </w:tc>
      </w:tr>
      <w:tr w14:paraId="39B8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B3EE06">
            <w:pPr>
              <w:jc w:val="center"/>
            </w:pPr>
            <w:r>
              <w:rPr>
                <w:rFonts w:hint="eastAsia"/>
              </w:rPr>
              <w:t>8</w:t>
            </w:r>
          </w:p>
        </w:tc>
        <w:tc>
          <w:tcPr>
            <w:tcW w:w="2076" w:type="dxa"/>
            <w:vAlign w:val="center"/>
          </w:tcPr>
          <w:p w14:paraId="1B28DC6E">
            <w:r>
              <w:rPr>
                <w:rFonts w:hint="eastAsia"/>
              </w:rPr>
              <w:t>其他各项资产</w:t>
            </w:r>
          </w:p>
        </w:tc>
        <w:tc>
          <w:tcPr>
            <w:tcW w:w="2076" w:type="dxa"/>
            <w:vAlign w:val="center"/>
          </w:tcPr>
          <w:p w14:paraId="7AF3B6BA">
            <w:pPr>
              <w:jc w:val="right"/>
            </w:pPr>
            <w:r>
              <w:rPr>
                <w:rFonts w:hint="eastAsia"/>
              </w:rPr>
              <w:t>8,196,837.42</w:t>
            </w:r>
          </w:p>
        </w:tc>
        <w:tc>
          <w:tcPr>
            <w:tcW w:w="2076" w:type="dxa"/>
            <w:vAlign w:val="center"/>
          </w:tcPr>
          <w:p w14:paraId="4BA38AD0">
            <w:pPr>
              <w:jc w:val="right"/>
            </w:pPr>
            <w:r>
              <w:rPr>
                <w:rFonts w:hint="eastAsia"/>
              </w:rPr>
              <w:t>2.84</w:t>
            </w:r>
          </w:p>
        </w:tc>
      </w:tr>
      <w:tr w14:paraId="205E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4ED4C9">
            <w:pPr>
              <w:jc w:val="center"/>
            </w:pPr>
            <w:r>
              <w:rPr>
                <w:rFonts w:hint="eastAsia"/>
              </w:rPr>
              <w:t>9</w:t>
            </w:r>
          </w:p>
        </w:tc>
        <w:tc>
          <w:tcPr>
            <w:tcW w:w="2076" w:type="dxa"/>
            <w:vAlign w:val="center"/>
          </w:tcPr>
          <w:p w14:paraId="44F3621D">
            <w:r>
              <w:rPr>
                <w:rFonts w:hint="eastAsia"/>
              </w:rPr>
              <w:t>合计</w:t>
            </w:r>
          </w:p>
        </w:tc>
        <w:tc>
          <w:tcPr>
            <w:tcW w:w="2076" w:type="dxa"/>
            <w:vAlign w:val="center"/>
          </w:tcPr>
          <w:p w14:paraId="1939AFD6">
            <w:pPr>
              <w:jc w:val="right"/>
            </w:pPr>
            <w:r>
              <w:rPr>
                <w:rFonts w:hint="eastAsia"/>
              </w:rPr>
              <w:t>288,717,902.71</w:t>
            </w:r>
          </w:p>
        </w:tc>
        <w:tc>
          <w:tcPr>
            <w:tcW w:w="2076" w:type="dxa"/>
            <w:vAlign w:val="center"/>
          </w:tcPr>
          <w:p w14:paraId="457507B8">
            <w:pPr>
              <w:jc w:val="right"/>
            </w:pPr>
            <w:r>
              <w:rPr>
                <w:rFonts w:hint="eastAsia"/>
              </w:rPr>
              <w:t>100.00</w:t>
            </w:r>
          </w:p>
        </w:tc>
      </w:tr>
    </w:tbl>
    <w:p w14:paraId="63929169">
      <w:pPr>
        <w:pStyle w:val="23"/>
      </w:pPr>
      <w:bookmarkStart w:id="161" w:name="_Toc28698"/>
      <w:r>
        <w:t>期末在各个国家（地区）证券市场的权益投资分布</w:t>
      </w:r>
      <w:bookmarkEnd w:id="161"/>
    </w:p>
    <w:p w14:paraId="22673B78">
      <w:pPr>
        <w:pStyle w:val="18"/>
        <w:rPr>
          <w:rFonts w:hint="eastAsia"/>
        </w:rPr>
      </w:pPr>
      <w:r>
        <w:rPr>
          <w:rFonts w:hint="eastAsia"/>
        </w:rPr>
        <w:t>本基金本报告期末未持有股票或存托凭证。</w:t>
      </w:r>
    </w:p>
    <w:p w14:paraId="6BEC7CC7">
      <w:pPr>
        <w:pStyle w:val="23"/>
      </w:pPr>
      <w:bookmarkStart w:id="162" w:name="_Toc22500"/>
      <w:r>
        <w:t>期末按行业分类的权益投资组合</w:t>
      </w:r>
      <w:bookmarkEnd w:id="162"/>
    </w:p>
    <w:p w14:paraId="63FD9A62">
      <w:pPr>
        <w:pStyle w:val="18"/>
        <w:rPr>
          <w:rFonts w:hint="eastAsia"/>
        </w:rPr>
      </w:pPr>
      <w:r>
        <w:rPr>
          <w:rFonts w:hint="eastAsia"/>
        </w:rPr>
        <w:t>无。</w:t>
      </w:r>
    </w:p>
    <w:p w14:paraId="0517B8CA">
      <w:pPr>
        <w:pStyle w:val="23"/>
      </w:pPr>
      <w:bookmarkStart w:id="163" w:name="_Toc14851"/>
      <w:r>
        <w:t>期末按公允价值占基金资产净值比例大小排序的权益投资明细</w:t>
      </w:r>
      <w:bookmarkEnd w:id="163"/>
    </w:p>
    <w:p w14:paraId="4E079E89">
      <w:pPr>
        <w:pStyle w:val="28"/>
      </w:pPr>
      <w:bookmarkStart w:id="164" w:name="_Toc164"/>
      <w:r>
        <w:t>期末按公允价值占基金资产净值比例大小排序的所有权益投资明细</w:t>
      </w:r>
      <w:bookmarkEnd w:id="164"/>
    </w:p>
    <w:p w14:paraId="4898CA07">
      <w:pPr>
        <w:pStyle w:val="18"/>
        <w:rPr>
          <w:rFonts w:hint="eastAsia"/>
        </w:rPr>
      </w:pPr>
      <w:r>
        <w:rPr>
          <w:rFonts w:hint="eastAsia"/>
        </w:rPr>
        <w:t>无。</w:t>
      </w:r>
    </w:p>
    <w:p w14:paraId="0EC55D90">
      <w:pPr>
        <w:pStyle w:val="23"/>
      </w:pPr>
      <w:bookmarkStart w:id="165" w:name="_Toc17502"/>
      <w:r>
        <w:t>报告期内权益投资组合的重大变动</w:t>
      </w:r>
      <w:bookmarkEnd w:id="165"/>
    </w:p>
    <w:p w14:paraId="6DFAE2DB">
      <w:pPr>
        <w:pStyle w:val="28"/>
      </w:pPr>
      <w:bookmarkStart w:id="166" w:name="_Toc166"/>
      <w:r>
        <w:t>累计买入金额超出期初基金资产净值2%或前20名的权益投资明细</w:t>
      </w:r>
      <w:bookmarkEnd w:id="166"/>
    </w:p>
    <w:p w14:paraId="595E1777">
      <w:pPr>
        <w:pStyle w:val="18"/>
        <w:rPr>
          <w:rFonts w:hint="eastAsia"/>
        </w:rPr>
      </w:pPr>
      <w:r>
        <w:rPr>
          <w:rFonts w:hint="eastAsia"/>
        </w:rPr>
        <w:t>无。</w:t>
      </w:r>
    </w:p>
    <w:p w14:paraId="33E37BFB">
      <w:pPr>
        <w:pStyle w:val="28"/>
      </w:pPr>
      <w:bookmarkStart w:id="167" w:name="_Toc167"/>
      <w:r>
        <w:t>累计卖出金额超出期初基金资产净值2%或前20名的权益投资明细</w:t>
      </w:r>
      <w:bookmarkEnd w:id="167"/>
    </w:p>
    <w:p w14:paraId="2EC274A1">
      <w:pPr>
        <w:pStyle w:val="18"/>
        <w:rPr>
          <w:rFonts w:hint="eastAsia"/>
        </w:rPr>
      </w:pPr>
      <w:r>
        <w:rPr>
          <w:rFonts w:hint="eastAsia"/>
        </w:rPr>
        <w:t>无。</w:t>
      </w:r>
    </w:p>
    <w:p w14:paraId="6F91B4AA">
      <w:pPr>
        <w:pStyle w:val="28"/>
      </w:pPr>
      <w:bookmarkStart w:id="168" w:name="_Toc168"/>
      <w:r>
        <w:t>权益投资的买入成本总额及卖出收入总额</w:t>
      </w:r>
      <w:bookmarkEnd w:id="168"/>
    </w:p>
    <w:p w14:paraId="0E562CD4">
      <w:pPr>
        <w:pStyle w:val="18"/>
        <w:rPr>
          <w:rFonts w:hint="eastAsia"/>
        </w:rPr>
      </w:pPr>
      <w:r>
        <w:rPr>
          <w:rFonts w:hint="eastAsia"/>
        </w:rPr>
        <w:t>无。</w:t>
      </w:r>
    </w:p>
    <w:p w14:paraId="391589EF">
      <w:pPr>
        <w:pStyle w:val="23"/>
      </w:pPr>
      <w:bookmarkStart w:id="169" w:name="_Toc23446"/>
      <w:r>
        <w:t>期末按债券信用等级分类的债券投资组合</w:t>
      </w:r>
      <w:bookmarkEnd w:id="169"/>
    </w:p>
    <w:p w14:paraId="4E0CAB28">
      <w:pPr>
        <w:pStyle w:val="18"/>
        <w:rPr>
          <w:rFonts w:hint="eastAsia"/>
        </w:rPr>
      </w:pPr>
      <w:r>
        <w:rPr>
          <w:rFonts w:hint="eastAsia"/>
        </w:rPr>
        <w:t>本基金本报告期末未持有债券。</w:t>
      </w:r>
    </w:p>
    <w:p w14:paraId="463EAFDD">
      <w:pPr>
        <w:pStyle w:val="23"/>
      </w:pPr>
      <w:bookmarkStart w:id="170" w:name="_Toc22977"/>
      <w:r>
        <w:t>期末按公允价值占基金资产净值比例大小排名的前五名债券投资明细</w:t>
      </w:r>
      <w:bookmarkEnd w:id="170"/>
    </w:p>
    <w:p w14:paraId="1CA1E963">
      <w:pPr>
        <w:pStyle w:val="18"/>
        <w:rPr>
          <w:rFonts w:hint="eastAsia"/>
        </w:rPr>
      </w:pPr>
      <w:r>
        <w:rPr>
          <w:rFonts w:hint="eastAsia"/>
        </w:rPr>
        <w:t>本基金本报告期末未持有债券。</w:t>
      </w:r>
    </w:p>
    <w:p w14:paraId="63BD60D9">
      <w:pPr>
        <w:pStyle w:val="23"/>
      </w:pPr>
      <w:bookmarkStart w:id="171" w:name="_Toc8123"/>
      <w:r>
        <w:t>期末按公允价值占基金资产净值比例大小排名的前十名资产支持证券投资明细</w:t>
      </w:r>
      <w:bookmarkEnd w:id="171"/>
    </w:p>
    <w:p w14:paraId="190B0413">
      <w:pPr>
        <w:pStyle w:val="18"/>
        <w:rPr>
          <w:rFonts w:hint="eastAsia"/>
        </w:rPr>
      </w:pPr>
      <w:r>
        <w:rPr>
          <w:rFonts w:hint="eastAsia"/>
        </w:rPr>
        <w:t>本基金本报告期末未持有资产支持证券。</w:t>
      </w:r>
    </w:p>
    <w:p w14:paraId="21A7D946">
      <w:pPr>
        <w:pStyle w:val="23"/>
      </w:pPr>
      <w:bookmarkStart w:id="172" w:name="_Toc10384"/>
      <w:r>
        <w:t>期末按公允价值占基金资产净值比例大小排名的前五名金融衍生品投资明细</w:t>
      </w:r>
      <w:bookmarkEnd w:id="172"/>
    </w:p>
    <w:p w14:paraId="10583074">
      <w:pPr>
        <w:pStyle w:val="18"/>
        <w:rPr>
          <w:rFonts w:hint="eastAsia"/>
        </w:rPr>
      </w:pPr>
      <w:r>
        <w:rPr>
          <w:rFonts w:hint="eastAsia"/>
        </w:rPr>
        <w:t>本基金本报告期末未持有金融衍生品。</w:t>
      </w:r>
    </w:p>
    <w:p w14:paraId="458E5E52">
      <w:pPr>
        <w:pStyle w:val="23"/>
      </w:pPr>
      <w:bookmarkStart w:id="173" w:name="_Toc26932"/>
      <w:r>
        <w:t>期末按公允价值占基金资产净值比例大小排序的前十名基金投资明细</w:t>
      </w:r>
      <w:bookmarkEnd w:id="173"/>
    </w:p>
    <w:p w14:paraId="7853C7D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8AB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7A3EF29D">
            <w:pPr>
              <w:jc w:val="center"/>
            </w:pPr>
            <w:r>
              <w:rPr>
                <w:rFonts w:hint="eastAsia"/>
                <w:b/>
              </w:rPr>
              <w:t>序号</w:t>
            </w:r>
          </w:p>
        </w:tc>
        <w:tc>
          <w:tcPr>
            <w:tcW w:w="1186" w:type="dxa"/>
            <w:shd w:val="clear" w:color="auto" w:fill="BFBFBF"/>
            <w:vAlign w:val="center"/>
          </w:tcPr>
          <w:p w14:paraId="375F46E5">
            <w:pPr>
              <w:jc w:val="center"/>
            </w:pPr>
            <w:r>
              <w:rPr>
                <w:rFonts w:hint="eastAsia"/>
                <w:b/>
              </w:rPr>
              <w:t>基金名称</w:t>
            </w:r>
          </w:p>
        </w:tc>
        <w:tc>
          <w:tcPr>
            <w:tcW w:w="1186" w:type="dxa"/>
            <w:shd w:val="clear" w:color="auto" w:fill="BFBFBF"/>
            <w:vAlign w:val="center"/>
          </w:tcPr>
          <w:p w14:paraId="3866A277">
            <w:pPr>
              <w:jc w:val="center"/>
            </w:pPr>
            <w:r>
              <w:rPr>
                <w:rFonts w:hint="eastAsia"/>
                <w:b/>
              </w:rPr>
              <w:t>基金类型</w:t>
            </w:r>
          </w:p>
        </w:tc>
        <w:tc>
          <w:tcPr>
            <w:tcW w:w="1186" w:type="dxa"/>
            <w:shd w:val="clear" w:color="auto" w:fill="BFBFBF"/>
            <w:vAlign w:val="center"/>
          </w:tcPr>
          <w:p w14:paraId="1A77BDFB">
            <w:pPr>
              <w:jc w:val="center"/>
            </w:pPr>
            <w:r>
              <w:rPr>
                <w:rFonts w:hint="eastAsia"/>
                <w:b/>
              </w:rPr>
              <w:t>运作方式</w:t>
            </w:r>
          </w:p>
        </w:tc>
        <w:tc>
          <w:tcPr>
            <w:tcW w:w="1186" w:type="dxa"/>
            <w:shd w:val="clear" w:color="auto" w:fill="BFBFBF"/>
            <w:vAlign w:val="center"/>
          </w:tcPr>
          <w:p w14:paraId="4EEA9F8E">
            <w:pPr>
              <w:jc w:val="center"/>
            </w:pPr>
            <w:r>
              <w:rPr>
                <w:rFonts w:hint="eastAsia"/>
                <w:b/>
              </w:rPr>
              <w:t>管理人</w:t>
            </w:r>
          </w:p>
        </w:tc>
        <w:tc>
          <w:tcPr>
            <w:tcW w:w="1186" w:type="dxa"/>
            <w:shd w:val="clear" w:color="auto" w:fill="BFBFBF"/>
            <w:vAlign w:val="center"/>
          </w:tcPr>
          <w:p w14:paraId="56672519">
            <w:pPr>
              <w:jc w:val="center"/>
            </w:pPr>
            <w:r>
              <w:rPr>
                <w:rFonts w:hint="eastAsia"/>
                <w:b/>
              </w:rPr>
              <w:t>公允价值（元）</w:t>
            </w:r>
          </w:p>
        </w:tc>
        <w:tc>
          <w:tcPr>
            <w:tcW w:w="1186" w:type="dxa"/>
            <w:shd w:val="clear" w:color="auto" w:fill="BFBFBF"/>
            <w:vAlign w:val="center"/>
          </w:tcPr>
          <w:p w14:paraId="75A2CF59">
            <w:pPr>
              <w:jc w:val="center"/>
            </w:pPr>
            <w:r>
              <w:rPr>
                <w:rFonts w:hint="eastAsia"/>
                <w:b/>
              </w:rPr>
              <w:t>占基金资产净值比例（%）</w:t>
            </w:r>
          </w:p>
        </w:tc>
      </w:tr>
      <w:tr w14:paraId="7B5A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5BFB5FD">
            <w:pPr>
              <w:jc w:val="center"/>
            </w:pPr>
            <w:r>
              <w:rPr>
                <w:rFonts w:hint="eastAsia"/>
              </w:rPr>
              <w:t>1</w:t>
            </w:r>
          </w:p>
        </w:tc>
        <w:tc>
          <w:tcPr>
            <w:tcW w:w="1186" w:type="dxa"/>
            <w:vAlign w:val="center"/>
          </w:tcPr>
          <w:p w14:paraId="3020B415">
            <w:r>
              <w:rPr>
                <w:rFonts w:hint="eastAsia"/>
              </w:rPr>
              <w:t>南方基金南方东英富时亚太低碳精选ETF(QDII)</w:t>
            </w:r>
          </w:p>
        </w:tc>
        <w:tc>
          <w:tcPr>
            <w:tcW w:w="1186" w:type="dxa"/>
            <w:vAlign w:val="center"/>
          </w:tcPr>
          <w:p w14:paraId="665FC415">
            <w:r>
              <w:rPr>
                <w:rFonts w:hint="eastAsia"/>
              </w:rPr>
              <w:t>ETF</w:t>
            </w:r>
          </w:p>
        </w:tc>
        <w:tc>
          <w:tcPr>
            <w:tcW w:w="1186" w:type="dxa"/>
            <w:vAlign w:val="center"/>
          </w:tcPr>
          <w:p w14:paraId="47C2100D">
            <w:r>
              <w:rPr>
                <w:rFonts w:hint="eastAsia"/>
              </w:rPr>
              <w:t>交易型开放式</w:t>
            </w:r>
          </w:p>
        </w:tc>
        <w:tc>
          <w:tcPr>
            <w:tcW w:w="1186" w:type="dxa"/>
            <w:vAlign w:val="center"/>
          </w:tcPr>
          <w:p w14:paraId="7D2F3F10">
            <w:r>
              <w:rPr>
                <w:rFonts w:hint="eastAsia"/>
              </w:rPr>
              <w:t>南方基金管理股份有限公司</w:t>
            </w:r>
          </w:p>
        </w:tc>
        <w:tc>
          <w:tcPr>
            <w:tcW w:w="1186" w:type="dxa"/>
            <w:vAlign w:val="center"/>
          </w:tcPr>
          <w:p w14:paraId="148DC599">
            <w:pPr>
              <w:jc w:val="right"/>
            </w:pPr>
            <w:r>
              <w:rPr>
                <w:rFonts w:hint="eastAsia"/>
              </w:rPr>
              <w:t>254,249,873.66</w:t>
            </w:r>
          </w:p>
        </w:tc>
        <w:tc>
          <w:tcPr>
            <w:tcW w:w="1186" w:type="dxa"/>
            <w:vAlign w:val="center"/>
          </w:tcPr>
          <w:p w14:paraId="4DBF6D95">
            <w:pPr>
              <w:jc w:val="right"/>
            </w:pPr>
            <w:r>
              <w:rPr>
                <w:rFonts w:hint="eastAsia"/>
              </w:rPr>
              <w:t>94.21</w:t>
            </w:r>
          </w:p>
        </w:tc>
      </w:tr>
    </w:tbl>
    <w:p w14:paraId="2C584DC8">
      <w:pPr>
        <w:pStyle w:val="23"/>
      </w:pPr>
      <w:bookmarkStart w:id="174" w:name="_Toc5005"/>
      <w:r>
        <w:t>投资组合报告附注</w:t>
      </w:r>
      <w:bookmarkEnd w:id="174"/>
    </w:p>
    <w:p w14:paraId="214F8040">
      <w:pPr>
        <w:pStyle w:val="28"/>
      </w:pPr>
      <w:bookmarkStart w:id="175" w:name="_Toc175"/>
      <w:r>
        <w:t>声明本基金投资的前十名证券的发行主体本期是否出现被监管部门立案调查，或在报告编制日前一年内受到公开谴责、处罚的情形。如是，还应对相关证券的投资决策程序做出说明</w:t>
      </w:r>
      <w:bookmarkEnd w:id="175"/>
    </w:p>
    <w:p w14:paraId="55A05D28">
      <w:pPr>
        <w:pStyle w:val="18"/>
        <w:rPr>
          <w:rFonts w:hint="eastAsia"/>
        </w:rPr>
      </w:pPr>
      <w:r>
        <w:rPr>
          <w:rFonts w:hint="eastAsia"/>
        </w:rPr>
        <w:t>报告期内基金投资的前十名证券的发行主体未有被监管部门立案调查，不存在报告编制日前一年内受到公开谴责、处罚的情形。</w:t>
      </w:r>
    </w:p>
    <w:p w14:paraId="5D904352">
      <w:pPr>
        <w:pStyle w:val="28"/>
      </w:pPr>
      <w:bookmarkStart w:id="176" w:name="_Toc176"/>
      <w:r>
        <w:t xml:space="preserve">声明基金投资的前十名股票是否超出基金合同规定的备选股票库。如是，还应对相关股票的投资决策程序做出说明 </w:t>
      </w:r>
      <w:bookmarkEnd w:id="176"/>
    </w:p>
    <w:p w14:paraId="02D755AB">
      <w:pPr>
        <w:pStyle w:val="18"/>
        <w:rPr>
          <w:rFonts w:hint="eastAsia"/>
        </w:rPr>
      </w:pPr>
      <w:r>
        <w:rPr>
          <w:rFonts w:hint="eastAsia"/>
        </w:rPr>
        <w:t>本基金投资的前十名股票（如有）没有超出基金合同规定的备选股票库，本基金管理人从制度和流程上要求股票必须先入库再买入。</w:t>
      </w:r>
    </w:p>
    <w:p w14:paraId="5524E868">
      <w:pPr>
        <w:pStyle w:val="28"/>
      </w:pPr>
      <w:bookmarkStart w:id="177" w:name="_Toc177"/>
      <w:r>
        <w:t>期末其他各项资产构成</w:t>
      </w:r>
      <w:bookmarkEnd w:id="177"/>
    </w:p>
    <w:p w14:paraId="578F81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942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6738A0E">
            <w:pPr>
              <w:jc w:val="center"/>
            </w:pPr>
            <w:r>
              <w:rPr>
                <w:rFonts w:hint="eastAsia"/>
                <w:b/>
              </w:rPr>
              <w:t>序号</w:t>
            </w:r>
          </w:p>
        </w:tc>
        <w:tc>
          <w:tcPr>
            <w:tcW w:w="2907" w:type="dxa"/>
            <w:shd w:val="clear" w:color="auto" w:fill="BFBFBF"/>
            <w:vAlign w:val="center"/>
          </w:tcPr>
          <w:p w14:paraId="23FCD631">
            <w:pPr>
              <w:jc w:val="center"/>
            </w:pPr>
            <w:r>
              <w:rPr>
                <w:rFonts w:hint="eastAsia"/>
                <w:b/>
              </w:rPr>
              <w:t>名称</w:t>
            </w:r>
          </w:p>
        </w:tc>
        <w:tc>
          <w:tcPr>
            <w:tcW w:w="4673" w:type="dxa"/>
            <w:shd w:val="clear" w:color="auto" w:fill="BFBFBF"/>
            <w:vAlign w:val="center"/>
          </w:tcPr>
          <w:p w14:paraId="70A19228">
            <w:pPr>
              <w:jc w:val="center"/>
            </w:pPr>
            <w:r>
              <w:rPr>
                <w:rFonts w:hint="eastAsia"/>
                <w:b/>
              </w:rPr>
              <w:t>金额（元）</w:t>
            </w:r>
          </w:p>
        </w:tc>
      </w:tr>
      <w:tr w14:paraId="7EB1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DFFE017">
            <w:pPr>
              <w:jc w:val="center"/>
            </w:pPr>
            <w:r>
              <w:rPr>
                <w:rFonts w:hint="eastAsia"/>
              </w:rPr>
              <w:t>1</w:t>
            </w:r>
          </w:p>
        </w:tc>
        <w:tc>
          <w:tcPr>
            <w:tcW w:w="2907" w:type="dxa"/>
            <w:vAlign w:val="center"/>
          </w:tcPr>
          <w:p w14:paraId="3EFE7CC7">
            <w:r>
              <w:rPr>
                <w:rFonts w:hint="eastAsia"/>
              </w:rPr>
              <w:t>存出保证金</w:t>
            </w:r>
          </w:p>
        </w:tc>
        <w:tc>
          <w:tcPr>
            <w:tcW w:w="4673" w:type="dxa"/>
            <w:vAlign w:val="center"/>
          </w:tcPr>
          <w:p w14:paraId="36C87307">
            <w:pPr>
              <w:jc w:val="right"/>
            </w:pPr>
            <w:r>
              <w:rPr>
                <w:rFonts w:hint="eastAsia"/>
              </w:rPr>
              <w:t>51,157.43</w:t>
            </w:r>
          </w:p>
        </w:tc>
      </w:tr>
      <w:tr w14:paraId="59B30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7698C9">
            <w:pPr>
              <w:jc w:val="center"/>
            </w:pPr>
            <w:r>
              <w:rPr>
                <w:rFonts w:hint="eastAsia"/>
              </w:rPr>
              <w:t>2</w:t>
            </w:r>
          </w:p>
        </w:tc>
        <w:tc>
          <w:tcPr>
            <w:tcW w:w="2907" w:type="dxa"/>
            <w:vAlign w:val="center"/>
          </w:tcPr>
          <w:p w14:paraId="03F5B505">
            <w:r>
              <w:rPr>
                <w:rFonts w:hint="eastAsia"/>
              </w:rPr>
              <w:t>应收清算款</w:t>
            </w:r>
          </w:p>
        </w:tc>
        <w:tc>
          <w:tcPr>
            <w:tcW w:w="4673" w:type="dxa"/>
            <w:vAlign w:val="center"/>
          </w:tcPr>
          <w:p w14:paraId="59FA7AF2">
            <w:pPr>
              <w:jc w:val="right"/>
            </w:pPr>
            <w:r>
              <w:rPr>
                <w:rFonts w:hint="eastAsia"/>
              </w:rPr>
              <w:t>2,499,867.99</w:t>
            </w:r>
          </w:p>
        </w:tc>
      </w:tr>
      <w:tr w14:paraId="7DE5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C19F30">
            <w:pPr>
              <w:jc w:val="center"/>
            </w:pPr>
            <w:r>
              <w:rPr>
                <w:rFonts w:hint="eastAsia"/>
              </w:rPr>
              <w:t>3</w:t>
            </w:r>
          </w:p>
        </w:tc>
        <w:tc>
          <w:tcPr>
            <w:tcW w:w="2907" w:type="dxa"/>
            <w:vAlign w:val="center"/>
          </w:tcPr>
          <w:p w14:paraId="6CAA11E4">
            <w:r>
              <w:rPr>
                <w:rFonts w:hint="eastAsia"/>
              </w:rPr>
              <w:t>应收股利</w:t>
            </w:r>
          </w:p>
        </w:tc>
        <w:tc>
          <w:tcPr>
            <w:tcW w:w="4673" w:type="dxa"/>
            <w:vAlign w:val="center"/>
          </w:tcPr>
          <w:p w14:paraId="31724342">
            <w:pPr>
              <w:jc w:val="right"/>
            </w:pPr>
            <w:r>
              <w:rPr>
                <w:rFonts w:hint="eastAsia"/>
              </w:rPr>
              <w:t>-</w:t>
            </w:r>
          </w:p>
        </w:tc>
      </w:tr>
      <w:tr w14:paraId="70D1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4E99B5A">
            <w:pPr>
              <w:jc w:val="center"/>
            </w:pPr>
            <w:r>
              <w:rPr>
                <w:rFonts w:hint="eastAsia"/>
              </w:rPr>
              <w:t>4</w:t>
            </w:r>
          </w:p>
        </w:tc>
        <w:tc>
          <w:tcPr>
            <w:tcW w:w="2907" w:type="dxa"/>
            <w:vAlign w:val="center"/>
          </w:tcPr>
          <w:p w14:paraId="2BFC6183">
            <w:r>
              <w:rPr>
                <w:rFonts w:hint="eastAsia"/>
              </w:rPr>
              <w:t>应收利息</w:t>
            </w:r>
          </w:p>
        </w:tc>
        <w:tc>
          <w:tcPr>
            <w:tcW w:w="4673" w:type="dxa"/>
            <w:vAlign w:val="center"/>
          </w:tcPr>
          <w:p w14:paraId="44281376">
            <w:pPr>
              <w:jc w:val="right"/>
            </w:pPr>
            <w:r>
              <w:rPr>
                <w:rFonts w:hint="eastAsia"/>
              </w:rPr>
              <w:t>-</w:t>
            </w:r>
          </w:p>
        </w:tc>
      </w:tr>
      <w:tr w14:paraId="565E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D00141">
            <w:pPr>
              <w:jc w:val="center"/>
            </w:pPr>
            <w:r>
              <w:rPr>
                <w:rFonts w:hint="eastAsia"/>
              </w:rPr>
              <w:t>5</w:t>
            </w:r>
          </w:p>
        </w:tc>
        <w:tc>
          <w:tcPr>
            <w:tcW w:w="2907" w:type="dxa"/>
            <w:vAlign w:val="center"/>
          </w:tcPr>
          <w:p w14:paraId="65762355">
            <w:r>
              <w:rPr>
                <w:rFonts w:hint="eastAsia"/>
              </w:rPr>
              <w:t>应收申购款</w:t>
            </w:r>
          </w:p>
        </w:tc>
        <w:tc>
          <w:tcPr>
            <w:tcW w:w="4673" w:type="dxa"/>
            <w:vAlign w:val="center"/>
          </w:tcPr>
          <w:p w14:paraId="51E3D25C">
            <w:pPr>
              <w:jc w:val="right"/>
            </w:pPr>
            <w:r>
              <w:rPr>
                <w:rFonts w:hint="eastAsia"/>
              </w:rPr>
              <w:t>5,645,812.00</w:t>
            </w:r>
          </w:p>
        </w:tc>
      </w:tr>
      <w:tr w14:paraId="41E6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679247">
            <w:pPr>
              <w:jc w:val="center"/>
            </w:pPr>
            <w:r>
              <w:rPr>
                <w:rFonts w:hint="eastAsia"/>
              </w:rPr>
              <w:t>6</w:t>
            </w:r>
          </w:p>
        </w:tc>
        <w:tc>
          <w:tcPr>
            <w:tcW w:w="2907" w:type="dxa"/>
            <w:vAlign w:val="center"/>
          </w:tcPr>
          <w:p w14:paraId="0B17E488">
            <w:r>
              <w:rPr>
                <w:rFonts w:hint="eastAsia"/>
              </w:rPr>
              <w:t>其他应收款</w:t>
            </w:r>
          </w:p>
        </w:tc>
        <w:tc>
          <w:tcPr>
            <w:tcW w:w="4673" w:type="dxa"/>
            <w:vAlign w:val="center"/>
          </w:tcPr>
          <w:p w14:paraId="6B61796F">
            <w:pPr>
              <w:jc w:val="right"/>
            </w:pPr>
            <w:r>
              <w:rPr>
                <w:rFonts w:hint="eastAsia"/>
              </w:rPr>
              <w:t>-</w:t>
            </w:r>
          </w:p>
        </w:tc>
      </w:tr>
      <w:tr w14:paraId="038F2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8C5C6F">
            <w:pPr>
              <w:jc w:val="center"/>
            </w:pPr>
            <w:r>
              <w:rPr>
                <w:rFonts w:hint="eastAsia"/>
              </w:rPr>
              <w:t>7</w:t>
            </w:r>
          </w:p>
        </w:tc>
        <w:tc>
          <w:tcPr>
            <w:tcW w:w="2907" w:type="dxa"/>
            <w:vAlign w:val="center"/>
          </w:tcPr>
          <w:p w14:paraId="469B708F">
            <w:r>
              <w:rPr>
                <w:rFonts w:hint="eastAsia"/>
              </w:rPr>
              <w:t>待摊费用</w:t>
            </w:r>
          </w:p>
        </w:tc>
        <w:tc>
          <w:tcPr>
            <w:tcW w:w="4673" w:type="dxa"/>
            <w:vAlign w:val="center"/>
          </w:tcPr>
          <w:p w14:paraId="1FBE4AB6">
            <w:pPr>
              <w:jc w:val="right"/>
            </w:pPr>
            <w:r>
              <w:rPr>
                <w:rFonts w:hint="eastAsia"/>
              </w:rPr>
              <w:t>-</w:t>
            </w:r>
          </w:p>
        </w:tc>
      </w:tr>
      <w:tr w14:paraId="25A4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F0353D0">
            <w:pPr>
              <w:jc w:val="center"/>
            </w:pPr>
            <w:r>
              <w:rPr>
                <w:rFonts w:hint="eastAsia"/>
              </w:rPr>
              <w:t>8</w:t>
            </w:r>
          </w:p>
        </w:tc>
        <w:tc>
          <w:tcPr>
            <w:tcW w:w="2907" w:type="dxa"/>
            <w:vAlign w:val="center"/>
          </w:tcPr>
          <w:p w14:paraId="69EA8A3F">
            <w:r>
              <w:rPr>
                <w:rFonts w:hint="eastAsia"/>
              </w:rPr>
              <w:t>其他</w:t>
            </w:r>
          </w:p>
        </w:tc>
        <w:tc>
          <w:tcPr>
            <w:tcW w:w="4673" w:type="dxa"/>
            <w:vAlign w:val="center"/>
          </w:tcPr>
          <w:p w14:paraId="3C6F1DBE">
            <w:pPr>
              <w:jc w:val="right"/>
            </w:pPr>
            <w:r>
              <w:rPr>
                <w:rFonts w:hint="eastAsia"/>
              </w:rPr>
              <w:t>-</w:t>
            </w:r>
          </w:p>
        </w:tc>
      </w:tr>
      <w:tr w14:paraId="198BD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AFB8E3">
            <w:pPr>
              <w:jc w:val="center"/>
            </w:pPr>
            <w:r>
              <w:rPr>
                <w:rFonts w:hint="eastAsia"/>
              </w:rPr>
              <w:t>9</w:t>
            </w:r>
          </w:p>
        </w:tc>
        <w:tc>
          <w:tcPr>
            <w:tcW w:w="2907" w:type="dxa"/>
            <w:vAlign w:val="center"/>
          </w:tcPr>
          <w:p w14:paraId="3E54277B">
            <w:r>
              <w:rPr>
                <w:rFonts w:hint="eastAsia"/>
              </w:rPr>
              <w:t>合计</w:t>
            </w:r>
          </w:p>
        </w:tc>
        <w:tc>
          <w:tcPr>
            <w:tcW w:w="4673" w:type="dxa"/>
            <w:vAlign w:val="center"/>
          </w:tcPr>
          <w:p w14:paraId="66ECC852">
            <w:pPr>
              <w:jc w:val="right"/>
            </w:pPr>
            <w:r>
              <w:rPr>
                <w:rFonts w:hint="eastAsia"/>
              </w:rPr>
              <w:t>8,196,837.42</w:t>
            </w:r>
          </w:p>
        </w:tc>
      </w:tr>
    </w:tbl>
    <w:p w14:paraId="7F6218EC">
      <w:pPr>
        <w:pStyle w:val="28"/>
      </w:pPr>
      <w:bookmarkStart w:id="178" w:name="_Toc178"/>
      <w:r>
        <w:t>期末持有的处于转股期的可转换债券明细</w:t>
      </w:r>
      <w:bookmarkEnd w:id="178"/>
    </w:p>
    <w:p w14:paraId="34AD40FD">
      <w:pPr>
        <w:pStyle w:val="18"/>
        <w:rPr>
          <w:rFonts w:hint="eastAsia"/>
        </w:rPr>
      </w:pPr>
      <w:r>
        <w:rPr>
          <w:rFonts w:hint="eastAsia"/>
        </w:rPr>
        <w:t>本基金本报告期末未持有处于转股期的可转换债券。</w:t>
      </w:r>
    </w:p>
    <w:p w14:paraId="59D7A35D">
      <w:pPr>
        <w:pStyle w:val="28"/>
      </w:pPr>
      <w:bookmarkStart w:id="179" w:name="_Toc179"/>
      <w:r>
        <w:t>期末前十名股票中存在流通受限情况的说明</w:t>
      </w:r>
      <w:bookmarkEnd w:id="179"/>
    </w:p>
    <w:p w14:paraId="27566BFB">
      <w:pPr>
        <w:pStyle w:val="18"/>
        <w:rPr>
          <w:rFonts w:hint="eastAsia"/>
        </w:rPr>
      </w:pPr>
      <w:r>
        <w:rPr>
          <w:rFonts w:hint="eastAsia"/>
        </w:rPr>
        <w:t>无。</w:t>
      </w:r>
    </w:p>
    <w:p w14:paraId="3F7C8E81">
      <w:pPr>
        <w:pStyle w:val="26"/>
      </w:pPr>
      <w:bookmarkStart w:id="180" w:name="_Toc5795"/>
      <w:r>
        <w:t>基金份额持有人信息</w:t>
      </w:r>
      <w:bookmarkEnd w:id="180"/>
    </w:p>
    <w:p w14:paraId="2700ED1B">
      <w:pPr>
        <w:pStyle w:val="23"/>
      </w:pPr>
      <w:bookmarkStart w:id="181" w:name="_Toc29231"/>
      <w:r>
        <w:t>期末基金份额持有人户数及持有人结构</w:t>
      </w:r>
      <w:bookmarkEnd w:id="181"/>
    </w:p>
    <w:p w14:paraId="2FB1440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1B3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219B730">
            <w:pPr>
              <w:jc w:val="center"/>
            </w:pPr>
            <w:r>
              <w:rPr>
                <w:rFonts w:hint="eastAsia"/>
                <w:b/>
              </w:rPr>
              <w:t>份额级别</w:t>
            </w:r>
          </w:p>
        </w:tc>
        <w:tc>
          <w:tcPr>
            <w:tcW w:w="1186" w:type="dxa"/>
            <w:vMerge w:val="restart"/>
            <w:shd w:val="clear" w:color="auto" w:fill="BFBFBF"/>
            <w:vAlign w:val="center"/>
          </w:tcPr>
          <w:p w14:paraId="7634B4B9">
            <w:pPr>
              <w:jc w:val="center"/>
            </w:pPr>
            <w:r>
              <w:rPr>
                <w:rFonts w:hint="eastAsia"/>
                <w:b/>
              </w:rPr>
              <w:t>持有人户数（户）</w:t>
            </w:r>
          </w:p>
        </w:tc>
        <w:tc>
          <w:tcPr>
            <w:tcW w:w="1186" w:type="dxa"/>
            <w:vMerge w:val="restart"/>
            <w:shd w:val="clear" w:color="auto" w:fill="BFBFBF"/>
            <w:vAlign w:val="center"/>
          </w:tcPr>
          <w:p w14:paraId="037CADAC">
            <w:pPr>
              <w:jc w:val="center"/>
            </w:pPr>
            <w:r>
              <w:rPr>
                <w:rFonts w:hint="eastAsia"/>
                <w:b/>
              </w:rPr>
              <w:t>户均持有的基金份额</w:t>
            </w:r>
          </w:p>
        </w:tc>
        <w:tc>
          <w:tcPr>
            <w:tcW w:w="1186" w:type="dxa"/>
            <w:gridSpan w:val="4"/>
            <w:shd w:val="clear" w:color="auto" w:fill="BFBFBF"/>
            <w:vAlign w:val="center"/>
          </w:tcPr>
          <w:p w14:paraId="5DA5A09E">
            <w:pPr>
              <w:jc w:val="center"/>
            </w:pPr>
            <w:r>
              <w:rPr>
                <w:rFonts w:hint="eastAsia"/>
                <w:b/>
              </w:rPr>
              <w:t>持有人结构</w:t>
            </w:r>
          </w:p>
        </w:tc>
      </w:tr>
      <w:tr w14:paraId="27D3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B9A3DB9"/>
        </w:tc>
        <w:tc>
          <w:tcPr>
            <w:tcW w:w="1186" w:type="dxa"/>
            <w:vMerge w:val="continue"/>
            <w:vAlign w:val="center"/>
          </w:tcPr>
          <w:p w14:paraId="5C34221A"/>
        </w:tc>
        <w:tc>
          <w:tcPr>
            <w:tcW w:w="1186" w:type="dxa"/>
            <w:vMerge w:val="continue"/>
            <w:vAlign w:val="center"/>
          </w:tcPr>
          <w:p w14:paraId="68AC0F5E"/>
        </w:tc>
        <w:tc>
          <w:tcPr>
            <w:tcW w:w="1186" w:type="dxa"/>
            <w:gridSpan w:val="2"/>
            <w:shd w:val="clear" w:color="auto" w:fill="BFBFBF"/>
            <w:vAlign w:val="center"/>
          </w:tcPr>
          <w:p w14:paraId="4951F130">
            <w:pPr>
              <w:jc w:val="center"/>
            </w:pPr>
            <w:r>
              <w:rPr>
                <w:rFonts w:hint="eastAsia"/>
                <w:b/>
              </w:rPr>
              <w:t>机构投资者</w:t>
            </w:r>
          </w:p>
        </w:tc>
        <w:tc>
          <w:tcPr>
            <w:tcW w:w="1186" w:type="dxa"/>
            <w:gridSpan w:val="2"/>
            <w:shd w:val="clear" w:color="auto" w:fill="BFBFBF"/>
            <w:vAlign w:val="center"/>
          </w:tcPr>
          <w:p w14:paraId="417F79B0">
            <w:pPr>
              <w:jc w:val="center"/>
            </w:pPr>
            <w:r>
              <w:rPr>
                <w:rFonts w:hint="eastAsia"/>
                <w:b/>
              </w:rPr>
              <w:t>个人投资者</w:t>
            </w:r>
          </w:p>
        </w:tc>
      </w:tr>
      <w:tr w14:paraId="7468E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1271795"/>
        </w:tc>
        <w:tc>
          <w:tcPr>
            <w:tcW w:w="1186" w:type="dxa"/>
            <w:vMerge w:val="continue"/>
            <w:vAlign w:val="center"/>
          </w:tcPr>
          <w:p w14:paraId="5D880FEA"/>
        </w:tc>
        <w:tc>
          <w:tcPr>
            <w:tcW w:w="1186" w:type="dxa"/>
            <w:vMerge w:val="continue"/>
            <w:vAlign w:val="center"/>
          </w:tcPr>
          <w:p w14:paraId="7087F1E1"/>
        </w:tc>
        <w:tc>
          <w:tcPr>
            <w:tcW w:w="1186" w:type="dxa"/>
            <w:shd w:val="clear" w:color="auto" w:fill="BFBFBF"/>
            <w:vAlign w:val="center"/>
          </w:tcPr>
          <w:p w14:paraId="21788430">
            <w:pPr>
              <w:jc w:val="center"/>
            </w:pPr>
            <w:r>
              <w:rPr>
                <w:rFonts w:hint="eastAsia"/>
                <w:b/>
              </w:rPr>
              <w:t>持有份额</w:t>
            </w:r>
          </w:p>
        </w:tc>
        <w:tc>
          <w:tcPr>
            <w:tcW w:w="1186" w:type="dxa"/>
            <w:shd w:val="clear" w:color="auto" w:fill="BFBFBF"/>
            <w:vAlign w:val="center"/>
          </w:tcPr>
          <w:p w14:paraId="31D8E2EC">
            <w:pPr>
              <w:jc w:val="center"/>
            </w:pPr>
            <w:r>
              <w:rPr>
                <w:rFonts w:hint="eastAsia"/>
                <w:b/>
              </w:rPr>
              <w:t>占总份额比例</w:t>
            </w:r>
          </w:p>
        </w:tc>
        <w:tc>
          <w:tcPr>
            <w:tcW w:w="1186" w:type="dxa"/>
            <w:shd w:val="clear" w:color="auto" w:fill="BFBFBF"/>
            <w:vAlign w:val="center"/>
          </w:tcPr>
          <w:p w14:paraId="1E784041">
            <w:pPr>
              <w:jc w:val="center"/>
            </w:pPr>
            <w:r>
              <w:rPr>
                <w:rFonts w:hint="eastAsia"/>
                <w:b/>
              </w:rPr>
              <w:t>持有份额</w:t>
            </w:r>
          </w:p>
        </w:tc>
        <w:tc>
          <w:tcPr>
            <w:tcW w:w="1186" w:type="dxa"/>
            <w:shd w:val="clear" w:color="auto" w:fill="BFBFBF"/>
            <w:vAlign w:val="center"/>
          </w:tcPr>
          <w:p w14:paraId="0F5CD752">
            <w:pPr>
              <w:jc w:val="center"/>
            </w:pPr>
            <w:r>
              <w:rPr>
                <w:rFonts w:hint="eastAsia"/>
                <w:b/>
              </w:rPr>
              <w:t>占总份额比例</w:t>
            </w:r>
          </w:p>
        </w:tc>
      </w:tr>
      <w:tr w14:paraId="1150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AACAC19">
            <w:r>
              <w:rPr>
                <w:rFonts w:hint="eastAsia"/>
              </w:rPr>
              <w:t>南方富时亚太低碳精选ETF发起联接（QDII）A</w:t>
            </w:r>
          </w:p>
        </w:tc>
        <w:tc>
          <w:tcPr>
            <w:tcW w:w="1186" w:type="dxa"/>
            <w:vAlign w:val="center"/>
          </w:tcPr>
          <w:p w14:paraId="1EC883D6">
            <w:pPr>
              <w:jc w:val="right"/>
            </w:pPr>
            <w:r>
              <w:rPr>
                <w:rFonts w:hint="eastAsia"/>
              </w:rPr>
              <w:t>9,776</w:t>
            </w:r>
          </w:p>
        </w:tc>
        <w:tc>
          <w:tcPr>
            <w:tcW w:w="1186" w:type="dxa"/>
            <w:vAlign w:val="center"/>
          </w:tcPr>
          <w:p w14:paraId="52C6BEB7">
            <w:pPr>
              <w:jc w:val="right"/>
            </w:pPr>
            <w:r>
              <w:rPr>
                <w:rFonts w:hint="eastAsia"/>
              </w:rPr>
              <w:t>5,228.55</w:t>
            </w:r>
          </w:p>
        </w:tc>
        <w:tc>
          <w:tcPr>
            <w:tcW w:w="1186" w:type="dxa"/>
            <w:vAlign w:val="center"/>
          </w:tcPr>
          <w:p w14:paraId="29A3FD93">
            <w:pPr>
              <w:jc w:val="right"/>
            </w:pPr>
            <w:r>
              <w:rPr>
                <w:rFonts w:hint="eastAsia"/>
              </w:rPr>
              <w:t>12,976,517.80</w:t>
            </w:r>
          </w:p>
        </w:tc>
        <w:tc>
          <w:tcPr>
            <w:tcW w:w="1186" w:type="dxa"/>
            <w:vAlign w:val="center"/>
          </w:tcPr>
          <w:p w14:paraId="05CEE520">
            <w:pPr>
              <w:jc w:val="right"/>
            </w:pPr>
            <w:r>
              <w:rPr>
                <w:rFonts w:hint="eastAsia"/>
              </w:rPr>
              <w:t>25.39%</w:t>
            </w:r>
          </w:p>
        </w:tc>
        <w:tc>
          <w:tcPr>
            <w:tcW w:w="1186" w:type="dxa"/>
            <w:vAlign w:val="center"/>
          </w:tcPr>
          <w:p w14:paraId="7B2D762A">
            <w:pPr>
              <w:jc w:val="right"/>
            </w:pPr>
            <w:r>
              <w:rPr>
                <w:rFonts w:hint="eastAsia"/>
              </w:rPr>
              <w:t>38,137,782.25</w:t>
            </w:r>
          </w:p>
        </w:tc>
        <w:tc>
          <w:tcPr>
            <w:tcW w:w="1186" w:type="dxa"/>
            <w:vAlign w:val="center"/>
          </w:tcPr>
          <w:p w14:paraId="07BB2120">
            <w:pPr>
              <w:jc w:val="right"/>
            </w:pPr>
            <w:r>
              <w:rPr>
                <w:rFonts w:hint="eastAsia"/>
              </w:rPr>
              <w:t>74.61%</w:t>
            </w:r>
          </w:p>
        </w:tc>
      </w:tr>
      <w:tr w14:paraId="434F4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E896055">
            <w:r>
              <w:rPr>
                <w:rFonts w:hint="eastAsia"/>
              </w:rPr>
              <w:t>南方富时亚太低碳精选ETF发起联接（QDII）C</w:t>
            </w:r>
          </w:p>
        </w:tc>
        <w:tc>
          <w:tcPr>
            <w:tcW w:w="1186" w:type="dxa"/>
            <w:vAlign w:val="center"/>
          </w:tcPr>
          <w:p w14:paraId="53A3A81D">
            <w:pPr>
              <w:jc w:val="right"/>
            </w:pPr>
            <w:r>
              <w:rPr>
                <w:rFonts w:hint="eastAsia"/>
              </w:rPr>
              <w:t>43,812</w:t>
            </w:r>
          </w:p>
        </w:tc>
        <w:tc>
          <w:tcPr>
            <w:tcW w:w="1186" w:type="dxa"/>
            <w:vAlign w:val="center"/>
          </w:tcPr>
          <w:p w14:paraId="369EAEC3">
            <w:pPr>
              <w:jc w:val="right"/>
            </w:pPr>
            <w:r>
              <w:rPr>
                <w:rFonts w:hint="eastAsia"/>
              </w:rPr>
              <w:t>3,820.87</w:t>
            </w:r>
          </w:p>
        </w:tc>
        <w:tc>
          <w:tcPr>
            <w:tcW w:w="1186" w:type="dxa"/>
            <w:vAlign w:val="center"/>
          </w:tcPr>
          <w:p w14:paraId="7FDA264E">
            <w:pPr>
              <w:jc w:val="right"/>
            </w:pPr>
            <w:r>
              <w:rPr>
                <w:rFonts w:hint="eastAsia"/>
              </w:rPr>
              <w:t>1,954,103.71</w:t>
            </w:r>
          </w:p>
        </w:tc>
        <w:tc>
          <w:tcPr>
            <w:tcW w:w="1186" w:type="dxa"/>
            <w:vAlign w:val="center"/>
          </w:tcPr>
          <w:p w14:paraId="51A8DD89">
            <w:pPr>
              <w:jc w:val="right"/>
            </w:pPr>
            <w:r>
              <w:rPr>
                <w:rFonts w:hint="eastAsia"/>
              </w:rPr>
              <w:t>1.17%</w:t>
            </w:r>
          </w:p>
        </w:tc>
        <w:tc>
          <w:tcPr>
            <w:tcW w:w="1186" w:type="dxa"/>
            <w:vAlign w:val="center"/>
          </w:tcPr>
          <w:p w14:paraId="1C2BB3F1">
            <w:pPr>
              <w:jc w:val="right"/>
            </w:pPr>
            <w:r>
              <w:rPr>
                <w:rFonts w:hint="eastAsia"/>
              </w:rPr>
              <w:t>165,445,994.92</w:t>
            </w:r>
          </w:p>
        </w:tc>
        <w:tc>
          <w:tcPr>
            <w:tcW w:w="1186" w:type="dxa"/>
            <w:vAlign w:val="center"/>
          </w:tcPr>
          <w:p w14:paraId="15B69015">
            <w:pPr>
              <w:jc w:val="right"/>
            </w:pPr>
            <w:r>
              <w:rPr>
                <w:rFonts w:hint="eastAsia"/>
              </w:rPr>
              <w:t>98.83%</w:t>
            </w:r>
          </w:p>
        </w:tc>
      </w:tr>
      <w:tr w14:paraId="053A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68AF0F3">
            <w:r>
              <w:rPr>
                <w:rFonts w:hint="eastAsia"/>
              </w:rPr>
              <w:t>合计</w:t>
            </w:r>
          </w:p>
        </w:tc>
        <w:tc>
          <w:tcPr>
            <w:tcW w:w="1186" w:type="dxa"/>
            <w:vAlign w:val="center"/>
          </w:tcPr>
          <w:p w14:paraId="11C0B010">
            <w:pPr>
              <w:jc w:val="right"/>
            </w:pPr>
            <w:r>
              <w:rPr>
                <w:rFonts w:hint="eastAsia"/>
              </w:rPr>
              <w:t>53,588</w:t>
            </w:r>
          </w:p>
        </w:tc>
        <w:tc>
          <w:tcPr>
            <w:tcW w:w="1186" w:type="dxa"/>
            <w:vAlign w:val="center"/>
          </w:tcPr>
          <w:p w14:paraId="6FCD8C83">
            <w:pPr>
              <w:jc w:val="right"/>
            </w:pPr>
            <w:r>
              <w:rPr>
                <w:rFonts w:hint="eastAsia"/>
              </w:rPr>
              <w:t>4,077.67</w:t>
            </w:r>
          </w:p>
        </w:tc>
        <w:tc>
          <w:tcPr>
            <w:tcW w:w="1186" w:type="dxa"/>
            <w:vAlign w:val="center"/>
          </w:tcPr>
          <w:p w14:paraId="3D6C1382">
            <w:pPr>
              <w:jc w:val="right"/>
            </w:pPr>
            <w:r>
              <w:rPr>
                <w:rFonts w:hint="eastAsia"/>
              </w:rPr>
              <w:t>14,930,621.51</w:t>
            </w:r>
          </w:p>
        </w:tc>
        <w:tc>
          <w:tcPr>
            <w:tcW w:w="1186" w:type="dxa"/>
            <w:vAlign w:val="center"/>
          </w:tcPr>
          <w:p w14:paraId="2A6282F1">
            <w:pPr>
              <w:jc w:val="right"/>
            </w:pPr>
            <w:r>
              <w:rPr>
                <w:rFonts w:hint="eastAsia"/>
              </w:rPr>
              <w:t>6.83%</w:t>
            </w:r>
          </w:p>
        </w:tc>
        <w:tc>
          <w:tcPr>
            <w:tcW w:w="1186" w:type="dxa"/>
            <w:vAlign w:val="center"/>
          </w:tcPr>
          <w:p w14:paraId="4110D31A">
            <w:pPr>
              <w:jc w:val="right"/>
            </w:pPr>
            <w:r>
              <w:rPr>
                <w:rFonts w:hint="eastAsia"/>
              </w:rPr>
              <w:t>203,583,777.17</w:t>
            </w:r>
          </w:p>
        </w:tc>
        <w:tc>
          <w:tcPr>
            <w:tcW w:w="1186" w:type="dxa"/>
            <w:vAlign w:val="center"/>
          </w:tcPr>
          <w:p w14:paraId="6A9D2E3A">
            <w:pPr>
              <w:jc w:val="right"/>
            </w:pPr>
            <w:r>
              <w:rPr>
                <w:rFonts w:hint="eastAsia"/>
              </w:rPr>
              <w:t>93.17%</w:t>
            </w:r>
          </w:p>
        </w:tc>
      </w:tr>
    </w:tbl>
    <w:p w14:paraId="353F7CA8">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373CE24">
      <w:pPr>
        <w:pStyle w:val="23"/>
      </w:pPr>
      <w:bookmarkStart w:id="182" w:name="_Toc12181"/>
      <w:r>
        <w:t>期末基金管理人的从业人员持有本基金的情况</w:t>
      </w:r>
      <w:bookmarkEnd w:id="18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2B92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7BDE20">
            <w:r>
              <w:rPr>
                <w:rFonts w:hint="eastAsia"/>
              </w:rPr>
              <w:t>项目</w:t>
            </w:r>
          </w:p>
        </w:tc>
        <w:tc>
          <w:tcPr>
            <w:tcW w:w="2076" w:type="dxa"/>
            <w:vAlign w:val="center"/>
          </w:tcPr>
          <w:p w14:paraId="761E20CC">
            <w:r>
              <w:rPr>
                <w:rFonts w:hint="eastAsia"/>
              </w:rPr>
              <w:t>份额级别</w:t>
            </w:r>
          </w:p>
        </w:tc>
        <w:tc>
          <w:tcPr>
            <w:tcW w:w="2076" w:type="dxa"/>
            <w:vAlign w:val="center"/>
          </w:tcPr>
          <w:p w14:paraId="252E3155">
            <w:r>
              <w:rPr>
                <w:rFonts w:hint="eastAsia"/>
              </w:rPr>
              <w:t>持有份额总数（份）</w:t>
            </w:r>
          </w:p>
        </w:tc>
        <w:tc>
          <w:tcPr>
            <w:tcW w:w="2076" w:type="dxa"/>
            <w:vAlign w:val="center"/>
          </w:tcPr>
          <w:p w14:paraId="631825BD">
            <w:r>
              <w:rPr>
                <w:rFonts w:hint="eastAsia"/>
              </w:rPr>
              <w:t>占基金总份额比例</w:t>
            </w:r>
          </w:p>
        </w:tc>
      </w:tr>
      <w:tr w14:paraId="0CCEA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0D60AF4">
            <w:r>
              <w:rPr>
                <w:rFonts w:hint="eastAsia"/>
              </w:rPr>
              <w:t>基金管理人所有从业人员持有本基金</w:t>
            </w:r>
          </w:p>
        </w:tc>
        <w:tc>
          <w:tcPr>
            <w:tcW w:w="2076" w:type="dxa"/>
            <w:vAlign w:val="center"/>
          </w:tcPr>
          <w:p w14:paraId="265F6C51">
            <w:r>
              <w:rPr>
                <w:rFonts w:hint="eastAsia"/>
              </w:rPr>
              <w:t>南方富时亚太低碳精选ETF发起联接（QDII）A</w:t>
            </w:r>
          </w:p>
        </w:tc>
        <w:tc>
          <w:tcPr>
            <w:tcW w:w="2076" w:type="dxa"/>
            <w:vAlign w:val="center"/>
          </w:tcPr>
          <w:p w14:paraId="7A13DFD1">
            <w:pPr>
              <w:jc w:val="right"/>
            </w:pPr>
            <w:r>
              <w:rPr>
                <w:rFonts w:hint="eastAsia"/>
              </w:rPr>
              <w:t>229,147.99</w:t>
            </w:r>
          </w:p>
        </w:tc>
        <w:tc>
          <w:tcPr>
            <w:tcW w:w="2076" w:type="dxa"/>
            <w:vAlign w:val="center"/>
          </w:tcPr>
          <w:p w14:paraId="4A1C8BFE">
            <w:pPr>
              <w:jc w:val="right"/>
            </w:pPr>
            <w:r>
              <w:rPr>
                <w:rFonts w:hint="eastAsia"/>
              </w:rPr>
              <w:t>0.4483%</w:t>
            </w:r>
          </w:p>
        </w:tc>
      </w:tr>
      <w:tr w14:paraId="5214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FE7A3A5"/>
        </w:tc>
        <w:tc>
          <w:tcPr>
            <w:tcW w:w="2076" w:type="dxa"/>
            <w:vAlign w:val="center"/>
          </w:tcPr>
          <w:p w14:paraId="0C8A3B7E">
            <w:r>
              <w:rPr>
                <w:rFonts w:hint="eastAsia"/>
              </w:rPr>
              <w:t>南方富时亚太低碳精选ETF发起联接（QDII）C</w:t>
            </w:r>
          </w:p>
        </w:tc>
        <w:tc>
          <w:tcPr>
            <w:tcW w:w="2076" w:type="dxa"/>
            <w:vAlign w:val="center"/>
          </w:tcPr>
          <w:p w14:paraId="09B7758A">
            <w:pPr>
              <w:jc w:val="right"/>
            </w:pPr>
            <w:r>
              <w:rPr>
                <w:rFonts w:hint="eastAsia"/>
              </w:rPr>
              <w:t>129,723.34</w:t>
            </w:r>
          </w:p>
        </w:tc>
        <w:tc>
          <w:tcPr>
            <w:tcW w:w="2076" w:type="dxa"/>
            <w:vAlign w:val="center"/>
          </w:tcPr>
          <w:p w14:paraId="56883332">
            <w:pPr>
              <w:jc w:val="right"/>
            </w:pPr>
            <w:r>
              <w:rPr>
                <w:rFonts w:hint="eastAsia"/>
              </w:rPr>
              <w:t>0.0775%</w:t>
            </w:r>
          </w:p>
        </w:tc>
      </w:tr>
      <w:tr w14:paraId="67D8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0A234C8"/>
        </w:tc>
        <w:tc>
          <w:tcPr>
            <w:tcW w:w="2076" w:type="dxa"/>
            <w:vAlign w:val="center"/>
          </w:tcPr>
          <w:p w14:paraId="6EF1389B">
            <w:r>
              <w:rPr>
                <w:rFonts w:hint="eastAsia"/>
              </w:rPr>
              <w:t>合计</w:t>
            </w:r>
          </w:p>
        </w:tc>
        <w:tc>
          <w:tcPr>
            <w:tcW w:w="2076" w:type="dxa"/>
            <w:vAlign w:val="center"/>
          </w:tcPr>
          <w:p w14:paraId="72312C96">
            <w:pPr>
              <w:jc w:val="right"/>
            </w:pPr>
            <w:r>
              <w:rPr>
                <w:rFonts w:hint="eastAsia"/>
              </w:rPr>
              <w:t>358,871.33</w:t>
            </w:r>
          </w:p>
        </w:tc>
        <w:tc>
          <w:tcPr>
            <w:tcW w:w="2076" w:type="dxa"/>
            <w:vAlign w:val="center"/>
          </w:tcPr>
          <w:p w14:paraId="0C59BEB4">
            <w:pPr>
              <w:jc w:val="right"/>
            </w:pPr>
            <w:r>
              <w:rPr>
                <w:rFonts w:hint="eastAsia"/>
              </w:rPr>
              <w:t>0.1642%</w:t>
            </w:r>
          </w:p>
        </w:tc>
      </w:tr>
    </w:tbl>
    <w:p w14:paraId="62C17B69">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734CB43">
      <w:pPr>
        <w:pStyle w:val="23"/>
      </w:pPr>
      <w:bookmarkStart w:id="183" w:name="_Toc19446"/>
      <w:r>
        <w:t>期末基金管理人的从业人员持有本开放式基金份额总量区间情况</w:t>
      </w:r>
      <w:bookmarkEnd w:id="18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3E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03038268">
            <w:r>
              <w:rPr>
                <w:rFonts w:hint="eastAsia"/>
              </w:rPr>
              <w:t>项目</w:t>
            </w:r>
          </w:p>
        </w:tc>
        <w:tc>
          <w:tcPr>
            <w:tcW w:w="2768" w:type="dxa"/>
            <w:vAlign w:val="center"/>
          </w:tcPr>
          <w:p w14:paraId="4BE9327A">
            <w:r>
              <w:rPr>
                <w:rFonts w:hint="eastAsia"/>
              </w:rPr>
              <w:t>份额级别</w:t>
            </w:r>
          </w:p>
        </w:tc>
        <w:tc>
          <w:tcPr>
            <w:tcW w:w="2768" w:type="dxa"/>
            <w:vAlign w:val="center"/>
          </w:tcPr>
          <w:p w14:paraId="43EBEFF4">
            <w:r>
              <w:rPr>
                <w:rFonts w:hint="eastAsia"/>
              </w:rPr>
              <w:t>持有基金份额总量的数量区间（万份）</w:t>
            </w:r>
          </w:p>
        </w:tc>
      </w:tr>
      <w:tr w14:paraId="6107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A93CDA6">
            <w:r>
              <w:rPr>
                <w:rFonts w:hint="eastAsia"/>
              </w:rPr>
              <w:t>本公司高级管理人员、基金投资和研究部门负责人持有本开放式基金</w:t>
            </w:r>
          </w:p>
        </w:tc>
        <w:tc>
          <w:tcPr>
            <w:tcW w:w="2768" w:type="dxa"/>
            <w:vAlign w:val="center"/>
          </w:tcPr>
          <w:p w14:paraId="24B7D0D0">
            <w:r>
              <w:rPr>
                <w:rFonts w:hint="eastAsia"/>
              </w:rPr>
              <w:t>南方富时亚太低碳精选ETF发起联接（QDII）A</w:t>
            </w:r>
          </w:p>
        </w:tc>
        <w:tc>
          <w:tcPr>
            <w:tcW w:w="2768" w:type="dxa"/>
            <w:vAlign w:val="center"/>
          </w:tcPr>
          <w:p w14:paraId="6725DC92">
            <w:pPr>
              <w:jc w:val="right"/>
            </w:pPr>
            <w:r>
              <w:rPr>
                <w:rFonts w:hint="eastAsia"/>
              </w:rPr>
              <w:t>0</w:t>
            </w:r>
          </w:p>
        </w:tc>
      </w:tr>
      <w:tr w14:paraId="6C5E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1FF260B"/>
        </w:tc>
        <w:tc>
          <w:tcPr>
            <w:tcW w:w="2768" w:type="dxa"/>
            <w:vAlign w:val="center"/>
          </w:tcPr>
          <w:p w14:paraId="3E7E0E92">
            <w:r>
              <w:rPr>
                <w:rFonts w:hint="eastAsia"/>
              </w:rPr>
              <w:t>南方富时亚太低碳精选ETF发起联接（QDII）C</w:t>
            </w:r>
          </w:p>
        </w:tc>
        <w:tc>
          <w:tcPr>
            <w:tcW w:w="2768" w:type="dxa"/>
            <w:vAlign w:val="center"/>
          </w:tcPr>
          <w:p w14:paraId="1E3092B1">
            <w:pPr>
              <w:jc w:val="right"/>
            </w:pPr>
            <w:r>
              <w:rPr>
                <w:rFonts w:hint="eastAsia"/>
              </w:rPr>
              <w:t>0</w:t>
            </w:r>
          </w:p>
        </w:tc>
      </w:tr>
      <w:tr w14:paraId="50DB0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D7DC991"/>
        </w:tc>
        <w:tc>
          <w:tcPr>
            <w:tcW w:w="2768" w:type="dxa"/>
            <w:vAlign w:val="center"/>
          </w:tcPr>
          <w:p w14:paraId="13DF6824">
            <w:r>
              <w:rPr>
                <w:rFonts w:hint="eastAsia"/>
              </w:rPr>
              <w:t>合计</w:t>
            </w:r>
          </w:p>
        </w:tc>
        <w:tc>
          <w:tcPr>
            <w:tcW w:w="2768" w:type="dxa"/>
            <w:vAlign w:val="center"/>
          </w:tcPr>
          <w:p w14:paraId="29A44C4D">
            <w:pPr>
              <w:jc w:val="right"/>
            </w:pPr>
            <w:r>
              <w:rPr>
                <w:rFonts w:hint="eastAsia"/>
              </w:rPr>
              <w:t>0</w:t>
            </w:r>
          </w:p>
        </w:tc>
      </w:tr>
      <w:tr w14:paraId="729A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693947C">
            <w:r>
              <w:rPr>
                <w:rFonts w:hint="eastAsia"/>
              </w:rPr>
              <w:t>本基金基金经理持有本开放式基金</w:t>
            </w:r>
          </w:p>
        </w:tc>
        <w:tc>
          <w:tcPr>
            <w:tcW w:w="2768" w:type="dxa"/>
            <w:vAlign w:val="center"/>
          </w:tcPr>
          <w:p w14:paraId="074F1401">
            <w:r>
              <w:rPr>
                <w:rFonts w:hint="eastAsia"/>
              </w:rPr>
              <w:t>南方富时亚太低碳精选ETF发起联接（QDII）A</w:t>
            </w:r>
          </w:p>
        </w:tc>
        <w:tc>
          <w:tcPr>
            <w:tcW w:w="2768" w:type="dxa"/>
            <w:vAlign w:val="center"/>
          </w:tcPr>
          <w:p w14:paraId="771898C6">
            <w:pPr>
              <w:jc w:val="right"/>
            </w:pPr>
            <w:r>
              <w:rPr>
                <w:rFonts w:hint="eastAsia"/>
              </w:rPr>
              <w:t>0~10</w:t>
            </w:r>
          </w:p>
        </w:tc>
      </w:tr>
      <w:tr w14:paraId="3F94D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8740911"/>
        </w:tc>
        <w:tc>
          <w:tcPr>
            <w:tcW w:w="2768" w:type="dxa"/>
            <w:vAlign w:val="center"/>
          </w:tcPr>
          <w:p w14:paraId="1E279FAC">
            <w:r>
              <w:rPr>
                <w:rFonts w:hint="eastAsia"/>
              </w:rPr>
              <w:t>南方富时亚太低碳精选ETF发起联接（QDII）C</w:t>
            </w:r>
          </w:p>
        </w:tc>
        <w:tc>
          <w:tcPr>
            <w:tcW w:w="2768" w:type="dxa"/>
            <w:vAlign w:val="center"/>
          </w:tcPr>
          <w:p w14:paraId="1A15113D">
            <w:pPr>
              <w:jc w:val="right"/>
            </w:pPr>
            <w:r>
              <w:rPr>
                <w:rFonts w:hint="eastAsia"/>
              </w:rPr>
              <w:t>0</w:t>
            </w:r>
          </w:p>
        </w:tc>
      </w:tr>
      <w:tr w14:paraId="79CC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054D057"/>
        </w:tc>
        <w:tc>
          <w:tcPr>
            <w:tcW w:w="2768" w:type="dxa"/>
            <w:vAlign w:val="center"/>
          </w:tcPr>
          <w:p w14:paraId="47FE4B2E">
            <w:r>
              <w:rPr>
                <w:rFonts w:hint="eastAsia"/>
              </w:rPr>
              <w:t>合计</w:t>
            </w:r>
          </w:p>
        </w:tc>
        <w:tc>
          <w:tcPr>
            <w:tcW w:w="2768" w:type="dxa"/>
            <w:vAlign w:val="center"/>
          </w:tcPr>
          <w:p w14:paraId="3AC2EFBF">
            <w:pPr>
              <w:jc w:val="right"/>
            </w:pPr>
            <w:r>
              <w:rPr>
                <w:rFonts w:hint="eastAsia"/>
              </w:rPr>
              <w:t>0~10</w:t>
            </w:r>
          </w:p>
        </w:tc>
      </w:tr>
    </w:tbl>
    <w:p w14:paraId="3932757C">
      <w:pPr>
        <w:pStyle w:val="23"/>
      </w:pPr>
      <w:bookmarkStart w:id="184" w:name="_Toc27400"/>
      <w:r>
        <w:t>报告期末发起式基金发起资金持有份额情况</w:t>
      </w:r>
      <w:bookmarkEnd w:id="18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50E9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1CB61246">
            <w:pPr>
              <w:jc w:val="center"/>
            </w:pPr>
            <w:r>
              <w:rPr>
                <w:rFonts w:hint="eastAsia"/>
                <w:b/>
              </w:rPr>
              <w:t>项目</w:t>
            </w:r>
          </w:p>
        </w:tc>
        <w:tc>
          <w:tcPr>
            <w:tcW w:w="1550" w:type="dxa"/>
            <w:shd w:val="clear" w:color="auto" w:fill="BFBFBF"/>
            <w:vAlign w:val="center"/>
          </w:tcPr>
          <w:p w14:paraId="2F087A40">
            <w:pPr>
              <w:jc w:val="center"/>
            </w:pPr>
            <w:r>
              <w:rPr>
                <w:rFonts w:hint="eastAsia"/>
                <w:b/>
              </w:rPr>
              <w:t>持有份额总数</w:t>
            </w:r>
          </w:p>
        </w:tc>
        <w:tc>
          <w:tcPr>
            <w:tcW w:w="1328" w:type="dxa"/>
            <w:shd w:val="clear" w:color="auto" w:fill="BFBFBF"/>
            <w:vAlign w:val="center"/>
          </w:tcPr>
          <w:p w14:paraId="58A4296A">
            <w:pPr>
              <w:jc w:val="center"/>
            </w:pPr>
            <w:r>
              <w:rPr>
                <w:rFonts w:hint="eastAsia"/>
                <w:b/>
              </w:rPr>
              <w:t>持有份额占基金总份额比例（%）</w:t>
            </w:r>
          </w:p>
        </w:tc>
        <w:tc>
          <w:tcPr>
            <w:tcW w:w="1550" w:type="dxa"/>
            <w:shd w:val="clear" w:color="auto" w:fill="BFBFBF"/>
            <w:vAlign w:val="center"/>
          </w:tcPr>
          <w:p w14:paraId="4FB6A1FA">
            <w:pPr>
              <w:jc w:val="center"/>
            </w:pPr>
            <w:r>
              <w:rPr>
                <w:rFonts w:hint="eastAsia"/>
                <w:b/>
              </w:rPr>
              <w:t>发起份额总数</w:t>
            </w:r>
          </w:p>
        </w:tc>
        <w:tc>
          <w:tcPr>
            <w:tcW w:w="1273" w:type="dxa"/>
            <w:shd w:val="clear" w:color="auto" w:fill="BFBFBF"/>
            <w:vAlign w:val="center"/>
          </w:tcPr>
          <w:p w14:paraId="1F7E9BDA">
            <w:pPr>
              <w:jc w:val="center"/>
            </w:pPr>
            <w:r>
              <w:rPr>
                <w:rFonts w:hint="eastAsia"/>
                <w:b/>
              </w:rPr>
              <w:t>发起份额占基金总份额比例（%）</w:t>
            </w:r>
          </w:p>
        </w:tc>
        <w:tc>
          <w:tcPr>
            <w:tcW w:w="1273" w:type="dxa"/>
            <w:shd w:val="clear" w:color="auto" w:fill="BFBFBF"/>
            <w:vAlign w:val="center"/>
          </w:tcPr>
          <w:p w14:paraId="37603B8E">
            <w:pPr>
              <w:jc w:val="center"/>
            </w:pPr>
            <w:r>
              <w:rPr>
                <w:rFonts w:hint="eastAsia"/>
                <w:b/>
              </w:rPr>
              <w:t>发起份额承诺持有期限</w:t>
            </w:r>
          </w:p>
        </w:tc>
      </w:tr>
      <w:tr w14:paraId="4195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BE08460">
            <w:r>
              <w:rPr>
                <w:rFonts w:hint="eastAsia"/>
              </w:rPr>
              <w:t>基金管理人固有资金</w:t>
            </w:r>
          </w:p>
        </w:tc>
        <w:tc>
          <w:tcPr>
            <w:tcW w:w="1550" w:type="dxa"/>
            <w:vAlign w:val="center"/>
          </w:tcPr>
          <w:p w14:paraId="56A06A27">
            <w:pPr>
              <w:jc w:val="right"/>
            </w:pPr>
            <w:r>
              <w:rPr>
                <w:rFonts w:hint="eastAsia"/>
              </w:rPr>
              <w:t>10,003,222.54</w:t>
            </w:r>
          </w:p>
        </w:tc>
        <w:tc>
          <w:tcPr>
            <w:tcW w:w="1328" w:type="dxa"/>
            <w:vAlign w:val="center"/>
          </w:tcPr>
          <w:p w14:paraId="302EE071">
            <w:pPr>
              <w:jc w:val="right"/>
            </w:pPr>
            <w:r>
              <w:rPr>
                <w:rFonts w:hint="eastAsia"/>
              </w:rPr>
              <w:t>4.58</w:t>
            </w:r>
          </w:p>
        </w:tc>
        <w:tc>
          <w:tcPr>
            <w:tcW w:w="1550" w:type="dxa"/>
            <w:vAlign w:val="center"/>
          </w:tcPr>
          <w:p w14:paraId="34655F96">
            <w:pPr>
              <w:jc w:val="right"/>
            </w:pPr>
            <w:r>
              <w:rPr>
                <w:rFonts w:hint="eastAsia"/>
              </w:rPr>
              <w:t>10,000,000.00</w:t>
            </w:r>
          </w:p>
        </w:tc>
        <w:tc>
          <w:tcPr>
            <w:tcW w:w="1273" w:type="dxa"/>
            <w:vAlign w:val="center"/>
          </w:tcPr>
          <w:p w14:paraId="337688B9">
            <w:pPr>
              <w:jc w:val="right"/>
            </w:pPr>
            <w:r>
              <w:rPr>
                <w:rFonts w:hint="eastAsia"/>
              </w:rPr>
              <w:t>4.58</w:t>
            </w:r>
          </w:p>
        </w:tc>
        <w:tc>
          <w:tcPr>
            <w:tcW w:w="1273" w:type="dxa"/>
            <w:vAlign w:val="center"/>
          </w:tcPr>
          <w:p w14:paraId="5B127C32">
            <w:r>
              <w:rPr>
                <w:rFonts w:hint="eastAsia"/>
              </w:rPr>
              <w:t>自合同生效之日起不少于3年</w:t>
            </w:r>
          </w:p>
        </w:tc>
      </w:tr>
      <w:tr w14:paraId="7906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F85128B">
            <w:r>
              <w:rPr>
                <w:rFonts w:hint="eastAsia"/>
              </w:rPr>
              <w:t>基金管理人高级管理人员</w:t>
            </w:r>
          </w:p>
        </w:tc>
        <w:tc>
          <w:tcPr>
            <w:tcW w:w="1550" w:type="dxa"/>
            <w:vAlign w:val="center"/>
          </w:tcPr>
          <w:p w14:paraId="7AC5E324">
            <w:pPr>
              <w:jc w:val="right"/>
            </w:pPr>
            <w:r>
              <w:rPr>
                <w:rFonts w:hint="eastAsia"/>
              </w:rPr>
              <w:t>-</w:t>
            </w:r>
          </w:p>
        </w:tc>
        <w:tc>
          <w:tcPr>
            <w:tcW w:w="1328" w:type="dxa"/>
            <w:vAlign w:val="center"/>
          </w:tcPr>
          <w:p w14:paraId="75142AD6">
            <w:pPr>
              <w:jc w:val="right"/>
            </w:pPr>
            <w:r>
              <w:rPr>
                <w:rFonts w:hint="eastAsia"/>
              </w:rPr>
              <w:t>-</w:t>
            </w:r>
          </w:p>
        </w:tc>
        <w:tc>
          <w:tcPr>
            <w:tcW w:w="1550" w:type="dxa"/>
            <w:vAlign w:val="center"/>
          </w:tcPr>
          <w:p w14:paraId="1FE6FABA">
            <w:pPr>
              <w:jc w:val="right"/>
            </w:pPr>
            <w:r>
              <w:rPr>
                <w:rFonts w:hint="eastAsia"/>
              </w:rPr>
              <w:t>-</w:t>
            </w:r>
          </w:p>
        </w:tc>
        <w:tc>
          <w:tcPr>
            <w:tcW w:w="1273" w:type="dxa"/>
            <w:vAlign w:val="center"/>
          </w:tcPr>
          <w:p w14:paraId="725DA67F">
            <w:pPr>
              <w:jc w:val="right"/>
            </w:pPr>
            <w:r>
              <w:rPr>
                <w:rFonts w:hint="eastAsia"/>
              </w:rPr>
              <w:t>-</w:t>
            </w:r>
          </w:p>
        </w:tc>
        <w:tc>
          <w:tcPr>
            <w:tcW w:w="1273" w:type="dxa"/>
            <w:vAlign w:val="center"/>
          </w:tcPr>
          <w:p w14:paraId="412DC5F2">
            <w:pPr>
              <w:jc w:val="right"/>
            </w:pPr>
            <w:r>
              <w:rPr>
                <w:rFonts w:hint="eastAsia"/>
              </w:rPr>
              <w:t>-</w:t>
            </w:r>
          </w:p>
        </w:tc>
      </w:tr>
      <w:tr w14:paraId="37715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EDA44F7">
            <w:r>
              <w:rPr>
                <w:rFonts w:hint="eastAsia"/>
              </w:rPr>
              <w:t>基金经理等人员</w:t>
            </w:r>
          </w:p>
        </w:tc>
        <w:tc>
          <w:tcPr>
            <w:tcW w:w="1550" w:type="dxa"/>
            <w:vAlign w:val="center"/>
          </w:tcPr>
          <w:p w14:paraId="11581DB5">
            <w:pPr>
              <w:jc w:val="right"/>
            </w:pPr>
            <w:r>
              <w:rPr>
                <w:rFonts w:hint="eastAsia"/>
              </w:rPr>
              <w:t>-</w:t>
            </w:r>
          </w:p>
        </w:tc>
        <w:tc>
          <w:tcPr>
            <w:tcW w:w="1328" w:type="dxa"/>
            <w:vAlign w:val="center"/>
          </w:tcPr>
          <w:p w14:paraId="3C982507">
            <w:pPr>
              <w:jc w:val="right"/>
            </w:pPr>
            <w:r>
              <w:rPr>
                <w:rFonts w:hint="eastAsia"/>
              </w:rPr>
              <w:t>-</w:t>
            </w:r>
          </w:p>
        </w:tc>
        <w:tc>
          <w:tcPr>
            <w:tcW w:w="1550" w:type="dxa"/>
            <w:vAlign w:val="center"/>
          </w:tcPr>
          <w:p w14:paraId="6A1DBC46">
            <w:pPr>
              <w:jc w:val="right"/>
            </w:pPr>
            <w:r>
              <w:rPr>
                <w:rFonts w:hint="eastAsia"/>
              </w:rPr>
              <w:t>-</w:t>
            </w:r>
          </w:p>
        </w:tc>
        <w:tc>
          <w:tcPr>
            <w:tcW w:w="1273" w:type="dxa"/>
            <w:vAlign w:val="center"/>
          </w:tcPr>
          <w:p w14:paraId="4C15863F">
            <w:pPr>
              <w:jc w:val="right"/>
            </w:pPr>
            <w:r>
              <w:rPr>
                <w:rFonts w:hint="eastAsia"/>
              </w:rPr>
              <w:t>-</w:t>
            </w:r>
          </w:p>
        </w:tc>
        <w:tc>
          <w:tcPr>
            <w:tcW w:w="1273" w:type="dxa"/>
            <w:vAlign w:val="center"/>
          </w:tcPr>
          <w:p w14:paraId="615DCE52">
            <w:pPr>
              <w:jc w:val="right"/>
            </w:pPr>
            <w:r>
              <w:rPr>
                <w:rFonts w:hint="eastAsia"/>
              </w:rPr>
              <w:t>-</w:t>
            </w:r>
          </w:p>
        </w:tc>
      </w:tr>
      <w:tr w14:paraId="15D98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D784885">
            <w:r>
              <w:rPr>
                <w:rFonts w:hint="eastAsia"/>
              </w:rPr>
              <w:t>基金管理人股东</w:t>
            </w:r>
          </w:p>
        </w:tc>
        <w:tc>
          <w:tcPr>
            <w:tcW w:w="1550" w:type="dxa"/>
            <w:vAlign w:val="center"/>
          </w:tcPr>
          <w:p w14:paraId="27553597">
            <w:pPr>
              <w:jc w:val="right"/>
            </w:pPr>
            <w:r>
              <w:rPr>
                <w:rFonts w:hint="eastAsia"/>
              </w:rPr>
              <w:t>-</w:t>
            </w:r>
          </w:p>
        </w:tc>
        <w:tc>
          <w:tcPr>
            <w:tcW w:w="1328" w:type="dxa"/>
            <w:vAlign w:val="center"/>
          </w:tcPr>
          <w:p w14:paraId="004256B4">
            <w:pPr>
              <w:jc w:val="right"/>
            </w:pPr>
            <w:r>
              <w:rPr>
                <w:rFonts w:hint="eastAsia"/>
              </w:rPr>
              <w:t>-</w:t>
            </w:r>
          </w:p>
        </w:tc>
        <w:tc>
          <w:tcPr>
            <w:tcW w:w="1550" w:type="dxa"/>
            <w:vAlign w:val="center"/>
          </w:tcPr>
          <w:p w14:paraId="1C3DB335">
            <w:pPr>
              <w:jc w:val="right"/>
            </w:pPr>
            <w:r>
              <w:rPr>
                <w:rFonts w:hint="eastAsia"/>
              </w:rPr>
              <w:t>-</w:t>
            </w:r>
          </w:p>
        </w:tc>
        <w:tc>
          <w:tcPr>
            <w:tcW w:w="1273" w:type="dxa"/>
            <w:vAlign w:val="center"/>
          </w:tcPr>
          <w:p w14:paraId="50A58848">
            <w:pPr>
              <w:jc w:val="right"/>
            </w:pPr>
            <w:r>
              <w:rPr>
                <w:rFonts w:hint="eastAsia"/>
              </w:rPr>
              <w:t>-</w:t>
            </w:r>
          </w:p>
        </w:tc>
        <w:tc>
          <w:tcPr>
            <w:tcW w:w="1273" w:type="dxa"/>
            <w:vAlign w:val="center"/>
          </w:tcPr>
          <w:p w14:paraId="09388732">
            <w:pPr>
              <w:jc w:val="right"/>
            </w:pPr>
            <w:r>
              <w:rPr>
                <w:rFonts w:hint="eastAsia"/>
              </w:rPr>
              <w:t>-</w:t>
            </w:r>
          </w:p>
        </w:tc>
      </w:tr>
      <w:tr w14:paraId="67771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2589D47">
            <w:r>
              <w:rPr>
                <w:rFonts w:hint="eastAsia"/>
              </w:rPr>
              <w:t>其他</w:t>
            </w:r>
          </w:p>
        </w:tc>
        <w:tc>
          <w:tcPr>
            <w:tcW w:w="1550" w:type="dxa"/>
            <w:vAlign w:val="center"/>
          </w:tcPr>
          <w:p w14:paraId="76CA6DF9">
            <w:pPr>
              <w:jc w:val="right"/>
            </w:pPr>
            <w:r>
              <w:rPr>
                <w:rFonts w:hint="eastAsia"/>
              </w:rPr>
              <w:t>-</w:t>
            </w:r>
          </w:p>
        </w:tc>
        <w:tc>
          <w:tcPr>
            <w:tcW w:w="1328" w:type="dxa"/>
            <w:vAlign w:val="center"/>
          </w:tcPr>
          <w:p w14:paraId="4512266B">
            <w:pPr>
              <w:jc w:val="right"/>
            </w:pPr>
            <w:r>
              <w:rPr>
                <w:rFonts w:hint="eastAsia"/>
              </w:rPr>
              <w:t>-</w:t>
            </w:r>
          </w:p>
        </w:tc>
        <w:tc>
          <w:tcPr>
            <w:tcW w:w="1550" w:type="dxa"/>
            <w:vAlign w:val="center"/>
          </w:tcPr>
          <w:p w14:paraId="2FEA0F3A">
            <w:pPr>
              <w:jc w:val="right"/>
            </w:pPr>
            <w:r>
              <w:rPr>
                <w:rFonts w:hint="eastAsia"/>
              </w:rPr>
              <w:t>-</w:t>
            </w:r>
          </w:p>
        </w:tc>
        <w:tc>
          <w:tcPr>
            <w:tcW w:w="1273" w:type="dxa"/>
            <w:vAlign w:val="center"/>
          </w:tcPr>
          <w:p w14:paraId="055B862B">
            <w:pPr>
              <w:jc w:val="right"/>
            </w:pPr>
            <w:r>
              <w:rPr>
                <w:rFonts w:hint="eastAsia"/>
              </w:rPr>
              <w:t>-</w:t>
            </w:r>
          </w:p>
        </w:tc>
        <w:tc>
          <w:tcPr>
            <w:tcW w:w="1273" w:type="dxa"/>
            <w:vAlign w:val="center"/>
          </w:tcPr>
          <w:p w14:paraId="502A1C1E">
            <w:pPr>
              <w:jc w:val="right"/>
            </w:pPr>
            <w:r>
              <w:rPr>
                <w:rFonts w:hint="eastAsia"/>
              </w:rPr>
              <w:t>-</w:t>
            </w:r>
          </w:p>
        </w:tc>
      </w:tr>
      <w:tr w14:paraId="282B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68DF62A">
            <w:r>
              <w:rPr>
                <w:rFonts w:hint="eastAsia"/>
              </w:rPr>
              <w:t>合计</w:t>
            </w:r>
          </w:p>
        </w:tc>
        <w:tc>
          <w:tcPr>
            <w:tcW w:w="1550" w:type="dxa"/>
            <w:vAlign w:val="center"/>
          </w:tcPr>
          <w:p w14:paraId="3D9E64FD">
            <w:pPr>
              <w:jc w:val="right"/>
            </w:pPr>
            <w:r>
              <w:rPr>
                <w:rFonts w:hint="eastAsia"/>
              </w:rPr>
              <w:t>10,003,222.54</w:t>
            </w:r>
          </w:p>
        </w:tc>
        <w:tc>
          <w:tcPr>
            <w:tcW w:w="1328" w:type="dxa"/>
            <w:vAlign w:val="center"/>
          </w:tcPr>
          <w:p w14:paraId="59021B7F">
            <w:pPr>
              <w:jc w:val="right"/>
            </w:pPr>
            <w:r>
              <w:rPr>
                <w:rFonts w:hint="eastAsia"/>
              </w:rPr>
              <w:t>4.58</w:t>
            </w:r>
          </w:p>
        </w:tc>
        <w:tc>
          <w:tcPr>
            <w:tcW w:w="1550" w:type="dxa"/>
            <w:vAlign w:val="center"/>
          </w:tcPr>
          <w:p w14:paraId="3313C678">
            <w:pPr>
              <w:jc w:val="right"/>
            </w:pPr>
            <w:r>
              <w:rPr>
                <w:rFonts w:hint="eastAsia"/>
              </w:rPr>
              <w:t>10,000,000.00</w:t>
            </w:r>
          </w:p>
        </w:tc>
        <w:tc>
          <w:tcPr>
            <w:tcW w:w="1273" w:type="dxa"/>
            <w:vAlign w:val="center"/>
          </w:tcPr>
          <w:p w14:paraId="5EFE62D1">
            <w:pPr>
              <w:jc w:val="right"/>
            </w:pPr>
            <w:r>
              <w:rPr>
                <w:rFonts w:hint="eastAsia"/>
              </w:rPr>
              <w:t>4.58</w:t>
            </w:r>
          </w:p>
        </w:tc>
        <w:tc>
          <w:tcPr>
            <w:tcW w:w="1273" w:type="dxa"/>
            <w:vAlign w:val="center"/>
          </w:tcPr>
          <w:p w14:paraId="273CC463">
            <w:pPr>
              <w:jc w:val="right"/>
            </w:pPr>
            <w:r>
              <w:rPr>
                <w:rFonts w:hint="eastAsia"/>
              </w:rPr>
              <w:t>-</w:t>
            </w:r>
          </w:p>
        </w:tc>
      </w:tr>
    </w:tbl>
    <w:p w14:paraId="18730AB9">
      <w:pPr>
        <w:pStyle w:val="26"/>
      </w:pPr>
      <w:bookmarkStart w:id="185" w:name="_Toc7012"/>
      <w:r>
        <w:t>开放式基金份额变动</w:t>
      </w:r>
      <w:bookmarkEnd w:id="185"/>
    </w:p>
    <w:p w14:paraId="08D7C9D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A58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B2B6A3F">
            <w:pPr>
              <w:jc w:val="center"/>
            </w:pPr>
            <w:r>
              <w:rPr>
                <w:rFonts w:hint="eastAsia"/>
                <w:b/>
              </w:rPr>
              <w:t>项目</w:t>
            </w:r>
          </w:p>
        </w:tc>
        <w:tc>
          <w:tcPr>
            <w:tcW w:w="1799" w:type="dxa"/>
            <w:shd w:val="clear" w:color="auto" w:fill="BFBFBF"/>
            <w:vAlign w:val="center"/>
          </w:tcPr>
          <w:p w14:paraId="09B25CC1">
            <w:pPr>
              <w:jc w:val="center"/>
            </w:pPr>
            <w:r>
              <w:rPr>
                <w:rFonts w:hint="eastAsia"/>
                <w:b/>
              </w:rPr>
              <w:t>南方富时亚太低碳精选ETF发起联接（QDII）A</w:t>
            </w:r>
          </w:p>
        </w:tc>
        <w:tc>
          <w:tcPr>
            <w:tcW w:w="1633" w:type="dxa"/>
            <w:shd w:val="clear" w:color="auto" w:fill="BFBFBF"/>
            <w:vAlign w:val="center"/>
          </w:tcPr>
          <w:p w14:paraId="5EAE1059">
            <w:pPr>
              <w:jc w:val="center"/>
            </w:pPr>
            <w:r>
              <w:rPr>
                <w:rFonts w:hint="eastAsia"/>
                <w:b/>
              </w:rPr>
              <w:t>南方富时亚太低碳精选ETF发起联接（QDII）C</w:t>
            </w:r>
          </w:p>
        </w:tc>
      </w:tr>
      <w:tr w14:paraId="4DFD2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65DC94B">
            <w:r>
              <w:rPr>
                <w:rFonts w:hint="eastAsia"/>
              </w:rPr>
              <w:t>基金合同生效日(2024年5月21日)基金份额总额</w:t>
            </w:r>
          </w:p>
        </w:tc>
        <w:tc>
          <w:tcPr>
            <w:tcW w:w="1799" w:type="dxa"/>
            <w:vAlign w:val="center"/>
          </w:tcPr>
          <w:p w14:paraId="239F2FC5">
            <w:pPr>
              <w:jc w:val="right"/>
            </w:pPr>
            <w:r>
              <w:rPr>
                <w:rFonts w:hint="eastAsia"/>
              </w:rPr>
              <w:t>12,956,806.73</w:t>
            </w:r>
          </w:p>
        </w:tc>
        <w:tc>
          <w:tcPr>
            <w:tcW w:w="1633" w:type="dxa"/>
            <w:vAlign w:val="center"/>
          </w:tcPr>
          <w:p w14:paraId="2C007FD5">
            <w:pPr>
              <w:jc w:val="right"/>
            </w:pPr>
            <w:r>
              <w:rPr>
                <w:rFonts w:hint="eastAsia"/>
              </w:rPr>
              <w:t>15,958,908.04</w:t>
            </w:r>
          </w:p>
        </w:tc>
      </w:tr>
      <w:tr w14:paraId="713B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344692E">
            <w:r>
              <w:rPr>
                <w:rFonts w:hint="eastAsia"/>
              </w:rPr>
              <w:t>本报告期期初基金份额总额</w:t>
            </w:r>
          </w:p>
        </w:tc>
        <w:tc>
          <w:tcPr>
            <w:tcW w:w="1799" w:type="dxa"/>
            <w:vAlign w:val="center"/>
          </w:tcPr>
          <w:p w14:paraId="6A6AE4B7">
            <w:pPr>
              <w:jc w:val="right"/>
            </w:pPr>
            <w:r>
              <w:rPr>
                <w:rFonts w:hint="eastAsia"/>
              </w:rPr>
              <w:t>22,215,627.69</w:t>
            </w:r>
          </w:p>
        </w:tc>
        <w:tc>
          <w:tcPr>
            <w:tcW w:w="1633" w:type="dxa"/>
            <w:vAlign w:val="center"/>
          </w:tcPr>
          <w:p w14:paraId="351866A4">
            <w:pPr>
              <w:jc w:val="right"/>
            </w:pPr>
            <w:r>
              <w:rPr>
                <w:rFonts w:hint="eastAsia"/>
              </w:rPr>
              <w:t>17,104,304.88</w:t>
            </w:r>
          </w:p>
        </w:tc>
      </w:tr>
      <w:tr w14:paraId="2211D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2A0F1EA">
            <w:r>
              <w:rPr>
                <w:rFonts w:hint="eastAsia"/>
              </w:rPr>
              <w:t>本报告期基金总申购份额</w:t>
            </w:r>
          </w:p>
        </w:tc>
        <w:tc>
          <w:tcPr>
            <w:tcW w:w="1799" w:type="dxa"/>
            <w:vAlign w:val="center"/>
          </w:tcPr>
          <w:p w14:paraId="00CA1C53">
            <w:pPr>
              <w:jc w:val="right"/>
            </w:pPr>
            <w:r>
              <w:rPr>
                <w:rFonts w:hint="eastAsia"/>
              </w:rPr>
              <w:t>54,339,258.40</w:t>
            </w:r>
          </w:p>
        </w:tc>
        <w:tc>
          <w:tcPr>
            <w:tcW w:w="1633" w:type="dxa"/>
            <w:vAlign w:val="center"/>
          </w:tcPr>
          <w:p w14:paraId="214519F1">
            <w:pPr>
              <w:jc w:val="right"/>
            </w:pPr>
            <w:r>
              <w:rPr>
                <w:rFonts w:hint="eastAsia"/>
              </w:rPr>
              <w:t>329,188,869.58</w:t>
            </w:r>
          </w:p>
        </w:tc>
      </w:tr>
      <w:tr w14:paraId="3618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BDBAE19">
            <w:r>
              <w:rPr>
                <w:rFonts w:hint="eastAsia"/>
              </w:rPr>
              <w:t>减：本报告期基金总赎回份额</w:t>
            </w:r>
          </w:p>
        </w:tc>
        <w:tc>
          <w:tcPr>
            <w:tcW w:w="1799" w:type="dxa"/>
            <w:vAlign w:val="center"/>
          </w:tcPr>
          <w:p w14:paraId="0B94ACAC">
            <w:pPr>
              <w:jc w:val="right"/>
            </w:pPr>
            <w:r>
              <w:rPr>
                <w:rFonts w:hint="eastAsia"/>
              </w:rPr>
              <w:t>25,440,586.04</w:t>
            </w:r>
          </w:p>
        </w:tc>
        <w:tc>
          <w:tcPr>
            <w:tcW w:w="1633" w:type="dxa"/>
            <w:vAlign w:val="center"/>
          </w:tcPr>
          <w:p w14:paraId="53A7ECA4">
            <w:pPr>
              <w:jc w:val="right"/>
            </w:pPr>
            <w:r>
              <w:rPr>
                <w:rFonts w:hint="eastAsia"/>
              </w:rPr>
              <w:t>178,893,075.83</w:t>
            </w:r>
          </w:p>
        </w:tc>
      </w:tr>
      <w:tr w14:paraId="085E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EF55C08">
            <w:r>
              <w:rPr>
                <w:rFonts w:hint="eastAsia"/>
              </w:rPr>
              <w:t>本报告期基金拆分变动份额</w:t>
            </w:r>
          </w:p>
        </w:tc>
        <w:tc>
          <w:tcPr>
            <w:tcW w:w="1799" w:type="dxa"/>
            <w:vAlign w:val="center"/>
          </w:tcPr>
          <w:p w14:paraId="096EDAD4">
            <w:pPr>
              <w:jc w:val="right"/>
            </w:pPr>
            <w:r>
              <w:rPr>
                <w:rFonts w:hint="eastAsia"/>
              </w:rPr>
              <w:t>-</w:t>
            </w:r>
          </w:p>
        </w:tc>
        <w:tc>
          <w:tcPr>
            <w:tcW w:w="1633" w:type="dxa"/>
            <w:vAlign w:val="center"/>
          </w:tcPr>
          <w:p w14:paraId="5C89EDAC">
            <w:pPr>
              <w:jc w:val="right"/>
            </w:pPr>
            <w:r>
              <w:rPr>
                <w:rFonts w:hint="eastAsia"/>
              </w:rPr>
              <w:t>-</w:t>
            </w:r>
          </w:p>
        </w:tc>
      </w:tr>
      <w:tr w14:paraId="7EF1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9A0DE44">
            <w:r>
              <w:rPr>
                <w:rFonts w:hint="eastAsia"/>
              </w:rPr>
              <w:t>本报告期期末基金份额总额</w:t>
            </w:r>
          </w:p>
        </w:tc>
        <w:tc>
          <w:tcPr>
            <w:tcW w:w="1799" w:type="dxa"/>
            <w:vAlign w:val="center"/>
          </w:tcPr>
          <w:p w14:paraId="46F77599">
            <w:pPr>
              <w:jc w:val="right"/>
            </w:pPr>
            <w:r>
              <w:rPr>
                <w:rFonts w:hint="eastAsia"/>
              </w:rPr>
              <w:t>51,114,300.05</w:t>
            </w:r>
          </w:p>
        </w:tc>
        <w:tc>
          <w:tcPr>
            <w:tcW w:w="1633" w:type="dxa"/>
            <w:vAlign w:val="center"/>
          </w:tcPr>
          <w:p w14:paraId="4897435E">
            <w:pPr>
              <w:jc w:val="right"/>
            </w:pPr>
            <w:r>
              <w:rPr>
                <w:rFonts w:hint="eastAsia"/>
              </w:rPr>
              <w:t>167,400,098.63</w:t>
            </w:r>
          </w:p>
        </w:tc>
      </w:tr>
    </w:tbl>
    <w:p w14:paraId="5452DEBE">
      <w:pPr>
        <w:pStyle w:val="26"/>
      </w:pPr>
      <w:bookmarkStart w:id="186" w:name="_Toc25353"/>
      <w:r>
        <w:t>重大事件揭示</w:t>
      </w:r>
      <w:bookmarkEnd w:id="186"/>
    </w:p>
    <w:p w14:paraId="2ACFD0CF">
      <w:pPr>
        <w:pStyle w:val="23"/>
      </w:pPr>
      <w:bookmarkStart w:id="187" w:name="_Toc15769"/>
      <w:r>
        <w:t>基金份额持有人大会决议</w:t>
      </w:r>
      <w:bookmarkEnd w:id="187"/>
    </w:p>
    <w:p w14:paraId="0787B895">
      <w:pPr>
        <w:pStyle w:val="18"/>
        <w:rPr>
          <w:rFonts w:hint="eastAsia"/>
        </w:rPr>
      </w:pPr>
      <w:r>
        <w:rPr>
          <w:rFonts w:hint="eastAsia"/>
        </w:rPr>
        <w:t>本报告期本基金无基金份额持有人大会决议。</w:t>
      </w:r>
    </w:p>
    <w:p w14:paraId="4F2063F5">
      <w:pPr>
        <w:pStyle w:val="23"/>
      </w:pPr>
      <w:bookmarkStart w:id="188" w:name="_Toc9823"/>
      <w:r>
        <w:t>基金管理人、基金托管人的专门基金托管部门的重大人事变动</w:t>
      </w:r>
      <w:bookmarkEnd w:id="188"/>
    </w:p>
    <w:p w14:paraId="6AB11832">
      <w:pPr>
        <w:pStyle w:val="18"/>
        <w:rPr>
          <w:rFonts w:hint="eastAsia"/>
        </w:rPr>
      </w:pPr>
      <w:r>
        <w:rPr>
          <w:rFonts w:hint="eastAsia"/>
        </w:rPr>
        <w:t>本报告期内，本基金的基金管理人未发生重大人事变动。</w:t>
      </w:r>
    </w:p>
    <w:p w14:paraId="4ED128DD">
      <w:pPr>
        <w:pStyle w:val="18"/>
        <w:rPr>
          <w:rFonts w:hint="eastAsia"/>
        </w:rPr>
      </w:pPr>
      <w:r>
        <w:rPr>
          <w:rFonts w:hint="eastAsia"/>
        </w:rPr>
        <w:t>本报告期内，基金托管人无重大人事变动。</w:t>
      </w:r>
    </w:p>
    <w:p w14:paraId="0BBBF4E2">
      <w:pPr>
        <w:pStyle w:val="23"/>
      </w:pPr>
      <w:bookmarkStart w:id="189" w:name="_Toc7136"/>
      <w:r>
        <w:t>涉及基金管理人、基金财产、基金托管业务的诉讼</w:t>
      </w:r>
      <w:bookmarkEnd w:id="189"/>
    </w:p>
    <w:p w14:paraId="6E538AC6">
      <w:pPr>
        <w:pStyle w:val="18"/>
        <w:rPr>
          <w:rFonts w:hint="eastAsia"/>
        </w:rPr>
      </w:pPr>
      <w:r>
        <w:rPr>
          <w:rFonts w:hint="eastAsia"/>
        </w:rPr>
        <w:t>本报告期内，无涉及基金管理人主营业务的诉讼。</w:t>
      </w:r>
    </w:p>
    <w:p w14:paraId="5D0920FA">
      <w:pPr>
        <w:pStyle w:val="18"/>
        <w:rPr>
          <w:rFonts w:hint="eastAsia"/>
        </w:rPr>
      </w:pPr>
      <w:r>
        <w:rPr>
          <w:rFonts w:hint="eastAsia"/>
        </w:rPr>
        <w:t>本报告期内无涉及基金财产的诉讼事项。</w:t>
      </w:r>
    </w:p>
    <w:p w14:paraId="0794E592">
      <w:pPr>
        <w:pStyle w:val="18"/>
        <w:rPr>
          <w:rFonts w:hint="eastAsia"/>
        </w:rPr>
      </w:pPr>
      <w:r>
        <w:rPr>
          <w:rFonts w:hint="eastAsia"/>
        </w:rPr>
        <w:t>本报告期内，无涉及基金托管业务的诉讼。</w:t>
      </w:r>
    </w:p>
    <w:p w14:paraId="275CA009">
      <w:pPr>
        <w:pStyle w:val="23"/>
      </w:pPr>
      <w:bookmarkStart w:id="190" w:name="_Toc8277"/>
      <w:r>
        <w:t>基金投资策略的改变</w:t>
      </w:r>
      <w:bookmarkEnd w:id="190"/>
    </w:p>
    <w:p w14:paraId="29A9EDC0">
      <w:pPr>
        <w:pStyle w:val="18"/>
        <w:rPr>
          <w:rFonts w:hint="eastAsia"/>
        </w:rPr>
      </w:pPr>
      <w:r>
        <w:rPr>
          <w:rFonts w:hint="eastAsia"/>
        </w:rPr>
        <w:t>本报告期内本基金的投资策略未有重大变化。</w:t>
      </w:r>
    </w:p>
    <w:p w14:paraId="2E58B7D1">
      <w:pPr>
        <w:pStyle w:val="23"/>
      </w:pPr>
      <w:bookmarkStart w:id="191" w:name="_Toc18106"/>
      <w:r>
        <w:t>为基金进行审计的会计师事务所情况</w:t>
      </w:r>
      <w:bookmarkEnd w:id="191"/>
    </w:p>
    <w:p w14:paraId="7C2F8F0B">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本报告期本基金的审计事务所无变化；目前容诚会计师事务所（特殊普通合伙）已为本基金提供审计服务2年，本报告期应支付给容诚会计师事务所（特殊普通合伙）的报酬为人民币10,000.00元。</w:t>
      </w:r>
    </w:p>
    <w:p w14:paraId="2DD0AB62">
      <w:pPr>
        <w:pStyle w:val="23"/>
      </w:pPr>
      <w:bookmarkStart w:id="192" w:name="_Toc20523"/>
      <w:r>
        <w:t>管理人、托管人及相关从业人员受调查或处罚等情况</w:t>
      </w:r>
      <w:bookmarkEnd w:id="192"/>
    </w:p>
    <w:p w14:paraId="4BD6988A">
      <w:pPr>
        <w:pStyle w:val="28"/>
      </w:pPr>
      <w:bookmarkStart w:id="193" w:name="_Toc193"/>
      <w:r>
        <w:t>管理人受调查或处罚等情况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9FD8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3A51B84">
            <w:pPr>
              <w:jc w:val="center"/>
            </w:pPr>
            <w:r>
              <w:rPr>
                <w:rFonts w:hint="eastAsia"/>
                <w:b/>
              </w:rPr>
              <w:t>管理人受调查或处罚等情况</w:t>
            </w:r>
          </w:p>
        </w:tc>
        <w:tc>
          <w:tcPr>
            <w:tcW w:w="4153" w:type="dxa"/>
            <w:shd w:val="clear" w:color="auto" w:fill="BFBFBF"/>
            <w:vAlign w:val="center"/>
          </w:tcPr>
          <w:p w14:paraId="5148C25C">
            <w:pPr>
              <w:jc w:val="center"/>
            </w:pPr>
            <w:r>
              <w:rPr>
                <w:rFonts w:hint="eastAsia"/>
                <w:b/>
              </w:rPr>
              <w:t>内容</w:t>
            </w:r>
          </w:p>
        </w:tc>
      </w:tr>
      <w:tr w14:paraId="0FFC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9DB59F">
            <w:r>
              <w:rPr>
                <w:rFonts w:hint="eastAsia"/>
              </w:rPr>
              <w:t>受到调查或处罚等措施的主体</w:t>
            </w:r>
          </w:p>
        </w:tc>
        <w:tc>
          <w:tcPr>
            <w:tcW w:w="4153" w:type="dxa"/>
            <w:vAlign w:val="center"/>
          </w:tcPr>
          <w:p w14:paraId="596A136C">
            <w:r>
              <w:rPr>
                <w:rFonts w:hint="eastAsia"/>
              </w:rPr>
              <w:t>管理人</w:t>
            </w:r>
          </w:p>
        </w:tc>
      </w:tr>
      <w:tr w14:paraId="46E2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5E804C">
            <w:r>
              <w:rPr>
                <w:rFonts w:hint="eastAsia"/>
              </w:rPr>
              <w:t>受到调查或处罚等措施的时间</w:t>
            </w:r>
          </w:p>
        </w:tc>
        <w:tc>
          <w:tcPr>
            <w:tcW w:w="4153" w:type="dxa"/>
            <w:vAlign w:val="center"/>
          </w:tcPr>
          <w:p w14:paraId="6BE33C7B">
            <w:pPr>
              <w:rPr>
                <w:rFonts w:hint="eastAsia"/>
              </w:rPr>
            </w:pPr>
            <w:r>
              <w:rPr>
                <w:rFonts w:hint="eastAsia"/>
              </w:rPr>
              <w:t>2025-10-17；
</w:t>
            </w:r>
            <w:r>
              <w:rPr>
                <w:rFonts w:hint="eastAsia"/>
              </w:rPr>
              <w:br w:type="textWrapping"/>
            </w:r>
            <w:r>
              <w:rPr>
                <w:rFonts w:hint="eastAsia"/>
              </w:rPr>
              <w:t>2025-11-18</w:t>
            </w:r>
          </w:p>
        </w:tc>
      </w:tr>
      <w:tr w14:paraId="543E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B05023">
            <w:r>
              <w:rPr>
                <w:rFonts w:hint="eastAsia"/>
              </w:rPr>
              <w:t>采取调查或处罚等措施的机构</w:t>
            </w:r>
          </w:p>
        </w:tc>
        <w:tc>
          <w:tcPr>
            <w:tcW w:w="4153" w:type="dxa"/>
            <w:vAlign w:val="center"/>
          </w:tcPr>
          <w:p w14:paraId="3DB7A753">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D5C4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E0ADA1">
            <w:r>
              <w:rPr>
                <w:rFonts w:hint="eastAsia"/>
              </w:rPr>
              <w:t>受到调查或处罚等措施类型</w:t>
            </w:r>
          </w:p>
        </w:tc>
        <w:tc>
          <w:tcPr>
            <w:tcW w:w="4153" w:type="dxa"/>
            <w:vAlign w:val="center"/>
          </w:tcPr>
          <w:p w14:paraId="30ABF642">
            <w:pPr>
              <w:rPr>
                <w:rFonts w:hint="eastAsia"/>
              </w:rPr>
            </w:pPr>
            <w:r>
              <w:rPr>
                <w:rFonts w:hint="eastAsia"/>
              </w:rPr>
              <w:t>行政监管措施；
</w:t>
            </w:r>
            <w:r>
              <w:rPr>
                <w:rFonts w:hint="eastAsia"/>
              </w:rPr>
              <w:br w:type="textWrapping"/>
            </w:r>
            <w:r>
              <w:rPr>
                <w:rFonts w:hint="eastAsia"/>
              </w:rPr>
              <w:t>行政处罚</w:t>
            </w:r>
          </w:p>
        </w:tc>
      </w:tr>
      <w:tr w14:paraId="79E4F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9ED7C9">
            <w:r>
              <w:rPr>
                <w:rFonts w:hint="eastAsia"/>
              </w:rPr>
              <w:t>受到的具体措施类型</w:t>
            </w:r>
          </w:p>
        </w:tc>
        <w:tc>
          <w:tcPr>
            <w:tcW w:w="4153" w:type="dxa"/>
            <w:vAlign w:val="center"/>
          </w:tcPr>
          <w:p w14:paraId="14056906">
            <w:pPr>
              <w:rPr>
                <w:rFonts w:hint="eastAsia"/>
              </w:rPr>
            </w:pPr>
            <w:r>
              <w:rPr>
                <w:rFonts w:hint="eastAsia"/>
              </w:rPr>
              <w:t>责令改正；
</w:t>
            </w:r>
            <w:r>
              <w:rPr>
                <w:rFonts w:hint="eastAsia"/>
              </w:rPr>
              <w:br w:type="textWrapping"/>
            </w:r>
            <w:r>
              <w:rPr>
                <w:rFonts w:hint="eastAsia"/>
              </w:rPr>
              <w:t>警告、罚款</w:t>
            </w:r>
          </w:p>
        </w:tc>
      </w:tr>
      <w:tr w14:paraId="11B45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6E1DE9">
            <w:r>
              <w:rPr>
                <w:rFonts w:hint="eastAsia"/>
              </w:rPr>
              <w:t>受到调查或处罚等措施的原因</w:t>
            </w:r>
          </w:p>
        </w:tc>
        <w:tc>
          <w:tcPr>
            <w:tcW w:w="4153" w:type="dxa"/>
            <w:vAlign w:val="center"/>
          </w:tcPr>
          <w:p w14:paraId="54FF230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009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E1BBF4">
            <w:r>
              <w:rPr>
                <w:rFonts w:hint="eastAsia"/>
              </w:rPr>
              <w:t>受到处罚的依据</w:t>
            </w:r>
          </w:p>
        </w:tc>
        <w:tc>
          <w:tcPr>
            <w:tcW w:w="4153" w:type="dxa"/>
            <w:vAlign w:val="center"/>
          </w:tcPr>
          <w:p w14:paraId="01E7BB8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317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96F598">
            <w:r>
              <w:rPr>
                <w:rFonts w:hint="eastAsia"/>
              </w:rPr>
              <w:t>管理人采取整改措施的情况</w:t>
            </w:r>
          </w:p>
        </w:tc>
        <w:tc>
          <w:tcPr>
            <w:tcW w:w="4153" w:type="dxa"/>
            <w:vAlign w:val="center"/>
          </w:tcPr>
          <w:p w14:paraId="69D7E2F6">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7976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D35E63">
            <w:r>
              <w:rPr>
                <w:rFonts w:hint="eastAsia"/>
              </w:rPr>
              <w:t>其他</w:t>
            </w:r>
          </w:p>
        </w:tc>
        <w:tc>
          <w:tcPr>
            <w:tcW w:w="4153" w:type="dxa"/>
            <w:vAlign w:val="center"/>
          </w:tcPr>
          <w:p w14:paraId="4D471509">
            <w:r>
              <w:rPr>
                <w:rFonts w:hint="eastAsia"/>
              </w:rPr>
              <w:t>-</w:t>
            </w:r>
          </w:p>
        </w:tc>
      </w:tr>
    </w:tbl>
    <w:p w14:paraId="4E86BD16">
      <w:pPr>
        <w:pStyle w:val="28"/>
      </w:pPr>
      <w:bookmarkStart w:id="194" w:name="_Toc194"/>
      <w:r>
        <w:t>管理人相关从业人员受调查或处罚等情况</w:t>
      </w:r>
      <w:bookmarkEnd w:id="19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A41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19A7379">
            <w:pPr>
              <w:jc w:val="center"/>
            </w:pPr>
            <w:r>
              <w:rPr>
                <w:rFonts w:hint="eastAsia"/>
                <w:b/>
              </w:rPr>
              <w:t>管理人相关从业人员受调查或处罚等情况</w:t>
            </w:r>
          </w:p>
        </w:tc>
        <w:tc>
          <w:tcPr>
            <w:tcW w:w="4153" w:type="dxa"/>
            <w:shd w:val="clear" w:color="auto" w:fill="BFBFBF"/>
            <w:vAlign w:val="center"/>
          </w:tcPr>
          <w:p w14:paraId="6123C6B6">
            <w:pPr>
              <w:jc w:val="center"/>
            </w:pPr>
            <w:r>
              <w:rPr>
                <w:rFonts w:hint="eastAsia"/>
                <w:b/>
              </w:rPr>
              <w:t>内容</w:t>
            </w:r>
          </w:p>
        </w:tc>
      </w:tr>
      <w:tr w14:paraId="3C1B2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46E96B">
            <w:r>
              <w:rPr>
                <w:rFonts w:hint="eastAsia"/>
              </w:rPr>
              <w:t>受到调查或处罚等措施的主体</w:t>
            </w:r>
          </w:p>
        </w:tc>
        <w:tc>
          <w:tcPr>
            <w:tcW w:w="4153" w:type="dxa"/>
            <w:vAlign w:val="center"/>
          </w:tcPr>
          <w:p w14:paraId="217509CC">
            <w:r>
              <w:rPr>
                <w:rFonts w:hint="eastAsia"/>
              </w:rPr>
              <w:t>高级管理人员</w:t>
            </w:r>
          </w:p>
        </w:tc>
      </w:tr>
      <w:tr w14:paraId="76D2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9A3684">
            <w:r>
              <w:rPr>
                <w:rFonts w:hint="eastAsia"/>
              </w:rPr>
              <w:t>受到调查或处罚等措施的时间</w:t>
            </w:r>
          </w:p>
        </w:tc>
        <w:tc>
          <w:tcPr>
            <w:tcW w:w="4153" w:type="dxa"/>
            <w:vAlign w:val="center"/>
          </w:tcPr>
          <w:p w14:paraId="37C4E49E">
            <w:r>
              <w:rPr>
                <w:rFonts w:hint="eastAsia"/>
              </w:rPr>
              <w:t>2025-10-17</w:t>
            </w:r>
          </w:p>
        </w:tc>
      </w:tr>
      <w:tr w14:paraId="5051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CFD8EE">
            <w:r>
              <w:rPr>
                <w:rFonts w:hint="eastAsia"/>
              </w:rPr>
              <w:t>采取调查或处罚等措施的机构</w:t>
            </w:r>
          </w:p>
        </w:tc>
        <w:tc>
          <w:tcPr>
            <w:tcW w:w="4153" w:type="dxa"/>
            <w:vAlign w:val="center"/>
          </w:tcPr>
          <w:p w14:paraId="6B69C6DE">
            <w:r>
              <w:rPr>
                <w:rFonts w:hint="eastAsia"/>
              </w:rPr>
              <w:t>中国证监会深圳监管局</w:t>
            </w:r>
          </w:p>
        </w:tc>
      </w:tr>
      <w:tr w14:paraId="594E5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8F7FB8">
            <w:r>
              <w:rPr>
                <w:rFonts w:hint="eastAsia"/>
              </w:rPr>
              <w:t>受到调查或处罚等措施类型</w:t>
            </w:r>
          </w:p>
        </w:tc>
        <w:tc>
          <w:tcPr>
            <w:tcW w:w="4153" w:type="dxa"/>
            <w:vAlign w:val="center"/>
          </w:tcPr>
          <w:p w14:paraId="4496BB53">
            <w:r>
              <w:rPr>
                <w:rFonts w:hint="eastAsia"/>
              </w:rPr>
              <w:t>行政监管措施</w:t>
            </w:r>
          </w:p>
        </w:tc>
      </w:tr>
      <w:tr w14:paraId="5794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4BCFE5">
            <w:r>
              <w:rPr>
                <w:rFonts w:hint="eastAsia"/>
              </w:rPr>
              <w:t>受到的具体措施类型</w:t>
            </w:r>
          </w:p>
        </w:tc>
        <w:tc>
          <w:tcPr>
            <w:tcW w:w="4153" w:type="dxa"/>
            <w:vAlign w:val="center"/>
          </w:tcPr>
          <w:p w14:paraId="15E0BE3B">
            <w:r>
              <w:rPr>
                <w:rFonts w:hint="eastAsia"/>
              </w:rPr>
              <w:t>出具警示函</w:t>
            </w:r>
          </w:p>
        </w:tc>
      </w:tr>
      <w:tr w14:paraId="14DDE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B4C2E7">
            <w:r>
              <w:rPr>
                <w:rFonts w:hint="eastAsia"/>
              </w:rPr>
              <w:t>受到调查或处罚等措施的原因</w:t>
            </w:r>
          </w:p>
        </w:tc>
        <w:tc>
          <w:tcPr>
            <w:tcW w:w="4153" w:type="dxa"/>
            <w:vAlign w:val="center"/>
          </w:tcPr>
          <w:p w14:paraId="50B9BCEF">
            <w:r>
              <w:rPr>
                <w:rFonts w:hint="eastAsia"/>
              </w:rPr>
              <w:t>人员管理、其他问题(销售管理)</w:t>
            </w:r>
          </w:p>
        </w:tc>
      </w:tr>
      <w:tr w14:paraId="79563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F4371A">
            <w:r>
              <w:rPr>
                <w:rFonts w:hint="eastAsia"/>
              </w:rPr>
              <w:t>受到处罚的依据</w:t>
            </w:r>
          </w:p>
        </w:tc>
        <w:tc>
          <w:tcPr>
            <w:tcW w:w="4153" w:type="dxa"/>
            <w:vAlign w:val="center"/>
          </w:tcPr>
          <w:p w14:paraId="26DBAFB0">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E1B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793A00">
            <w:r>
              <w:rPr>
                <w:rFonts w:hint="eastAsia"/>
              </w:rPr>
              <w:t>管理人采取整改措施的情况（如提出整改意见）</w:t>
            </w:r>
          </w:p>
        </w:tc>
        <w:tc>
          <w:tcPr>
            <w:tcW w:w="4153" w:type="dxa"/>
            <w:vAlign w:val="center"/>
          </w:tcPr>
          <w:p w14:paraId="49EDC2DB">
            <w:r>
              <w:rPr>
                <w:rFonts w:hint="eastAsia"/>
              </w:rPr>
              <w:t>截至报告期末公司已通过完善制度、优化流程等整改措施完成整改，整改成果已经中国证监会深圳监管局验收通过</w:t>
            </w:r>
          </w:p>
        </w:tc>
      </w:tr>
      <w:tr w14:paraId="015C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502374">
            <w:r>
              <w:rPr>
                <w:rFonts w:hint="eastAsia"/>
              </w:rPr>
              <w:t>其他</w:t>
            </w:r>
          </w:p>
        </w:tc>
        <w:tc>
          <w:tcPr>
            <w:tcW w:w="4153" w:type="dxa"/>
            <w:vAlign w:val="center"/>
          </w:tcPr>
          <w:p w14:paraId="10FC70B7">
            <w:pPr>
              <w:jc w:val="right"/>
            </w:pPr>
            <w:r>
              <w:rPr>
                <w:rFonts w:hint="eastAsia"/>
              </w:rPr>
              <w:t>-</w:t>
            </w:r>
          </w:p>
        </w:tc>
      </w:tr>
    </w:tbl>
    <w:p w14:paraId="3F313692">
      <w:pPr>
        <w:pStyle w:val="28"/>
      </w:pPr>
      <w:bookmarkStart w:id="195" w:name="_Toc195"/>
      <w:r>
        <w:t>托管人受调查或处罚等情况</w:t>
      </w:r>
      <w:bookmarkEnd w:id="195"/>
    </w:p>
    <w:p w14:paraId="7A5F4E1E">
      <w:pPr>
        <w:pStyle w:val="18"/>
        <w:rPr>
          <w:rFonts w:hint="eastAsia"/>
        </w:rPr>
      </w:pPr>
      <w:r>
        <w:rPr>
          <w:rFonts w:hint="eastAsia"/>
        </w:rPr>
        <w:t>本报告期内，基金托管人没有受到监管部门调查或处罚。</w:t>
      </w:r>
    </w:p>
    <w:p w14:paraId="49EBEFB9">
      <w:pPr>
        <w:pStyle w:val="28"/>
      </w:pPr>
      <w:bookmarkStart w:id="196" w:name="_Toc196"/>
      <w:r>
        <w:t>托管人相关从业人员受调查或处罚等情况</w:t>
      </w:r>
      <w:bookmarkEnd w:id="196"/>
    </w:p>
    <w:p w14:paraId="7A0F903D">
      <w:pPr>
        <w:pStyle w:val="18"/>
        <w:rPr>
          <w:rFonts w:hint="eastAsia"/>
        </w:rPr>
      </w:pPr>
      <w:r>
        <w:rPr>
          <w:rFonts w:hint="eastAsia"/>
        </w:rPr>
        <w:t>本报告期内，基金托管人相关从业人员没有受到监管部门调查或处罚。</w:t>
      </w:r>
    </w:p>
    <w:p w14:paraId="7ED41113">
      <w:pPr>
        <w:pStyle w:val="23"/>
      </w:pPr>
      <w:bookmarkStart w:id="197" w:name="_Toc13864"/>
      <w:r>
        <w:t>基金租用证券公司交易单元的有关情况</w:t>
      </w:r>
      <w:bookmarkEnd w:id="197"/>
    </w:p>
    <w:p w14:paraId="0A0D0A4A">
      <w:pPr>
        <w:pStyle w:val="28"/>
      </w:pPr>
      <w:bookmarkStart w:id="198" w:name="_Toc198"/>
      <w:r>
        <w:t>基金租用证券公司交易单元进行股票投资及佣金支付情况</w:t>
      </w:r>
      <w:bookmarkEnd w:id="198"/>
    </w:p>
    <w:p w14:paraId="1AA1D51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103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E102E6D">
            <w:pPr>
              <w:jc w:val="center"/>
            </w:pPr>
            <w:r>
              <w:rPr>
                <w:rFonts w:hint="eastAsia"/>
                <w:b/>
              </w:rPr>
              <w:t>券商名称</w:t>
            </w:r>
          </w:p>
        </w:tc>
        <w:tc>
          <w:tcPr>
            <w:tcW w:w="775" w:type="dxa"/>
            <w:vMerge w:val="restart"/>
            <w:shd w:val="clear" w:color="auto" w:fill="BFBFBF"/>
            <w:vAlign w:val="center"/>
          </w:tcPr>
          <w:p w14:paraId="1D4C9BC3">
            <w:pPr>
              <w:jc w:val="center"/>
            </w:pPr>
            <w:r>
              <w:rPr>
                <w:rFonts w:hint="eastAsia"/>
                <w:b/>
              </w:rPr>
              <w:t>交易单元数量</w:t>
            </w:r>
          </w:p>
        </w:tc>
        <w:tc>
          <w:tcPr>
            <w:tcW w:w="1699" w:type="dxa"/>
            <w:gridSpan w:val="2"/>
            <w:shd w:val="clear" w:color="auto" w:fill="BFBFBF"/>
            <w:vAlign w:val="center"/>
          </w:tcPr>
          <w:p w14:paraId="0E909E81">
            <w:pPr>
              <w:jc w:val="center"/>
            </w:pPr>
            <w:r>
              <w:rPr>
                <w:rFonts w:hint="eastAsia"/>
                <w:b/>
              </w:rPr>
              <w:t>股票交易</w:t>
            </w:r>
          </w:p>
        </w:tc>
        <w:tc>
          <w:tcPr>
            <w:tcW w:w="1312" w:type="dxa"/>
            <w:gridSpan w:val="2"/>
            <w:shd w:val="clear" w:color="auto" w:fill="BFBFBF"/>
            <w:vAlign w:val="center"/>
          </w:tcPr>
          <w:p w14:paraId="576B4C92">
            <w:pPr>
              <w:jc w:val="center"/>
            </w:pPr>
            <w:r>
              <w:rPr>
                <w:rFonts w:hint="eastAsia"/>
                <w:b/>
              </w:rPr>
              <w:t>应支付该券商的佣金</w:t>
            </w:r>
          </w:p>
        </w:tc>
        <w:tc>
          <w:tcPr>
            <w:tcW w:w="946" w:type="dxa"/>
            <w:vMerge w:val="restart"/>
            <w:shd w:val="clear" w:color="auto" w:fill="BFBFBF"/>
            <w:vAlign w:val="center"/>
          </w:tcPr>
          <w:p w14:paraId="52F3D6B2">
            <w:pPr>
              <w:jc w:val="center"/>
            </w:pPr>
            <w:r>
              <w:rPr>
                <w:rFonts w:hint="eastAsia"/>
                <w:b/>
              </w:rPr>
              <w:t>备注</w:t>
            </w:r>
          </w:p>
        </w:tc>
      </w:tr>
      <w:tr w14:paraId="34B1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1320FDC"/>
        </w:tc>
        <w:tc>
          <w:tcPr>
            <w:tcW w:w="775" w:type="dxa"/>
            <w:vMerge w:val="continue"/>
            <w:vAlign w:val="center"/>
          </w:tcPr>
          <w:p w14:paraId="1C1279EC"/>
        </w:tc>
        <w:tc>
          <w:tcPr>
            <w:tcW w:w="1699" w:type="dxa"/>
            <w:shd w:val="clear" w:color="auto" w:fill="BFBFBF"/>
            <w:vAlign w:val="center"/>
          </w:tcPr>
          <w:p w14:paraId="3A9AE83A">
            <w:pPr>
              <w:jc w:val="center"/>
            </w:pPr>
            <w:r>
              <w:rPr>
                <w:rFonts w:hint="eastAsia"/>
                <w:b/>
              </w:rPr>
              <w:t>成交金额</w:t>
            </w:r>
          </w:p>
        </w:tc>
        <w:tc>
          <w:tcPr>
            <w:tcW w:w="1201" w:type="dxa"/>
            <w:shd w:val="clear" w:color="auto" w:fill="BFBFBF"/>
            <w:vAlign w:val="center"/>
          </w:tcPr>
          <w:p w14:paraId="1382FBEE">
            <w:pPr>
              <w:jc w:val="center"/>
            </w:pPr>
            <w:r>
              <w:rPr>
                <w:rFonts w:hint="eastAsia"/>
                <w:b/>
              </w:rPr>
              <w:t>占当期股票成交总额的比例</w:t>
            </w:r>
          </w:p>
        </w:tc>
        <w:tc>
          <w:tcPr>
            <w:tcW w:w="1312" w:type="dxa"/>
            <w:shd w:val="clear" w:color="auto" w:fill="BFBFBF"/>
            <w:vAlign w:val="center"/>
          </w:tcPr>
          <w:p w14:paraId="5D8C5EDF">
            <w:pPr>
              <w:jc w:val="center"/>
            </w:pPr>
            <w:r>
              <w:rPr>
                <w:rFonts w:hint="eastAsia"/>
                <w:b/>
              </w:rPr>
              <w:t>佣金</w:t>
            </w:r>
          </w:p>
        </w:tc>
        <w:tc>
          <w:tcPr>
            <w:tcW w:w="1256" w:type="dxa"/>
            <w:shd w:val="clear" w:color="auto" w:fill="BFBFBF"/>
            <w:vAlign w:val="center"/>
          </w:tcPr>
          <w:p w14:paraId="1B2AF9B9">
            <w:pPr>
              <w:jc w:val="center"/>
            </w:pPr>
            <w:r>
              <w:rPr>
                <w:rFonts w:hint="eastAsia"/>
                <w:b/>
              </w:rPr>
              <w:t>占当期佣金总量的比例</w:t>
            </w:r>
          </w:p>
        </w:tc>
        <w:tc>
          <w:tcPr>
            <w:tcW w:w="946" w:type="dxa"/>
            <w:vMerge w:val="continue"/>
            <w:vAlign w:val="center"/>
          </w:tcPr>
          <w:p w14:paraId="55296ADB"/>
        </w:tc>
      </w:tr>
      <w:tr w14:paraId="39E5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79C21A3">
            <w:r>
              <w:rPr>
                <w:rFonts w:hint="eastAsia"/>
              </w:rPr>
              <w:t>华泰证券</w:t>
            </w:r>
          </w:p>
        </w:tc>
        <w:tc>
          <w:tcPr>
            <w:tcW w:w="775" w:type="dxa"/>
            <w:vAlign w:val="center"/>
          </w:tcPr>
          <w:p w14:paraId="2F3AFEBE">
            <w:pPr>
              <w:jc w:val="right"/>
            </w:pPr>
            <w:r>
              <w:rPr>
                <w:rFonts w:hint="eastAsia"/>
              </w:rPr>
              <w:t>4</w:t>
            </w:r>
          </w:p>
        </w:tc>
        <w:tc>
          <w:tcPr>
            <w:tcW w:w="1699" w:type="dxa"/>
            <w:vAlign w:val="center"/>
          </w:tcPr>
          <w:p w14:paraId="7CD47DC3">
            <w:pPr>
              <w:jc w:val="right"/>
            </w:pPr>
            <w:r>
              <w:rPr>
                <w:rFonts w:hint="eastAsia"/>
              </w:rPr>
              <w:t>-</w:t>
            </w:r>
          </w:p>
        </w:tc>
        <w:tc>
          <w:tcPr>
            <w:tcW w:w="1201" w:type="dxa"/>
            <w:vAlign w:val="center"/>
          </w:tcPr>
          <w:p w14:paraId="603464C1">
            <w:pPr>
              <w:jc w:val="right"/>
            </w:pPr>
            <w:r>
              <w:rPr>
                <w:rFonts w:hint="eastAsia"/>
              </w:rPr>
              <w:t>-</w:t>
            </w:r>
          </w:p>
        </w:tc>
        <w:tc>
          <w:tcPr>
            <w:tcW w:w="1312" w:type="dxa"/>
            <w:vAlign w:val="center"/>
          </w:tcPr>
          <w:p w14:paraId="162EDDEA">
            <w:pPr>
              <w:jc w:val="right"/>
            </w:pPr>
            <w:r>
              <w:rPr>
                <w:rFonts w:hint="eastAsia"/>
              </w:rPr>
              <w:t>-</w:t>
            </w:r>
          </w:p>
        </w:tc>
        <w:tc>
          <w:tcPr>
            <w:tcW w:w="1256" w:type="dxa"/>
            <w:vAlign w:val="center"/>
          </w:tcPr>
          <w:p w14:paraId="15EF49FD">
            <w:pPr>
              <w:jc w:val="right"/>
            </w:pPr>
            <w:r>
              <w:rPr>
                <w:rFonts w:hint="eastAsia"/>
              </w:rPr>
              <w:t>-</w:t>
            </w:r>
          </w:p>
        </w:tc>
        <w:tc>
          <w:tcPr>
            <w:tcW w:w="946" w:type="dxa"/>
            <w:vAlign w:val="center"/>
          </w:tcPr>
          <w:p w14:paraId="4F75D796">
            <w:pPr>
              <w:jc w:val="right"/>
            </w:pPr>
            <w:r>
              <w:rPr>
                <w:rFonts w:hint="eastAsia"/>
              </w:rPr>
              <w:t>-</w:t>
            </w:r>
          </w:p>
        </w:tc>
      </w:tr>
      <w:tr w14:paraId="787A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7FE011">
            <w:r>
              <w:rPr>
                <w:rFonts w:hint="eastAsia"/>
              </w:rPr>
              <w:t>长江证券</w:t>
            </w:r>
          </w:p>
        </w:tc>
        <w:tc>
          <w:tcPr>
            <w:tcW w:w="775" w:type="dxa"/>
            <w:vAlign w:val="center"/>
          </w:tcPr>
          <w:p w14:paraId="15B3BC78">
            <w:pPr>
              <w:jc w:val="right"/>
            </w:pPr>
            <w:r>
              <w:rPr>
                <w:rFonts w:hint="eastAsia"/>
              </w:rPr>
              <w:t>1</w:t>
            </w:r>
          </w:p>
        </w:tc>
        <w:tc>
          <w:tcPr>
            <w:tcW w:w="1699" w:type="dxa"/>
            <w:vAlign w:val="center"/>
          </w:tcPr>
          <w:p w14:paraId="51538759">
            <w:pPr>
              <w:jc w:val="right"/>
            </w:pPr>
            <w:r>
              <w:rPr>
                <w:rFonts w:hint="eastAsia"/>
              </w:rPr>
              <w:t>-</w:t>
            </w:r>
          </w:p>
        </w:tc>
        <w:tc>
          <w:tcPr>
            <w:tcW w:w="1201" w:type="dxa"/>
            <w:vAlign w:val="center"/>
          </w:tcPr>
          <w:p w14:paraId="612307FB">
            <w:pPr>
              <w:jc w:val="right"/>
            </w:pPr>
            <w:r>
              <w:rPr>
                <w:rFonts w:hint="eastAsia"/>
              </w:rPr>
              <w:t>-</w:t>
            </w:r>
          </w:p>
        </w:tc>
        <w:tc>
          <w:tcPr>
            <w:tcW w:w="1312" w:type="dxa"/>
            <w:vAlign w:val="center"/>
          </w:tcPr>
          <w:p w14:paraId="268CE185">
            <w:pPr>
              <w:jc w:val="right"/>
            </w:pPr>
            <w:r>
              <w:rPr>
                <w:rFonts w:hint="eastAsia"/>
              </w:rPr>
              <w:t>-</w:t>
            </w:r>
          </w:p>
        </w:tc>
        <w:tc>
          <w:tcPr>
            <w:tcW w:w="1256" w:type="dxa"/>
            <w:vAlign w:val="center"/>
          </w:tcPr>
          <w:p w14:paraId="467B20C9">
            <w:pPr>
              <w:jc w:val="right"/>
            </w:pPr>
            <w:r>
              <w:rPr>
                <w:rFonts w:hint="eastAsia"/>
              </w:rPr>
              <w:t>-</w:t>
            </w:r>
          </w:p>
        </w:tc>
        <w:tc>
          <w:tcPr>
            <w:tcW w:w="946" w:type="dxa"/>
            <w:vAlign w:val="center"/>
          </w:tcPr>
          <w:p w14:paraId="10E36A43">
            <w:pPr>
              <w:jc w:val="right"/>
            </w:pPr>
            <w:r>
              <w:rPr>
                <w:rFonts w:hint="eastAsia"/>
              </w:rPr>
              <w:t>-</w:t>
            </w:r>
          </w:p>
        </w:tc>
      </w:tr>
      <w:tr w14:paraId="4EB8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3F0B33E">
            <w:r>
              <w:rPr>
                <w:rFonts w:hint="eastAsia"/>
              </w:rPr>
              <w:t>华创证券</w:t>
            </w:r>
          </w:p>
        </w:tc>
        <w:tc>
          <w:tcPr>
            <w:tcW w:w="775" w:type="dxa"/>
            <w:vAlign w:val="center"/>
          </w:tcPr>
          <w:p w14:paraId="6EB5F8D1">
            <w:pPr>
              <w:jc w:val="right"/>
            </w:pPr>
            <w:r>
              <w:rPr>
                <w:rFonts w:hint="eastAsia"/>
              </w:rPr>
              <w:t>1</w:t>
            </w:r>
          </w:p>
        </w:tc>
        <w:tc>
          <w:tcPr>
            <w:tcW w:w="1699" w:type="dxa"/>
            <w:vAlign w:val="center"/>
          </w:tcPr>
          <w:p w14:paraId="7140D985">
            <w:pPr>
              <w:jc w:val="right"/>
            </w:pPr>
            <w:r>
              <w:rPr>
                <w:rFonts w:hint="eastAsia"/>
              </w:rPr>
              <w:t>-</w:t>
            </w:r>
          </w:p>
        </w:tc>
        <w:tc>
          <w:tcPr>
            <w:tcW w:w="1201" w:type="dxa"/>
            <w:vAlign w:val="center"/>
          </w:tcPr>
          <w:p w14:paraId="47B72A0E">
            <w:pPr>
              <w:jc w:val="right"/>
            </w:pPr>
            <w:r>
              <w:rPr>
                <w:rFonts w:hint="eastAsia"/>
              </w:rPr>
              <w:t>-</w:t>
            </w:r>
          </w:p>
        </w:tc>
        <w:tc>
          <w:tcPr>
            <w:tcW w:w="1312" w:type="dxa"/>
            <w:vAlign w:val="center"/>
          </w:tcPr>
          <w:p w14:paraId="6017F90A">
            <w:pPr>
              <w:jc w:val="right"/>
            </w:pPr>
            <w:r>
              <w:rPr>
                <w:rFonts w:hint="eastAsia"/>
              </w:rPr>
              <w:t>-</w:t>
            </w:r>
          </w:p>
        </w:tc>
        <w:tc>
          <w:tcPr>
            <w:tcW w:w="1256" w:type="dxa"/>
            <w:vAlign w:val="center"/>
          </w:tcPr>
          <w:p w14:paraId="54FEFB29">
            <w:pPr>
              <w:jc w:val="right"/>
            </w:pPr>
            <w:r>
              <w:rPr>
                <w:rFonts w:hint="eastAsia"/>
              </w:rPr>
              <w:t>-</w:t>
            </w:r>
          </w:p>
        </w:tc>
        <w:tc>
          <w:tcPr>
            <w:tcW w:w="946" w:type="dxa"/>
            <w:vAlign w:val="center"/>
          </w:tcPr>
          <w:p w14:paraId="2C8883E5">
            <w:pPr>
              <w:jc w:val="right"/>
            </w:pPr>
            <w:r>
              <w:rPr>
                <w:rFonts w:hint="eastAsia"/>
              </w:rPr>
              <w:t>-</w:t>
            </w:r>
          </w:p>
        </w:tc>
      </w:tr>
      <w:tr w14:paraId="73C4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85CD32C">
            <w:r>
              <w:rPr>
                <w:rFonts w:hint="eastAsia"/>
              </w:rPr>
              <w:t>招商证券</w:t>
            </w:r>
          </w:p>
        </w:tc>
        <w:tc>
          <w:tcPr>
            <w:tcW w:w="775" w:type="dxa"/>
            <w:vAlign w:val="center"/>
          </w:tcPr>
          <w:p w14:paraId="6F8DE670">
            <w:pPr>
              <w:jc w:val="right"/>
            </w:pPr>
            <w:r>
              <w:rPr>
                <w:rFonts w:hint="eastAsia"/>
              </w:rPr>
              <w:t>1</w:t>
            </w:r>
          </w:p>
        </w:tc>
        <w:tc>
          <w:tcPr>
            <w:tcW w:w="1699" w:type="dxa"/>
            <w:vAlign w:val="center"/>
          </w:tcPr>
          <w:p w14:paraId="1965B676">
            <w:pPr>
              <w:jc w:val="right"/>
            </w:pPr>
            <w:r>
              <w:rPr>
                <w:rFonts w:hint="eastAsia"/>
              </w:rPr>
              <w:t>-</w:t>
            </w:r>
          </w:p>
        </w:tc>
        <w:tc>
          <w:tcPr>
            <w:tcW w:w="1201" w:type="dxa"/>
            <w:vAlign w:val="center"/>
          </w:tcPr>
          <w:p w14:paraId="0A9CCB7F">
            <w:pPr>
              <w:jc w:val="right"/>
            </w:pPr>
            <w:r>
              <w:rPr>
                <w:rFonts w:hint="eastAsia"/>
              </w:rPr>
              <w:t>-</w:t>
            </w:r>
          </w:p>
        </w:tc>
        <w:tc>
          <w:tcPr>
            <w:tcW w:w="1312" w:type="dxa"/>
            <w:vAlign w:val="center"/>
          </w:tcPr>
          <w:p w14:paraId="6819180A">
            <w:pPr>
              <w:jc w:val="right"/>
            </w:pPr>
            <w:r>
              <w:rPr>
                <w:rFonts w:hint="eastAsia"/>
              </w:rPr>
              <w:t>-</w:t>
            </w:r>
          </w:p>
        </w:tc>
        <w:tc>
          <w:tcPr>
            <w:tcW w:w="1256" w:type="dxa"/>
            <w:vAlign w:val="center"/>
          </w:tcPr>
          <w:p w14:paraId="08EF024C">
            <w:pPr>
              <w:jc w:val="right"/>
            </w:pPr>
            <w:r>
              <w:rPr>
                <w:rFonts w:hint="eastAsia"/>
              </w:rPr>
              <w:t>-</w:t>
            </w:r>
          </w:p>
        </w:tc>
        <w:tc>
          <w:tcPr>
            <w:tcW w:w="946" w:type="dxa"/>
            <w:vAlign w:val="center"/>
          </w:tcPr>
          <w:p w14:paraId="65E54A98">
            <w:pPr>
              <w:jc w:val="right"/>
            </w:pPr>
            <w:r>
              <w:rPr>
                <w:rFonts w:hint="eastAsia"/>
              </w:rPr>
              <w:t>-</w:t>
            </w:r>
          </w:p>
        </w:tc>
      </w:tr>
    </w:tbl>
    <w:p w14:paraId="133DA56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E9F5D75">
      <w:pPr>
        <w:pStyle w:val="47"/>
        <w:rPr>
          <w:rFonts w:hint="eastAsia"/>
        </w:rPr>
      </w:pPr>
      <w:r>
        <w:tab/>
      </w:r>
      <w:r>
        <w:rPr>
          <w:rFonts w:hint="eastAsia"/>
        </w:rPr>
        <w:t>1、选择标准</w:t>
      </w:r>
    </w:p>
    <w:p w14:paraId="40D86614">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8706695">
      <w:pPr>
        <w:pStyle w:val="47"/>
        <w:rPr>
          <w:rFonts w:hint="eastAsia"/>
        </w:rPr>
      </w:pPr>
      <w:r>
        <w:tab/>
      </w:r>
      <w:r>
        <w:rPr>
          <w:rFonts w:hint="eastAsia"/>
        </w:rPr>
        <w:t>2、选择程序</w:t>
      </w:r>
    </w:p>
    <w:p w14:paraId="7C5B4AE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B60AE98">
      <w:pPr>
        <w:pStyle w:val="47"/>
        <w:rPr>
          <w:rFonts w:hint="eastAsia"/>
        </w:rPr>
      </w:pPr>
      <w:r>
        <w:tab/>
      </w:r>
      <w:r>
        <w:rPr>
          <w:rFonts w:hint="eastAsia"/>
        </w:rPr>
        <w:t>（2）基金管理人根据其建立的服务评价及交易量分配机制，定期对证券公司开展评价后，根据评价结果进行交易量的分配。</w:t>
      </w:r>
    </w:p>
    <w:p w14:paraId="3F9FB515">
      <w:pPr>
        <w:pStyle w:val="47"/>
        <w:rPr>
          <w:rFonts w:hint="eastAsia"/>
        </w:rPr>
      </w:pPr>
      <w:r>
        <w:tab/>
      </w:r>
      <w:r>
        <w:rPr>
          <w:rFonts w:hint="eastAsia"/>
        </w:rPr>
        <w:t>3、报告期内基金租用券商交易单元的变更情况：新增交易单元：无；减少交易单元：无。</w:t>
      </w:r>
    </w:p>
    <w:p w14:paraId="560AA468">
      <w:pPr>
        <w:pStyle w:val="28"/>
      </w:pPr>
      <w:bookmarkStart w:id="199" w:name="_Toc199"/>
      <w:r>
        <w:t>基金租用证券公司交易单元进行其他证券投资的情况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3B7C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71C160DB">
            <w:pPr>
              <w:jc w:val="center"/>
            </w:pPr>
            <w:r>
              <w:rPr>
                <w:rFonts w:hint="eastAsia"/>
                <w:b/>
              </w:rPr>
              <w:t>券商名称</w:t>
            </w:r>
          </w:p>
        </w:tc>
        <w:tc>
          <w:tcPr>
            <w:tcW w:w="922" w:type="dxa"/>
            <w:gridSpan w:val="2"/>
            <w:shd w:val="clear" w:color="auto" w:fill="BFBFBF"/>
            <w:vAlign w:val="center"/>
          </w:tcPr>
          <w:p w14:paraId="39717A1B">
            <w:pPr>
              <w:jc w:val="center"/>
            </w:pPr>
            <w:r>
              <w:rPr>
                <w:rFonts w:hint="eastAsia"/>
                <w:b/>
              </w:rPr>
              <w:t>债券交易</w:t>
            </w:r>
          </w:p>
        </w:tc>
        <w:tc>
          <w:tcPr>
            <w:tcW w:w="922" w:type="dxa"/>
            <w:gridSpan w:val="2"/>
            <w:shd w:val="clear" w:color="auto" w:fill="BFBFBF"/>
            <w:vAlign w:val="center"/>
          </w:tcPr>
          <w:p w14:paraId="2E0DBAE8">
            <w:pPr>
              <w:jc w:val="center"/>
            </w:pPr>
            <w:r>
              <w:rPr>
                <w:rFonts w:hint="eastAsia"/>
                <w:b/>
              </w:rPr>
              <w:t>债券回购交易</w:t>
            </w:r>
          </w:p>
        </w:tc>
        <w:tc>
          <w:tcPr>
            <w:tcW w:w="922" w:type="dxa"/>
            <w:gridSpan w:val="2"/>
            <w:shd w:val="clear" w:color="auto" w:fill="BFBFBF"/>
            <w:vAlign w:val="center"/>
          </w:tcPr>
          <w:p w14:paraId="6C633675">
            <w:pPr>
              <w:jc w:val="center"/>
            </w:pPr>
            <w:r>
              <w:rPr>
                <w:rFonts w:hint="eastAsia"/>
                <w:b/>
              </w:rPr>
              <w:t>权证交易</w:t>
            </w:r>
          </w:p>
        </w:tc>
        <w:tc>
          <w:tcPr>
            <w:tcW w:w="922" w:type="dxa"/>
            <w:gridSpan w:val="2"/>
            <w:shd w:val="clear" w:color="auto" w:fill="BFBFBF"/>
            <w:vAlign w:val="center"/>
          </w:tcPr>
          <w:p w14:paraId="33C304A8">
            <w:pPr>
              <w:jc w:val="center"/>
            </w:pPr>
            <w:r>
              <w:rPr>
                <w:rFonts w:hint="eastAsia"/>
                <w:b/>
              </w:rPr>
              <w:t>基金交易</w:t>
            </w:r>
          </w:p>
        </w:tc>
      </w:tr>
      <w:tr w14:paraId="37C13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74612B61"/>
        </w:tc>
        <w:tc>
          <w:tcPr>
            <w:tcW w:w="922" w:type="dxa"/>
            <w:shd w:val="clear" w:color="auto" w:fill="BFBFBF"/>
            <w:vAlign w:val="center"/>
          </w:tcPr>
          <w:p w14:paraId="0CF849B8">
            <w:pPr>
              <w:jc w:val="center"/>
            </w:pPr>
            <w:r>
              <w:rPr>
                <w:rFonts w:hint="eastAsia"/>
                <w:b/>
              </w:rPr>
              <w:t>成交金额</w:t>
            </w:r>
          </w:p>
        </w:tc>
        <w:tc>
          <w:tcPr>
            <w:tcW w:w="922" w:type="dxa"/>
            <w:shd w:val="clear" w:color="auto" w:fill="BFBFBF"/>
            <w:vAlign w:val="center"/>
          </w:tcPr>
          <w:p w14:paraId="24FF4D56">
            <w:pPr>
              <w:jc w:val="center"/>
            </w:pPr>
            <w:r>
              <w:rPr>
                <w:rFonts w:hint="eastAsia"/>
                <w:b/>
              </w:rPr>
              <w:t>占当期债券成交总额的比例</w:t>
            </w:r>
          </w:p>
        </w:tc>
        <w:tc>
          <w:tcPr>
            <w:tcW w:w="922" w:type="dxa"/>
            <w:shd w:val="clear" w:color="auto" w:fill="BFBFBF"/>
            <w:vAlign w:val="center"/>
          </w:tcPr>
          <w:p w14:paraId="53A1019C">
            <w:pPr>
              <w:jc w:val="center"/>
            </w:pPr>
            <w:r>
              <w:rPr>
                <w:rFonts w:hint="eastAsia"/>
                <w:b/>
              </w:rPr>
              <w:t>成交金额</w:t>
            </w:r>
          </w:p>
        </w:tc>
        <w:tc>
          <w:tcPr>
            <w:tcW w:w="922" w:type="dxa"/>
            <w:shd w:val="clear" w:color="auto" w:fill="BFBFBF"/>
            <w:vAlign w:val="center"/>
          </w:tcPr>
          <w:p w14:paraId="496AB4BE">
            <w:pPr>
              <w:jc w:val="center"/>
            </w:pPr>
            <w:r>
              <w:rPr>
                <w:rFonts w:hint="eastAsia"/>
                <w:b/>
              </w:rPr>
              <w:t>占当期债券回购成交总额的比例</w:t>
            </w:r>
          </w:p>
        </w:tc>
        <w:tc>
          <w:tcPr>
            <w:tcW w:w="922" w:type="dxa"/>
            <w:shd w:val="clear" w:color="auto" w:fill="BFBFBF"/>
            <w:vAlign w:val="center"/>
          </w:tcPr>
          <w:p w14:paraId="186FC86B">
            <w:pPr>
              <w:jc w:val="center"/>
            </w:pPr>
            <w:r>
              <w:rPr>
                <w:rFonts w:hint="eastAsia"/>
                <w:b/>
              </w:rPr>
              <w:t>成交金额</w:t>
            </w:r>
          </w:p>
        </w:tc>
        <w:tc>
          <w:tcPr>
            <w:tcW w:w="922" w:type="dxa"/>
            <w:shd w:val="clear" w:color="auto" w:fill="BFBFBF"/>
            <w:vAlign w:val="center"/>
          </w:tcPr>
          <w:p w14:paraId="13C1A6D6">
            <w:pPr>
              <w:jc w:val="center"/>
            </w:pPr>
            <w:r>
              <w:rPr>
                <w:rFonts w:hint="eastAsia"/>
                <w:b/>
              </w:rPr>
              <w:t>占当期权证成交总额的比例</w:t>
            </w:r>
          </w:p>
        </w:tc>
        <w:tc>
          <w:tcPr>
            <w:tcW w:w="922" w:type="dxa"/>
            <w:shd w:val="clear" w:color="auto" w:fill="BFBFBF"/>
            <w:vAlign w:val="center"/>
          </w:tcPr>
          <w:p w14:paraId="5B1CACEE">
            <w:pPr>
              <w:jc w:val="center"/>
            </w:pPr>
            <w:r>
              <w:rPr>
                <w:rFonts w:hint="eastAsia"/>
                <w:b/>
              </w:rPr>
              <w:t>成交金额</w:t>
            </w:r>
          </w:p>
        </w:tc>
        <w:tc>
          <w:tcPr>
            <w:tcW w:w="922" w:type="dxa"/>
            <w:shd w:val="clear" w:color="auto" w:fill="BFBFBF"/>
            <w:vAlign w:val="center"/>
          </w:tcPr>
          <w:p w14:paraId="0F83CF2B">
            <w:pPr>
              <w:jc w:val="center"/>
            </w:pPr>
            <w:r>
              <w:rPr>
                <w:rFonts w:hint="eastAsia"/>
                <w:b/>
              </w:rPr>
              <w:t>占当期基金成交总额的比例</w:t>
            </w:r>
          </w:p>
        </w:tc>
      </w:tr>
      <w:tr w14:paraId="1120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F958442">
            <w:r>
              <w:rPr>
                <w:rFonts w:hint="eastAsia"/>
              </w:rPr>
              <w:t>华泰证券</w:t>
            </w:r>
          </w:p>
        </w:tc>
        <w:tc>
          <w:tcPr>
            <w:tcW w:w="922" w:type="dxa"/>
            <w:vAlign w:val="center"/>
          </w:tcPr>
          <w:p w14:paraId="0933CB6C">
            <w:pPr>
              <w:jc w:val="right"/>
            </w:pPr>
            <w:r>
              <w:rPr>
                <w:rFonts w:hint="eastAsia"/>
              </w:rPr>
              <w:t>-</w:t>
            </w:r>
          </w:p>
        </w:tc>
        <w:tc>
          <w:tcPr>
            <w:tcW w:w="922" w:type="dxa"/>
            <w:vAlign w:val="center"/>
          </w:tcPr>
          <w:p w14:paraId="6B1AA876">
            <w:pPr>
              <w:jc w:val="right"/>
            </w:pPr>
            <w:r>
              <w:rPr>
                <w:rFonts w:hint="eastAsia"/>
              </w:rPr>
              <w:t>-</w:t>
            </w:r>
          </w:p>
        </w:tc>
        <w:tc>
          <w:tcPr>
            <w:tcW w:w="922" w:type="dxa"/>
            <w:vAlign w:val="center"/>
          </w:tcPr>
          <w:p w14:paraId="5A1A5A07">
            <w:pPr>
              <w:jc w:val="right"/>
            </w:pPr>
            <w:r>
              <w:rPr>
                <w:rFonts w:hint="eastAsia"/>
              </w:rPr>
              <w:t>2,500,000.00</w:t>
            </w:r>
          </w:p>
        </w:tc>
        <w:tc>
          <w:tcPr>
            <w:tcW w:w="922" w:type="dxa"/>
            <w:vAlign w:val="center"/>
          </w:tcPr>
          <w:p w14:paraId="5CA6C812">
            <w:pPr>
              <w:jc w:val="right"/>
            </w:pPr>
            <w:r>
              <w:rPr>
                <w:rFonts w:hint="eastAsia"/>
              </w:rPr>
              <w:t>100.00%</w:t>
            </w:r>
          </w:p>
        </w:tc>
        <w:tc>
          <w:tcPr>
            <w:tcW w:w="922" w:type="dxa"/>
            <w:vAlign w:val="center"/>
          </w:tcPr>
          <w:p w14:paraId="3CDFA0D1">
            <w:pPr>
              <w:jc w:val="right"/>
            </w:pPr>
            <w:r>
              <w:rPr>
                <w:rFonts w:hint="eastAsia"/>
              </w:rPr>
              <w:t>-</w:t>
            </w:r>
          </w:p>
        </w:tc>
        <w:tc>
          <w:tcPr>
            <w:tcW w:w="922" w:type="dxa"/>
            <w:vAlign w:val="center"/>
          </w:tcPr>
          <w:p w14:paraId="0AE4F0D0">
            <w:pPr>
              <w:jc w:val="right"/>
            </w:pPr>
            <w:r>
              <w:rPr>
                <w:rFonts w:hint="eastAsia"/>
              </w:rPr>
              <w:t>-</w:t>
            </w:r>
          </w:p>
        </w:tc>
        <w:tc>
          <w:tcPr>
            <w:tcW w:w="922" w:type="dxa"/>
            <w:vAlign w:val="center"/>
          </w:tcPr>
          <w:p w14:paraId="05B20C35">
            <w:pPr>
              <w:jc w:val="right"/>
            </w:pPr>
            <w:r>
              <w:rPr>
                <w:rFonts w:hint="eastAsia"/>
              </w:rPr>
              <w:t>268,949,780.75</w:t>
            </w:r>
          </w:p>
        </w:tc>
        <w:tc>
          <w:tcPr>
            <w:tcW w:w="922" w:type="dxa"/>
            <w:vAlign w:val="center"/>
          </w:tcPr>
          <w:p w14:paraId="5FCFA3F6">
            <w:pPr>
              <w:jc w:val="right"/>
            </w:pPr>
            <w:r>
              <w:rPr>
                <w:rFonts w:hint="eastAsia"/>
              </w:rPr>
              <w:t>100.00%</w:t>
            </w:r>
          </w:p>
        </w:tc>
      </w:tr>
      <w:tr w14:paraId="35D2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F179EC9">
            <w:r>
              <w:rPr>
                <w:rFonts w:hint="eastAsia"/>
              </w:rPr>
              <w:t>长江证券</w:t>
            </w:r>
          </w:p>
        </w:tc>
        <w:tc>
          <w:tcPr>
            <w:tcW w:w="922" w:type="dxa"/>
            <w:vAlign w:val="center"/>
          </w:tcPr>
          <w:p w14:paraId="299E126A">
            <w:pPr>
              <w:jc w:val="right"/>
            </w:pPr>
            <w:r>
              <w:rPr>
                <w:rFonts w:hint="eastAsia"/>
              </w:rPr>
              <w:t>-</w:t>
            </w:r>
          </w:p>
        </w:tc>
        <w:tc>
          <w:tcPr>
            <w:tcW w:w="922" w:type="dxa"/>
            <w:vAlign w:val="center"/>
          </w:tcPr>
          <w:p w14:paraId="50A03F77">
            <w:pPr>
              <w:jc w:val="right"/>
            </w:pPr>
            <w:r>
              <w:rPr>
                <w:rFonts w:hint="eastAsia"/>
              </w:rPr>
              <w:t>-</w:t>
            </w:r>
          </w:p>
        </w:tc>
        <w:tc>
          <w:tcPr>
            <w:tcW w:w="922" w:type="dxa"/>
            <w:vAlign w:val="center"/>
          </w:tcPr>
          <w:p w14:paraId="6AD29EBA">
            <w:pPr>
              <w:jc w:val="right"/>
            </w:pPr>
            <w:r>
              <w:rPr>
                <w:rFonts w:hint="eastAsia"/>
              </w:rPr>
              <w:t>-</w:t>
            </w:r>
          </w:p>
        </w:tc>
        <w:tc>
          <w:tcPr>
            <w:tcW w:w="922" w:type="dxa"/>
            <w:vAlign w:val="center"/>
          </w:tcPr>
          <w:p w14:paraId="4D0C30AD">
            <w:pPr>
              <w:jc w:val="right"/>
            </w:pPr>
            <w:r>
              <w:rPr>
                <w:rFonts w:hint="eastAsia"/>
              </w:rPr>
              <w:t>-</w:t>
            </w:r>
          </w:p>
        </w:tc>
        <w:tc>
          <w:tcPr>
            <w:tcW w:w="922" w:type="dxa"/>
            <w:vAlign w:val="center"/>
          </w:tcPr>
          <w:p w14:paraId="4475CC51">
            <w:pPr>
              <w:jc w:val="right"/>
            </w:pPr>
            <w:r>
              <w:rPr>
                <w:rFonts w:hint="eastAsia"/>
              </w:rPr>
              <w:t>-</w:t>
            </w:r>
          </w:p>
        </w:tc>
        <w:tc>
          <w:tcPr>
            <w:tcW w:w="922" w:type="dxa"/>
            <w:vAlign w:val="center"/>
          </w:tcPr>
          <w:p w14:paraId="1323C4E8">
            <w:pPr>
              <w:jc w:val="right"/>
            </w:pPr>
            <w:r>
              <w:rPr>
                <w:rFonts w:hint="eastAsia"/>
              </w:rPr>
              <w:t>-</w:t>
            </w:r>
          </w:p>
        </w:tc>
        <w:tc>
          <w:tcPr>
            <w:tcW w:w="922" w:type="dxa"/>
            <w:vAlign w:val="center"/>
          </w:tcPr>
          <w:p w14:paraId="0779C92D">
            <w:pPr>
              <w:jc w:val="right"/>
            </w:pPr>
            <w:r>
              <w:rPr>
                <w:rFonts w:hint="eastAsia"/>
              </w:rPr>
              <w:t>-</w:t>
            </w:r>
          </w:p>
        </w:tc>
        <w:tc>
          <w:tcPr>
            <w:tcW w:w="922" w:type="dxa"/>
            <w:vAlign w:val="center"/>
          </w:tcPr>
          <w:p w14:paraId="25D55BC5">
            <w:pPr>
              <w:jc w:val="right"/>
            </w:pPr>
            <w:r>
              <w:rPr>
                <w:rFonts w:hint="eastAsia"/>
              </w:rPr>
              <w:t>-</w:t>
            </w:r>
          </w:p>
        </w:tc>
      </w:tr>
      <w:tr w14:paraId="22D8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396FE78">
            <w:r>
              <w:rPr>
                <w:rFonts w:hint="eastAsia"/>
              </w:rPr>
              <w:t>华创证券</w:t>
            </w:r>
          </w:p>
        </w:tc>
        <w:tc>
          <w:tcPr>
            <w:tcW w:w="922" w:type="dxa"/>
            <w:vAlign w:val="center"/>
          </w:tcPr>
          <w:p w14:paraId="51FEA36B">
            <w:pPr>
              <w:jc w:val="right"/>
            </w:pPr>
            <w:r>
              <w:rPr>
                <w:rFonts w:hint="eastAsia"/>
              </w:rPr>
              <w:t>-</w:t>
            </w:r>
          </w:p>
        </w:tc>
        <w:tc>
          <w:tcPr>
            <w:tcW w:w="922" w:type="dxa"/>
            <w:vAlign w:val="center"/>
          </w:tcPr>
          <w:p w14:paraId="525777E2">
            <w:pPr>
              <w:jc w:val="right"/>
            </w:pPr>
            <w:r>
              <w:rPr>
                <w:rFonts w:hint="eastAsia"/>
              </w:rPr>
              <w:t>-</w:t>
            </w:r>
          </w:p>
        </w:tc>
        <w:tc>
          <w:tcPr>
            <w:tcW w:w="922" w:type="dxa"/>
            <w:vAlign w:val="center"/>
          </w:tcPr>
          <w:p w14:paraId="1B57EB46">
            <w:pPr>
              <w:jc w:val="right"/>
            </w:pPr>
            <w:r>
              <w:rPr>
                <w:rFonts w:hint="eastAsia"/>
              </w:rPr>
              <w:t>-</w:t>
            </w:r>
          </w:p>
        </w:tc>
        <w:tc>
          <w:tcPr>
            <w:tcW w:w="922" w:type="dxa"/>
            <w:vAlign w:val="center"/>
          </w:tcPr>
          <w:p w14:paraId="4B1F3AA2">
            <w:pPr>
              <w:jc w:val="right"/>
            </w:pPr>
            <w:r>
              <w:rPr>
                <w:rFonts w:hint="eastAsia"/>
              </w:rPr>
              <w:t>-</w:t>
            </w:r>
          </w:p>
        </w:tc>
        <w:tc>
          <w:tcPr>
            <w:tcW w:w="922" w:type="dxa"/>
            <w:vAlign w:val="center"/>
          </w:tcPr>
          <w:p w14:paraId="735EC7FF">
            <w:pPr>
              <w:jc w:val="right"/>
            </w:pPr>
            <w:r>
              <w:rPr>
                <w:rFonts w:hint="eastAsia"/>
              </w:rPr>
              <w:t>-</w:t>
            </w:r>
          </w:p>
        </w:tc>
        <w:tc>
          <w:tcPr>
            <w:tcW w:w="922" w:type="dxa"/>
            <w:vAlign w:val="center"/>
          </w:tcPr>
          <w:p w14:paraId="2E01C657">
            <w:pPr>
              <w:jc w:val="right"/>
            </w:pPr>
            <w:r>
              <w:rPr>
                <w:rFonts w:hint="eastAsia"/>
              </w:rPr>
              <w:t>-</w:t>
            </w:r>
          </w:p>
        </w:tc>
        <w:tc>
          <w:tcPr>
            <w:tcW w:w="922" w:type="dxa"/>
            <w:vAlign w:val="center"/>
          </w:tcPr>
          <w:p w14:paraId="388491DD">
            <w:pPr>
              <w:jc w:val="right"/>
            </w:pPr>
            <w:r>
              <w:rPr>
                <w:rFonts w:hint="eastAsia"/>
              </w:rPr>
              <w:t>-</w:t>
            </w:r>
          </w:p>
        </w:tc>
        <w:tc>
          <w:tcPr>
            <w:tcW w:w="922" w:type="dxa"/>
            <w:vAlign w:val="center"/>
          </w:tcPr>
          <w:p w14:paraId="7C2303F4">
            <w:pPr>
              <w:jc w:val="right"/>
            </w:pPr>
            <w:r>
              <w:rPr>
                <w:rFonts w:hint="eastAsia"/>
              </w:rPr>
              <w:t>-</w:t>
            </w:r>
          </w:p>
        </w:tc>
      </w:tr>
      <w:tr w14:paraId="430C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7B460C7">
            <w:r>
              <w:rPr>
                <w:rFonts w:hint="eastAsia"/>
              </w:rPr>
              <w:t>招商证券</w:t>
            </w:r>
          </w:p>
        </w:tc>
        <w:tc>
          <w:tcPr>
            <w:tcW w:w="922" w:type="dxa"/>
            <w:vAlign w:val="center"/>
          </w:tcPr>
          <w:p w14:paraId="137E4D63">
            <w:pPr>
              <w:jc w:val="right"/>
            </w:pPr>
            <w:r>
              <w:rPr>
                <w:rFonts w:hint="eastAsia"/>
              </w:rPr>
              <w:t>-</w:t>
            </w:r>
          </w:p>
        </w:tc>
        <w:tc>
          <w:tcPr>
            <w:tcW w:w="922" w:type="dxa"/>
            <w:vAlign w:val="center"/>
          </w:tcPr>
          <w:p w14:paraId="4C7C1261">
            <w:pPr>
              <w:jc w:val="right"/>
            </w:pPr>
            <w:r>
              <w:rPr>
                <w:rFonts w:hint="eastAsia"/>
              </w:rPr>
              <w:t>-</w:t>
            </w:r>
          </w:p>
        </w:tc>
        <w:tc>
          <w:tcPr>
            <w:tcW w:w="922" w:type="dxa"/>
            <w:vAlign w:val="center"/>
          </w:tcPr>
          <w:p w14:paraId="4A75ED3C">
            <w:pPr>
              <w:jc w:val="right"/>
            </w:pPr>
            <w:r>
              <w:rPr>
                <w:rFonts w:hint="eastAsia"/>
              </w:rPr>
              <w:t>-</w:t>
            </w:r>
          </w:p>
        </w:tc>
        <w:tc>
          <w:tcPr>
            <w:tcW w:w="922" w:type="dxa"/>
            <w:vAlign w:val="center"/>
          </w:tcPr>
          <w:p w14:paraId="501B9FDB">
            <w:pPr>
              <w:jc w:val="right"/>
            </w:pPr>
            <w:r>
              <w:rPr>
                <w:rFonts w:hint="eastAsia"/>
              </w:rPr>
              <w:t>-</w:t>
            </w:r>
          </w:p>
        </w:tc>
        <w:tc>
          <w:tcPr>
            <w:tcW w:w="922" w:type="dxa"/>
            <w:vAlign w:val="center"/>
          </w:tcPr>
          <w:p w14:paraId="18A7F2F8">
            <w:pPr>
              <w:jc w:val="right"/>
            </w:pPr>
            <w:r>
              <w:rPr>
                <w:rFonts w:hint="eastAsia"/>
              </w:rPr>
              <w:t>-</w:t>
            </w:r>
          </w:p>
        </w:tc>
        <w:tc>
          <w:tcPr>
            <w:tcW w:w="922" w:type="dxa"/>
            <w:vAlign w:val="center"/>
          </w:tcPr>
          <w:p w14:paraId="52DDE92D">
            <w:pPr>
              <w:jc w:val="right"/>
            </w:pPr>
            <w:r>
              <w:rPr>
                <w:rFonts w:hint="eastAsia"/>
              </w:rPr>
              <w:t>-</w:t>
            </w:r>
          </w:p>
        </w:tc>
        <w:tc>
          <w:tcPr>
            <w:tcW w:w="922" w:type="dxa"/>
            <w:vAlign w:val="center"/>
          </w:tcPr>
          <w:p w14:paraId="476A4632">
            <w:pPr>
              <w:jc w:val="right"/>
            </w:pPr>
            <w:r>
              <w:rPr>
                <w:rFonts w:hint="eastAsia"/>
              </w:rPr>
              <w:t>-</w:t>
            </w:r>
          </w:p>
        </w:tc>
        <w:tc>
          <w:tcPr>
            <w:tcW w:w="922" w:type="dxa"/>
            <w:vAlign w:val="center"/>
          </w:tcPr>
          <w:p w14:paraId="33719F00">
            <w:pPr>
              <w:jc w:val="right"/>
            </w:pPr>
            <w:r>
              <w:rPr>
                <w:rFonts w:hint="eastAsia"/>
              </w:rPr>
              <w:t>-</w:t>
            </w:r>
          </w:p>
        </w:tc>
      </w:tr>
    </w:tbl>
    <w:p w14:paraId="217350F2">
      <w:pPr>
        <w:pStyle w:val="23"/>
      </w:pPr>
      <w:bookmarkStart w:id="200" w:name="_Toc21684"/>
      <w:r>
        <w:t>其他重大事件</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9829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3E95196">
            <w:pPr>
              <w:jc w:val="center"/>
            </w:pPr>
            <w:r>
              <w:rPr>
                <w:rFonts w:hint="eastAsia"/>
                <w:b/>
              </w:rPr>
              <w:t>序号</w:t>
            </w:r>
          </w:p>
        </w:tc>
        <w:tc>
          <w:tcPr>
            <w:tcW w:w="4319" w:type="dxa"/>
            <w:shd w:val="clear" w:color="auto" w:fill="BFBFBF"/>
            <w:vAlign w:val="center"/>
          </w:tcPr>
          <w:p w14:paraId="65EC0483">
            <w:pPr>
              <w:jc w:val="center"/>
            </w:pPr>
            <w:r>
              <w:rPr>
                <w:rFonts w:hint="eastAsia"/>
                <w:b/>
              </w:rPr>
              <w:t>公告事项</w:t>
            </w:r>
          </w:p>
        </w:tc>
        <w:tc>
          <w:tcPr>
            <w:tcW w:w="2076" w:type="dxa"/>
            <w:shd w:val="clear" w:color="auto" w:fill="BFBFBF"/>
            <w:vAlign w:val="center"/>
          </w:tcPr>
          <w:p w14:paraId="60C873FF">
            <w:pPr>
              <w:jc w:val="center"/>
            </w:pPr>
            <w:r>
              <w:rPr>
                <w:rFonts w:hint="eastAsia"/>
                <w:b/>
              </w:rPr>
              <w:t>法定披露方式</w:t>
            </w:r>
          </w:p>
        </w:tc>
        <w:tc>
          <w:tcPr>
            <w:tcW w:w="1218" w:type="dxa"/>
            <w:shd w:val="clear" w:color="auto" w:fill="BFBFBF"/>
            <w:vAlign w:val="center"/>
          </w:tcPr>
          <w:p w14:paraId="5C845022">
            <w:pPr>
              <w:jc w:val="center"/>
            </w:pPr>
            <w:r>
              <w:rPr>
                <w:rFonts w:hint="eastAsia"/>
                <w:b/>
              </w:rPr>
              <w:t>法定披露日期</w:t>
            </w:r>
          </w:p>
        </w:tc>
      </w:tr>
      <w:tr w14:paraId="2336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0CE31F6">
            <w:pPr>
              <w:jc w:val="center"/>
            </w:pPr>
            <w:r>
              <w:rPr>
                <w:rFonts w:hint="eastAsia"/>
              </w:rPr>
              <w:t>1</w:t>
            </w:r>
          </w:p>
        </w:tc>
        <w:tc>
          <w:tcPr>
            <w:tcW w:w="4319" w:type="dxa"/>
            <w:vAlign w:val="center"/>
          </w:tcPr>
          <w:p w14:paraId="5B6BEC35">
            <w:r>
              <w:rPr>
                <w:rFonts w:hint="eastAsia"/>
              </w:rPr>
              <w:t>南方基金关于直销平台相关业务费率优惠的公告</w:t>
            </w:r>
          </w:p>
        </w:tc>
        <w:tc>
          <w:tcPr>
            <w:tcW w:w="2076" w:type="dxa"/>
            <w:vAlign w:val="center"/>
          </w:tcPr>
          <w:p w14:paraId="1631A056">
            <w:r>
              <w:rPr>
                <w:rFonts w:hint="eastAsia"/>
              </w:rPr>
              <w:t>证券时报、基金管理人网站、中国证监会基金电子披露网站</w:t>
            </w:r>
          </w:p>
        </w:tc>
        <w:tc>
          <w:tcPr>
            <w:tcW w:w="1218" w:type="dxa"/>
            <w:vAlign w:val="center"/>
          </w:tcPr>
          <w:p w14:paraId="70DF28F3">
            <w:r>
              <w:rPr>
                <w:rFonts w:hint="eastAsia"/>
              </w:rPr>
              <w:t>2025-01-01</w:t>
            </w:r>
          </w:p>
        </w:tc>
      </w:tr>
      <w:tr w14:paraId="72C39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CE3CF4">
            <w:pPr>
              <w:jc w:val="center"/>
            </w:pPr>
            <w:r>
              <w:rPr>
                <w:rFonts w:hint="eastAsia"/>
              </w:rPr>
              <w:t>2</w:t>
            </w:r>
          </w:p>
        </w:tc>
        <w:tc>
          <w:tcPr>
            <w:tcW w:w="4319" w:type="dxa"/>
            <w:vAlign w:val="center"/>
          </w:tcPr>
          <w:p w14:paraId="798846B9">
            <w:r>
              <w:rPr>
                <w:rFonts w:hint="eastAsia"/>
              </w:rPr>
              <w:t>南方基金管理股份有限公司关于旗下部分基金2025年1月9日暂停申购赎回等业务的公告</w:t>
            </w:r>
          </w:p>
        </w:tc>
        <w:tc>
          <w:tcPr>
            <w:tcW w:w="2076" w:type="dxa"/>
            <w:vAlign w:val="center"/>
          </w:tcPr>
          <w:p w14:paraId="4BFB1DD3">
            <w:r>
              <w:rPr>
                <w:rFonts w:hint="eastAsia"/>
              </w:rPr>
              <w:t>证券时报、基金管理人网站、中国证监会基金电子披露网站</w:t>
            </w:r>
          </w:p>
        </w:tc>
        <w:tc>
          <w:tcPr>
            <w:tcW w:w="1218" w:type="dxa"/>
            <w:vAlign w:val="center"/>
          </w:tcPr>
          <w:p w14:paraId="2ABD57EA">
            <w:r>
              <w:rPr>
                <w:rFonts w:hint="eastAsia"/>
              </w:rPr>
              <w:t>2025-01-07</w:t>
            </w:r>
          </w:p>
        </w:tc>
      </w:tr>
      <w:tr w14:paraId="4F95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9170269">
            <w:pPr>
              <w:jc w:val="center"/>
            </w:pPr>
            <w:r>
              <w:rPr>
                <w:rFonts w:hint="eastAsia"/>
              </w:rPr>
              <w:t>3</w:t>
            </w:r>
          </w:p>
        </w:tc>
        <w:tc>
          <w:tcPr>
            <w:tcW w:w="4319" w:type="dxa"/>
            <w:vAlign w:val="center"/>
          </w:tcPr>
          <w:p w14:paraId="15E23B9F">
            <w:r>
              <w:rPr>
                <w:rFonts w:hint="eastAsia"/>
              </w:rPr>
              <w:t>南方基金管理股份有限公司旗下公募基金通过证券公司证券交易及佣金支付情况（2024年度）</w:t>
            </w:r>
          </w:p>
        </w:tc>
        <w:tc>
          <w:tcPr>
            <w:tcW w:w="2076" w:type="dxa"/>
            <w:vAlign w:val="center"/>
          </w:tcPr>
          <w:p w14:paraId="77FE9643">
            <w:r>
              <w:rPr>
                <w:rFonts w:hint="eastAsia"/>
              </w:rPr>
              <w:t>证券时报、基金管理人网站、中国证监会基金电子披露网站</w:t>
            </w:r>
          </w:p>
        </w:tc>
        <w:tc>
          <w:tcPr>
            <w:tcW w:w="1218" w:type="dxa"/>
            <w:vAlign w:val="center"/>
          </w:tcPr>
          <w:p w14:paraId="695E9BD7">
            <w:r>
              <w:rPr>
                <w:rFonts w:hint="eastAsia"/>
              </w:rPr>
              <w:t>2025-03-31</w:t>
            </w:r>
          </w:p>
        </w:tc>
      </w:tr>
      <w:tr w14:paraId="156B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78DF15">
            <w:pPr>
              <w:jc w:val="center"/>
            </w:pPr>
            <w:r>
              <w:rPr>
                <w:rFonts w:hint="eastAsia"/>
              </w:rPr>
              <w:t>4</w:t>
            </w:r>
          </w:p>
        </w:tc>
        <w:tc>
          <w:tcPr>
            <w:tcW w:w="4319" w:type="dxa"/>
            <w:vAlign w:val="center"/>
          </w:tcPr>
          <w:p w14:paraId="5A9A5041">
            <w:r>
              <w:rPr>
                <w:rFonts w:hint="eastAsia"/>
              </w:rPr>
              <w:t>关于南方基金南方东英富时亚太低碳精选交易型开放式指数证券投资基金发起式联接基金（QDII）变更基金经理的公告</w:t>
            </w:r>
          </w:p>
        </w:tc>
        <w:tc>
          <w:tcPr>
            <w:tcW w:w="2076" w:type="dxa"/>
            <w:vAlign w:val="center"/>
          </w:tcPr>
          <w:p w14:paraId="0E6A82B4">
            <w:r>
              <w:rPr>
                <w:rFonts w:hint="eastAsia"/>
              </w:rPr>
              <w:t>证券时报、基金管理人网站、中国证监会基金电子披露网站</w:t>
            </w:r>
          </w:p>
        </w:tc>
        <w:tc>
          <w:tcPr>
            <w:tcW w:w="1218" w:type="dxa"/>
            <w:vAlign w:val="center"/>
          </w:tcPr>
          <w:p w14:paraId="4BE95014">
            <w:r>
              <w:rPr>
                <w:rFonts w:hint="eastAsia"/>
              </w:rPr>
              <w:t>2025-04-19</w:t>
            </w:r>
          </w:p>
        </w:tc>
      </w:tr>
      <w:tr w14:paraId="30AD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DFA28B">
            <w:pPr>
              <w:jc w:val="center"/>
            </w:pPr>
            <w:r>
              <w:rPr>
                <w:rFonts w:hint="eastAsia"/>
              </w:rPr>
              <w:t>5</w:t>
            </w:r>
          </w:p>
        </w:tc>
        <w:tc>
          <w:tcPr>
            <w:tcW w:w="4319" w:type="dxa"/>
            <w:vAlign w:val="center"/>
          </w:tcPr>
          <w:p w14:paraId="2D8A2F09">
            <w:pPr>
              <w:jc w:val="both"/>
            </w:pPr>
            <w:r>
              <w:rPr>
                <w:rFonts w:hint="eastAsia"/>
              </w:rPr>
              <w:t>关于调整南方基金南方东英富时亚太低碳精选交易型开放式指数证券投资基金发起式联接基金（QDII）申购和定投业务金额限制的公告</w:t>
            </w:r>
          </w:p>
        </w:tc>
        <w:tc>
          <w:tcPr>
            <w:tcW w:w="2076" w:type="dxa"/>
            <w:vAlign w:val="center"/>
          </w:tcPr>
          <w:p w14:paraId="2D931AA4">
            <w:r>
              <w:rPr>
                <w:rFonts w:hint="eastAsia"/>
              </w:rPr>
              <w:t>证券时报、基金管理人网站、中国证监会基金电子披露网站</w:t>
            </w:r>
          </w:p>
        </w:tc>
        <w:tc>
          <w:tcPr>
            <w:tcW w:w="1218" w:type="dxa"/>
            <w:vAlign w:val="center"/>
          </w:tcPr>
          <w:p w14:paraId="605C225E">
            <w:r>
              <w:rPr>
                <w:rFonts w:hint="eastAsia"/>
              </w:rPr>
              <w:t>2025-05-21</w:t>
            </w:r>
          </w:p>
        </w:tc>
      </w:tr>
      <w:tr w14:paraId="40F96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DFA209">
            <w:pPr>
              <w:jc w:val="center"/>
            </w:pPr>
            <w:r>
              <w:rPr>
                <w:rFonts w:hint="eastAsia"/>
              </w:rPr>
              <w:t>6</w:t>
            </w:r>
          </w:p>
        </w:tc>
        <w:tc>
          <w:tcPr>
            <w:tcW w:w="4319" w:type="dxa"/>
            <w:vAlign w:val="center"/>
          </w:tcPr>
          <w:p w14:paraId="7369130E">
            <w:r>
              <w:rPr>
                <w:rFonts w:hint="eastAsia"/>
              </w:rPr>
              <w:t>关于南方基金南方东英富时亚太低碳精选交易型开放式指数证券投资基金发起式联接基金（QDII）变更基金经理的公告</w:t>
            </w:r>
          </w:p>
        </w:tc>
        <w:tc>
          <w:tcPr>
            <w:tcW w:w="2076" w:type="dxa"/>
            <w:vAlign w:val="center"/>
          </w:tcPr>
          <w:p w14:paraId="6F5CD607">
            <w:r>
              <w:rPr>
                <w:rFonts w:hint="eastAsia"/>
              </w:rPr>
              <w:t>证券时报、基金管理人网站、中国证监会基金电子披露网站</w:t>
            </w:r>
          </w:p>
        </w:tc>
        <w:tc>
          <w:tcPr>
            <w:tcW w:w="1218" w:type="dxa"/>
            <w:vAlign w:val="center"/>
          </w:tcPr>
          <w:p w14:paraId="09275C66">
            <w:r>
              <w:rPr>
                <w:rFonts w:hint="eastAsia"/>
              </w:rPr>
              <w:t>2025-06-07</w:t>
            </w:r>
          </w:p>
        </w:tc>
      </w:tr>
      <w:tr w14:paraId="0DA4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559845F">
            <w:pPr>
              <w:jc w:val="center"/>
            </w:pPr>
            <w:r>
              <w:rPr>
                <w:rFonts w:hint="eastAsia"/>
              </w:rPr>
              <w:t>7</w:t>
            </w:r>
          </w:p>
        </w:tc>
        <w:tc>
          <w:tcPr>
            <w:tcW w:w="4319" w:type="dxa"/>
            <w:vAlign w:val="center"/>
          </w:tcPr>
          <w:p w14:paraId="204FA0DD">
            <w:pPr>
              <w:jc w:val="both"/>
            </w:pPr>
            <w:r>
              <w:rPr>
                <w:rFonts w:hint="eastAsia"/>
              </w:rPr>
              <w:t>关于调整南方基金南方东英富时亚太低碳精选交易型开放式指数证券投资基金发起式联接基金（QDII）申购和定投业务金额限制的公告</w:t>
            </w:r>
          </w:p>
        </w:tc>
        <w:tc>
          <w:tcPr>
            <w:tcW w:w="2076" w:type="dxa"/>
            <w:vAlign w:val="center"/>
          </w:tcPr>
          <w:p w14:paraId="764DE529">
            <w:r>
              <w:rPr>
                <w:rFonts w:hint="eastAsia"/>
              </w:rPr>
              <w:t>证券时报、基金管理人网站、中国证监会基金电子披露网站</w:t>
            </w:r>
          </w:p>
        </w:tc>
        <w:tc>
          <w:tcPr>
            <w:tcW w:w="1218" w:type="dxa"/>
            <w:vAlign w:val="center"/>
          </w:tcPr>
          <w:p w14:paraId="4ECAE4C5">
            <w:r>
              <w:rPr>
                <w:rFonts w:hint="eastAsia"/>
              </w:rPr>
              <w:t>2025-08-16</w:t>
            </w:r>
          </w:p>
        </w:tc>
      </w:tr>
      <w:tr w14:paraId="2B713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5B91BF">
            <w:pPr>
              <w:jc w:val="center"/>
            </w:pPr>
            <w:r>
              <w:rPr>
                <w:rFonts w:hint="eastAsia"/>
              </w:rPr>
              <w:t>8</w:t>
            </w:r>
          </w:p>
        </w:tc>
        <w:tc>
          <w:tcPr>
            <w:tcW w:w="4319" w:type="dxa"/>
            <w:vAlign w:val="center"/>
          </w:tcPr>
          <w:p w14:paraId="710E24B9">
            <w:pPr>
              <w:jc w:val="both"/>
            </w:pPr>
            <w:r>
              <w:rPr>
                <w:rFonts w:hint="eastAsia"/>
              </w:rPr>
              <w:t>关于调整南方基金南方东英富时亚太低碳精选交易型开放式指数证券投资基金发起式联接基金（QDII）申购和定投业务金额限制的公告</w:t>
            </w:r>
          </w:p>
        </w:tc>
        <w:tc>
          <w:tcPr>
            <w:tcW w:w="2076" w:type="dxa"/>
            <w:vAlign w:val="center"/>
          </w:tcPr>
          <w:p w14:paraId="2634C0EC">
            <w:r>
              <w:rPr>
                <w:rFonts w:hint="eastAsia"/>
              </w:rPr>
              <w:t>证券时报、基金管理人网站、中国证监会基金电子披露网站</w:t>
            </w:r>
          </w:p>
        </w:tc>
        <w:tc>
          <w:tcPr>
            <w:tcW w:w="1218" w:type="dxa"/>
            <w:vAlign w:val="center"/>
          </w:tcPr>
          <w:p w14:paraId="305D8091">
            <w:r>
              <w:rPr>
                <w:rFonts w:hint="eastAsia"/>
              </w:rPr>
              <w:t>2025-09-13</w:t>
            </w:r>
          </w:p>
        </w:tc>
      </w:tr>
    </w:tbl>
    <w:p w14:paraId="5255C35A">
      <w:pPr>
        <w:pStyle w:val="26"/>
      </w:pPr>
      <w:bookmarkStart w:id="201" w:name="_Toc16697"/>
      <w:r>
        <w:t>影响投资者决策的其他重要信息</w:t>
      </w:r>
      <w:bookmarkEnd w:id="201"/>
    </w:p>
    <w:p w14:paraId="57098228">
      <w:pPr>
        <w:pStyle w:val="23"/>
      </w:pPr>
      <w:bookmarkStart w:id="202" w:name="_Toc13857"/>
      <w:r>
        <w:t>报告期内单一投资者持有基金份额比例达到或超过20%的情况</w:t>
      </w:r>
      <w:bookmarkEnd w:id="20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78B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69BE4C5">
            <w:r>
              <w:rPr>
                <w:rFonts w:hint="eastAsia"/>
              </w:rPr>
              <w:t>投资者类别</w:t>
            </w:r>
          </w:p>
        </w:tc>
        <w:tc>
          <w:tcPr>
            <w:tcW w:w="500" w:type="dxa"/>
            <w:gridSpan w:val="5"/>
            <w:vAlign w:val="center"/>
          </w:tcPr>
          <w:p w14:paraId="6F7CA22B">
            <w:r>
              <w:rPr>
                <w:rFonts w:hint="eastAsia"/>
              </w:rPr>
              <w:t>报告期内持有基金份额变化情况</w:t>
            </w:r>
          </w:p>
        </w:tc>
        <w:tc>
          <w:tcPr>
            <w:tcW w:w="1377" w:type="dxa"/>
            <w:gridSpan w:val="2"/>
            <w:vAlign w:val="center"/>
          </w:tcPr>
          <w:p w14:paraId="3C9DA3CA">
            <w:r>
              <w:rPr>
                <w:rFonts w:hint="eastAsia"/>
              </w:rPr>
              <w:t>报告期末持有基金情况</w:t>
            </w:r>
          </w:p>
        </w:tc>
      </w:tr>
      <w:tr w14:paraId="39A4A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478E4FD"/>
        </w:tc>
        <w:tc>
          <w:tcPr>
            <w:tcW w:w="500" w:type="dxa"/>
            <w:vAlign w:val="center"/>
          </w:tcPr>
          <w:p w14:paraId="7D49DF35">
            <w:r>
              <w:rPr>
                <w:rFonts w:hint="eastAsia"/>
              </w:rPr>
              <w:t>序号</w:t>
            </w:r>
          </w:p>
        </w:tc>
        <w:tc>
          <w:tcPr>
            <w:tcW w:w="876" w:type="dxa"/>
            <w:vAlign w:val="center"/>
          </w:tcPr>
          <w:p w14:paraId="7CB12654">
            <w:r>
              <w:rPr>
                <w:rFonts w:hint="eastAsia"/>
              </w:rPr>
              <w:t>持有基金份额比例达到或者超过20%的时间区间</w:t>
            </w:r>
          </w:p>
        </w:tc>
        <w:tc>
          <w:tcPr>
            <w:tcW w:w="1377" w:type="dxa"/>
            <w:vAlign w:val="center"/>
          </w:tcPr>
          <w:p w14:paraId="2404AFEC">
            <w:r>
              <w:rPr>
                <w:rFonts w:hint="eastAsia"/>
              </w:rPr>
              <w:t>期初份额</w:t>
            </w:r>
          </w:p>
        </w:tc>
        <w:tc>
          <w:tcPr>
            <w:tcW w:w="1377" w:type="dxa"/>
            <w:vAlign w:val="center"/>
          </w:tcPr>
          <w:p w14:paraId="48196D47">
            <w:r>
              <w:rPr>
                <w:rFonts w:hint="eastAsia"/>
              </w:rPr>
              <w:t>申购份额</w:t>
            </w:r>
          </w:p>
        </w:tc>
        <w:tc>
          <w:tcPr>
            <w:tcW w:w="1377" w:type="dxa"/>
            <w:vAlign w:val="center"/>
          </w:tcPr>
          <w:p w14:paraId="759832E9">
            <w:r>
              <w:rPr>
                <w:rFonts w:hint="eastAsia"/>
              </w:rPr>
              <w:t>赎回份额</w:t>
            </w:r>
          </w:p>
        </w:tc>
        <w:tc>
          <w:tcPr>
            <w:tcW w:w="1377" w:type="dxa"/>
            <w:vAlign w:val="center"/>
          </w:tcPr>
          <w:p w14:paraId="56E730CD">
            <w:r>
              <w:rPr>
                <w:rFonts w:hint="eastAsia"/>
              </w:rPr>
              <w:t>持有份额</w:t>
            </w:r>
          </w:p>
        </w:tc>
        <w:tc>
          <w:tcPr>
            <w:tcW w:w="667" w:type="dxa"/>
            <w:vAlign w:val="center"/>
          </w:tcPr>
          <w:p w14:paraId="0548D048">
            <w:r>
              <w:rPr>
                <w:rFonts w:hint="eastAsia"/>
              </w:rPr>
              <w:t>份额占比</w:t>
            </w:r>
          </w:p>
        </w:tc>
      </w:tr>
      <w:tr w14:paraId="029C3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7553DB4">
            <w:r>
              <w:rPr>
                <w:rFonts w:hint="eastAsia"/>
              </w:rPr>
              <w:t>机构</w:t>
            </w:r>
          </w:p>
        </w:tc>
        <w:tc>
          <w:tcPr>
            <w:tcW w:w="500" w:type="dxa"/>
            <w:vAlign w:val="center"/>
          </w:tcPr>
          <w:p w14:paraId="0E7EA9E6">
            <w:pPr>
              <w:jc w:val="right"/>
            </w:pPr>
            <w:r>
              <w:rPr>
                <w:rFonts w:hint="eastAsia"/>
              </w:rPr>
              <w:t>1</w:t>
            </w:r>
          </w:p>
        </w:tc>
        <w:tc>
          <w:tcPr>
            <w:tcW w:w="876" w:type="dxa"/>
            <w:vAlign w:val="center"/>
          </w:tcPr>
          <w:p w14:paraId="296768A0">
            <w:r>
              <w:rPr>
                <w:rFonts w:hint="eastAsia"/>
              </w:rPr>
              <w:t>20250101-20250713</w:t>
            </w:r>
          </w:p>
        </w:tc>
        <w:tc>
          <w:tcPr>
            <w:tcW w:w="1377" w:type="dxa"/>
            <w:vAlign w:val="center"/>
          </w:tcPr>
          <w:p w14:paraId="4E1C87B8">
            <w:pPr>
              <w:jc w:val="right"/>
            </w:pPr>
            <w:r>
              <w:rPr>
                <w:rFonts w:hint="eastAsia"/>
              </w:rPr>
              <w:t>10,003,222.54</w:t>
            </w:r>
          </w:p>
        </w:tc>
        <w:tc>
          <w:tcPr>
            <w:tcW w:w="1377" w:type="dxa"/>
            <w:vAlign w:val="center"/>
          </w:tcPr>
          <w:p w14:paraId="3D2C4484">
            <w:pPr>
              <w:jc w:val="right"/>
            </w:pPr>
            <w:r>
              <w:rPr>
                <w:rFonts w:hint="eastAsia"/>
              </w:rPr>
              <w:t>-</w:t>
            </w:r>
          </w:p>
        </w:tc>
        <w:tc>
          <w:tcPr>
            <w:tcW w:w="1377" w:type="dxa"/>
            <w:vAlign w:val="center"/>
          </w:tcPr>
          <w:p w14:paraId="68EB79C0">
            <w:pPr>
              <w:jc w:val="right"/>
            </w:pPr>
            <w:r>
              <w:rPr>
                <w:rFonts w:hint="eastAsia"/>
              </w:rPr>
              <w:t>-</w:t>
            </w:r>
          </w:p>
        </w:tc>
        <w:tc>
          <w:tcPr>
            <w:tcW w:w="1377" w:type="dxa"/>
            <w:vAlign w:val="center"/>
          </w:tcPr>
          <w:p w14:paraId="6A0AA780">
            <w:pPr>
              <w:jc w:val="right"/>
            </w:pPr>
            <w:r>
              <w:rPr>
                <w:rFonts w:hint="eastAsia"/>
              </w:rPr>
              <w:t>10,003,222.54</w:t>
            </w:r>
          </w:p>
        </w:tc>
        <w:tc>
          <w:tcPr>
            <w:tcW w:w="667" w:type="dxa"/>
            <w:vAlign w:val="center"/>
          </w:tcPr>
          <w:p w14:paraId="6C9A2C0E">
            <w:pPr>
              <w:jc w:val="right"/>
            </w:pPr>
            <w:r>
              <w:rPr>
                <w:rFonts w:hint="eastAsia"/>
              </w:rPr>
              <w:t>4.58%</w:t>
            </w:r>
          </w:p>
        </w:tc>
      </w:tr>
      <w:tr w14:paraId="3064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F2EB295">
            <w:r>
              <w:rPr>
                <w:rFonts w:hint="eastAsia"/>
              </w:rPr>
              <w:t>产品特有风险</w:t>
            </w:r>
          </w:p>
        </w:tc>
      </w:tr>
      <w:tr w14:paraId="55123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7A7ADE6">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36F4390">
      <w:pPr>
        <w:pStyle w:val="23"/>
      </w:pPr>
      <w:bookmarkStart w:id="203" w:name="_Toc12080"/>
      <w:r>
        <w:t>影响投资者决策的其他重要信息</w:t>
      </w:r>
      <w:bookmarkEnd w:id="203"/>
    </w:p>
    <w:p w14:paraId="4DCF5021">
      <w:pPr>
        <w:pStyle w:val="18"/>
        <w:rPr>
          <w:rFonts w:hint="eastAsia"/>
        </w:rPr>
      </w:pPr>
      <w:r>
        <w:rPr>
          <w:rFonts w:hint="eastAsia"/>
        </w:rPr>
        <w:t>无。</w:t>
      </w:r>
    </w:p>
    <w:p w14:paraId="0286725E">
      <w:pPr>
        <w:pStyle w:val="26"/>
      </w:pPr>
      <w:bookmarkStart w:id="204" w:name="_Toc26395"/>
      <w:r>
        <w:t>备查文件目录</w:t>
      </w:r>
      <w:bookmarkEnd w:id="204"/>
    </w:p>
    <w:p w14:paraId="59E475D7">
      <w:pPr>
        <w:pStyle w:val="23"/>
      </w:pPr>
      <w:bookmarkStart w:id="205" w:name="_Toc5825"/>
      <w:r>
        <w:t>备查文件目录</w:t>
      </w:r>
      <w:bookmarkEnd w:id="205"/>
    </w:p>
    <w:p w14:paraId="4A55CC26">
      <w:pPr>
        <w:pStyle w:val="18"/>
        <w:rPr>
          <w:rFonts w:hint="eastAsia"/>
        </w:rPr>
      </w:pPr>
      <w:r>
        <w:rPr>
          <w:rFonts w:hint="eastAsia"/>
        </w:rPr>
        <w:t>1、中国证监会批准设立南方基金南方东英富时亚太低碳精选交易型开放式指数证券投资基金发起式联接基金（QDII）的文件；</w:t>
      </w:r>
    </w:p>
    <w:p w14:paraId="73FDC74B">
      <w:pPr>
        <w:pStyle w:val="18"/>
        <w:rPr>
          <w:rFonts w:hint="eastAsia"/>
        </w:rPr>
      </w:pPr>
      <w:r>
        <w:rPr>
          <w:rFonts w:hint="eastAsia"/>
        </w:rPr>
        <w:t>2、《南方基金南方东英富时亚太低碳精选交易型开放式指数证券投资基金发起式联接基金（QDII）基金合同》；</w:t>
      </w:r>
    </w:p>
    <w:p w14:paraId="536C6189">
      <w:pPr>
        <w:pStyle w:val="18"/>
        <w:rPr>
          <w:rFonts w:hint="eastAsia"/>
        </w:rPr>
      </w:pPr>
      <w:r>
        <w:rPr>
          <w:rFonts w:hint="eastAsia"/>
        </w:rPr>
        <w:t>3、《南方基金南方东英富时亚太低碳精选交易型开放式指数证券投资基金发起式联接基金（QDII）托管协议》；</w:t>
      </w:r>
    </w:p>
    <w:p w14:paraId="5C7853F7">
      <w:pPr>
        <w:pStyle w:val="18"/>
        <w:rPr>
          <w:rFonts w:hint="eastAsia"/>
        </w:rPr>
      </w:pPr>
      <w:r>
        <w:rPr>
          <w:rFonts w:hint="eastAsia"/>
        </w:rPr>
        <w:t>4、基金管理人业务资格批件、营业执照；</w:t>
      </w:r>
    </w:p>
    <w:p w14:paraId="0C65F29E">
      <w:pPr>
        <w:pStyle w:val="18"/>
        <w:rPr>
          <w:rFonts w:hint="eastAsia"/>
        </w:rPr>
      </w:pPr>
      <w:r>
        <w:rPr>
          <w:rFonts w:hint="eastAsia"/>
        </w:rPr>
        <w:t>5、报告期内在选定报刊上披露的各项公告；</w:t>
      </w:r>
    </w:p>
    <w:p w14:paraId="68CD8653">
      <w:pPr>
        <w:pStyle w:val="18"/>
        <w:rPr>
          <w:rFonts w:hint="eastAsia"/>
        </w:rPr>
      </w:pPr>
      <w:r>
        <w:rPr>
          <w:rFonts w:hint="eastAsia"/>
        </w:rPr>
        <w:t>6、《南方基金南方东英富时亚太低碳精选交易型开放式指数证券投资基金发起式联接基金（QDII）2025年年度报告》原文。</w:t>
      </w:r>
    </w:p>
    <w:p w14:paraId="7873B153">
      <w:pPr>
        <w:pStyle w:val="23"/>
      </w:pPr>
      <w:bookmarkStart w:id="206" w:name="_Toc32650"/>
      <w:r>
        <w:t>存放地点</w:t>
      </w:r>
      <w:bookmarkEnd w:id="206"/>
    </w:p>
    <w:p w14:paraId="73BAA626">
      <w:pPr>
        <w:pStyle w:val="18"/>
        <w:rPr>
          <w:rFonts w:hint="eastAsia"/>
        </w:rPr>
      </w:pPr>
      <w:r>
        <w:rPr>
          <w:rFonts w:hint="eastAsia"/>
        </w:rPr>
        <w:t>深圳市福田区莲花街道益田路5999号基金大厦32-42楼。</w:t>
      </w:r>
    </w:p>
    <w:p w14:paraId="3DFC91E8">
      <w:pPr>
        <w:pStyle w:val="23"/>
      </w:pPr>
      <w:bookmarkStart w:id="207" w:name="_Toc9260"/>
      <w:r>
        <w:t>查阅方式</w:t>
      </w:r>
      <w:bookmarkEnd w:id="207"/>
    </w:p>
    <w:p w14:paraId="19AC0C9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54194">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F59AC">
    <w:pPr>
      <w:pStyle w:val="7"/>
      <w:pBdr>
        <w:bottom w:val="single" w:color="auto" w:sz="4" w:space="1"/>
      </w:pBdr>
      <w:jc w:val="right"/>
    </w:pPr>
    <w:r>
      <w:t>南方基金南方东英富时亚太低碳精选交易型开放式指数证券投资基金发起式联接基金（QDII）2025年年度报告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093C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F8C73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2026-03-28T03:30:11Z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A2A130E5BB2A47188049B76BC6EE994D_12</vt:lpwstr>
  </property>
</Properties>
</file>